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29694C">
      <w:pPr>
        <w:spacing w:line="360" w:lineRule="auto"/>
        <w:rPr>
          <w:rFonts w:hint="eastAsia" w:ascii="宋体" w:hAnsi="宋体" w:eastAsia="宋体" w:cs="宋体"/>
        </w:rPr>
      </w:pPr>
      <w:bookmarkStart w:id="0" w:name="_Toc14049"/>
      <w:bookmarkStart w:id="1" w:name="_Toc27807"/>
    </w:p>
    <w:p w14:paraId="702E6258">
      <w:pPr>
        <w:spacing w:line="360" w:lineRule="auto"/>
        <w:rPr>
          <w:rFonts w:hint="eastAsia" w:ascii="宋体" w:hAnsi="宋体" w:eastAsia="宋体" w:cs="宋体"/>
        </w:rPr>
      </w:pPr>
    </w:p>
    <w:p w14:paraId="1E077EE6">
      <w:pPr>
        <w:tabs>
          <w:tab w:val="left" w:pos="5882"/>
        </w:tabs>
        <w:spacing w:before="169" w:line="360" w:lineRule="auto"/>
        <w:ind w:firstLine="1040"/>
        <w:jc w:val="center"/>
        <w:outlineLvl w:val="0"/>
        <w:rPr>
          <w:rFonts w:hint="eastAsia" w:ascii="宋体" w:hAnsi="宋体" w:eastAsia="宋体" w:cs="宋体"/>
          <w:spacing w:val="-3"/>
          <w:sz w:val="52"/>
          <w:szCs w:val="52"/>
        </w:rPr>
      </w:pPr>
      <w:bookmarkStart w:id="2" w:name="_Toc11471"/>
      <w:bookmarkStart w:id="3" w:name="_Toc16784"/>
      <w:r>
        <w:rPr>
          <w:rFonts w:hint="eastAsia" w:ascii="宋体" w:hAnsi="宋体" w:eastAsia="宋体" w:cs="宋体"/>
          <w:color w:val="auto"/>
          <w:sz w:val="52"/>
          <w:szCs w:val="52"/>
          <w:u w:val="single"/>
          <w:lang w:val="en-US" w:eastAsia="zh-CN"/>
        </w:rPr>
        <w:t>高纯石墨方</w:t>
      </w:r>
      <w:r>
        <w:rPr>
          <w:rFonts w:hint="eastAsia" w:ascii="宋体" w:hAnsi="宋体" w:eastAsia="宋体" w:cs="宋体"/>
          <w:color w:val="auto"/>
          <w:sz w:val="52"/>
          <w:szCs w:val="52"/>
          <w:u w:val="single"/>
        </w:rPr>
        <w:t xml:space="preserve"> </w:t>
      </w:r>
      <w:r>
        <w:rPr>
          <w:rFonts w:hint="eastAsia" w:ascii="宋体" w:hAnsi="宋体" w:eastAsia="宋体" w:cs="宋体"/>
          <w:spacing w:val="-3"/>
          <w:sz w:val="52"/>
          <w:szCs w:val="52"/>
        </w:rPr>
        <w:t>采购项目</w:t>
      </w:r>
      <w:bookmarkEnd w:id="2"/>
      <w:bookmarkEnd w:id="3"/>
    </w:p>
    <w:p w14:paraId="21BF303D">
      <w:pPr>
        <w:tabs>
          <w:tab w:val="left" w:pos="5882"/>
        </w:tabs>
        <w:spacing w:before="169" w:line="360" w:lineRule="auto"/>
        <w:ind w:firstLine="1040"/>
        <w:jc w:val="center"/>
        <w:outlineLvl w:val="0"/>
        <w:rPr>
          <w:rFonts w:hint="eastAsia" w:ascii="宋体" w:hAnsi="宋体" w:eastAsia="宋体" w:cs="宋体"/>
          <w:spacing w:val="-3"/>
          <w:sz w:val="52"/>
          <w:szCs w:val="52"/>
        </w:rPr>
      </w:pPr>
    </w:p>
    <w:p w14:paraId="25C65238">
      <w:pPr>
        <w:spacing w:line="360" w:lineRule="auto"/>
        <w:rPr>
          <w:rFonts w:hint="eastAsia" w:ascii="宋体" w:hAnsi="宋体" w:eastAsia="宋体" w:cs="宋体"/>
        </w:rPr>
      </w:pPr>
    </w:p>
    <w:p w14:paraId="2A8410F0">
      <w:pPr>
        <w:spacing w:line="360" w:lineRule="auto"/>
        <w:rPr>
          <w:rFonts w:hint="eastAsia" w:ascii="宋体" w:hAnsi="宋体" w:eastAsia="宋体" w:cs="宋体"/>
        </w:rPr>
      </w:pPr>
    </w:p>
    <w:p w14:paraId="1B73D965">
      <w:pPr>
        <w:spacing w:line="360" w:lineRule="auto"/>
        <w:jc w:val="center"/>
        <w:rPr>
          <w:rFonts w:hint="default" w:ascii="宋体" w:hAnsi="宋体" w:eastAsia="宋体" w:cs="宋体"/>
          <w:lang w:val="en-US" w:eastAsia="zh-CN"/>
        </w:rPr>
      </w:pPr>
      <w:bookmarkStart w:id="4" w:name="_Toc5886"/>
      <w:r>
        <w:rPr>
          <w:rFonts w:hint="eastAsia" w:ascii="宋体" w:hAnsi="宋体" w:eastAsia="宋体" w:cs="宋体"/>
          <w:spacing w:val="-2"/>
          <w:sz w:val="52"/>
          <w:szCs w:val="52"/>
          <w14:textOutline w14:w="5092" w14:cap="flat" w14:cmpd="sng" w14:algn="ctr">
            <w14:solidFill>
              <w14:srgbClr w14:val="000000"/>
            </w14:solidFill>
            <w14:prstDash w14:val="solid"/>
            <w14:miter w14:val="0"/>
          </w14:textOutline>
        </w:rPr>
        <w:t>招标文件编号</w:t>
      </w:r>
      <w:r>
        <w:rPr>
          <w:rFonts w:hint="eastAsia" w:ascii="宋体" w:hAnsi="宋体" w:eastAsia="宋体" w:cs="宋体"/>
          <w:spacing w:val="-2"/>
          <w:sz w:val="52"/>
          <w:szCs w:val="52"/>
        </w:rPr>
        <w:t>：</w:t>
      </w:r>
      <w:bookmarkEnd w:id="4"/>
      <w:r>
        <w:rPr>
          <w:rFonts w:hint="eastAsia" w:ascii="宋体" w:hAnsi="宋体" w:eastAsia="宋体" w:cs="宋体"/>
          <w:spacing w:val="-2"/>
          <w:sz w:val="52"/>
          <w:szCs w:val="52"/>
          <w:lang w:val="en-US" w:eastAsia="zh-CN"/>
        </w:rPr>
        <w:t xml:space="preserve"> </w:t>
      </w:r>
      <w:r>
        <w:rPr>
          <w:rFonts w:hint="eastAsia" w:ascii="宋体" w:hAnsi="宋体" w:eastAsia="宋体" w:cs="宋体"/>
          <w:b w:val="0"/>
          <w:bCs w:val="0"/>
          <w:sz w:val="52"/>
          <w:szCs w:val="52"/>
          <w:highlight w:val="none"/>
          <w:lang w:eastAsia="zh-CN"/>
        </w:rPr>
        <w:t>HXZB202</w:t>
      </w:r>
      <w:r>
        <w:rPr>
          <w:rFonts w:hint="eastAsia" w:ascii="宋体" w:hAnsi="宋体" w:eastAsia="宋体" w:cs="宋体"/>
          <w:b w:val="0"/>
          <w:bCs w:val="0"/>
          <w:sz w:val="52"/>
          <w:szCs w:val="52"/>
          <w:highlight w:val="none"/>
          <w:lang w:val="en-US" w:eastAsia="zh-CN"/>
        </w:rPr>
        <w:t>5052601</w:t>
      </w:r>
    </w:p>
    <w:p w14:paraId="69DCF637">
      <w:pPr>
        <w:spacing w:line="360" w:lineRule="auto"/>
        <w:rPr>
          <w:rFonts w:hint="eastAsia" w:ascii="宋体" w:hAnsi="宋体" w:eastAsia="宋体" w:cs="宋体"/>
        </w:rPr>
      </w:pPr>
    </w:p>
    <w:p w14:paraId="22B81D00">
      <w:pPr>
        <w:spacing w:line="360" w:lineRule="auto"/>
        <w:rPr>
          <w:rFonts w:hint="eastAsia" w:ascii="宋体" w:hAnsi="宋体" w:eastAsia="宋体" w:cs="宋体"/>
        </w:rPr>
      </w:pPr>
    </w:p>
    <w:p w14:paraId="465731D0">
      <w:pPr>
        <w:spacing w:line="360" w:lineRule="auto"/>
        <w:rPr>
          <w:rFonts w:hint="eastAsia" w:ascii="宋体" w:hAnsi="宋体" w:eastAsia="宋体" w:cs="宋体"/>
        </w:rPr>
      </w:pPr>
    </w:p>
    <w:p w14:paraId="372BCABE">
      <w:pPr>
        <w:spacing w:line="360" w:lineRule="auto"/>
        <w:rPr>
          <w:rFonts w:hint="eastAsia" w:ascii="宋体" w:hAnsi="宋体" w:eastAsia="宋体" w:cs="宋体"/>
        </w:rPr>
      </w:pPr>
    </w:p>
    <w:p w14:paraId="582D0EF3">
      <w:pPr>
        <w:spacing w:before="274" w:line="360" w:lineRule="auto"/>
        <w:ind w:firstLine="1646"/>
        <w:outlineLvl w:val="0"/>
        <w:rPr>
          <w:rFonts w:hint="eastAsia" w:ascii="宋体" w:hAnsi="宋体" w:eastAsia="宋体" w:cs="宋体"/>
          <w:sz w:val="84"/>
          <w:szCs w:val="84"/>
        </w:rPr>
      </w:pPr>
      <w:bookmarkStart w:id="5" w:name="_Toc13557"/>
      <w:bookmarkStart w:id="6" w:name="_Toc7773"/>
      <w:r>
        <w:rPr>
          <w:rFonts w:hint="eastAsia" w:ascii="宋体" w:hAnsi="宋体" w:eastAsia="宋体" w:cs="宋体"/>
          <w:spacing w:val="-28"/>
          <w:sz w:val="84"/>
          <w:szCs w:val="84"/>
          <w14:textOutline w14:w="15240" w14:cap="flat" w14:cmpd="sng" w14:algn="ctr">
            <w14:solidFill>
              <w14:srgbClr w14:val="000000"/>
            </w14:solidFill>
            <w14:prstDash w14:val="solid"/>
            <w14:miter w14:val="0"/>
          </w14:textOutline>
        </w:rPr>
        <w:t>招</w:t>
      </w:r>
      <w:r>
        <w:rPr>
          <w:rFonts w:hint="eastAsia" w:ascii="宋体" w:hAnsi="宋体" w:eastAsia="宋体" w:cs="宋体"/>
          <w:spacing w:val="21"/>
          <w:sz w:val="84"/>
          <w:szCs w:val="84"/>
        </w:rPr>
        <w:t xml:space="preserve">  </w:t>
      </w:r>
      <w:r>
        <w:rPr>
          <w:rFonts w:hint="eastAsia" w:ascii="宋体" w:hAnsi="宋体" w:eastAsia="宋体" w:cs="宋体"/>
          <w:spacing w:val="-28"/>
          <w:sz w:val="84"/>
          <w:szCs w:val="84"/>
          <w14:textOutline w14:w="15240" w14:cap="flat" w14:cmpd="sng" w14:algn="ctr">
            <w14:solidFill>
              <w14:srgbClr w14:val="000000"/>
            </w14:solidFill>
            <w14:prstDash w14:val="solid"/>
            <w14:miter w14:val="0"/>
          </w14:textOutline>
        </w:rPr>
        <w:t>标</w:t>
      </w:r>
      <w:r>
        <w:rPr>
          <w:rFonts w:hint="eastAsia" w:ascii="宋体" w:hAnsi="宋体" w:eastAsia="宋体" w:cs="宋体"/>
          <w:spacing w:val="24"/>
          <w:sz w:val="84"/>
          <w:szCs w:val="84"/>
        </w:rPr>
        <w:t xml:space="preserve">  </w:t>
      </w:r>
      <w:r>
        <w:rPr>
          <w:rFonts w:hint="eastAsia" w:ascii="宋体" w:hAnsi="宋体" w:eastAsia="宋体" w:cs="宋体"/>
          <w:spacing w:val="-28"/>
          <w:sz w:val="84"/>
          <w:szCs w:val="84"/>
          <w14:textOutline w14:w="15240" w14:cap="flat" w14:cmpd="sng" w14:algn="ctr">
            <w14:solidFill>
              <w14:srgbClr w14:val="000000"/>
            </w14:solidFill>
            <w14:prstDash w14:val="solid"/>
            <w14:miter w14:val="0"/>
          </w14:textOutline>
        </w:rPr>
        <w:t>文</w:t>
      </w:r>
      <w:r>
        <w:rPr>
          <w:rFonts w:hint="eastAsia" w:ascii="宋体" w:hAnsi="宋体" w:eastAsia="宋体" w:cs="宋体"/>
          <w:spacing w:val="18"/>
          <w:sz w:val="84"/>
          <w:szCs w:val="84"/>
        </w:rPr>
        <w:t xml:space="preserve">  </w:t>
      </w:r>
      <w:r>
        <w:rPr>
          <w:rFonts w:hint="eastAsia" w:ascii="宋体" w:hAnsi="宋体" w:eastAsia="宋体" w:cs="宋体"/>
          <w:spacing w:val="-28"/>
          <w:sz w:val="84"/>
          <w:szCs w:val="84"/>
          <w14:textOutline w14:w="15240" w14:cap="flat" w14:cmpd="sng" w14:algn="ctr">
            <w14:solidFill>
              <w14:srgbClr w14:val="000000"/>
            </w14:solidFill>
            <w14:prstDash w14:val="solid"/>
            <w14:miter w14:val="0"/>
          </w14:textOutline>
        </w:rPr>
        <w:t>件</w:t>
      </w:r>
      <w:bookmarkEnd w:id="5"/>
      <w:bookmarkEnd w:id="6"/>
    </w:p>
    <w:p w14:paraId="78693E7F">
      <w:pPr>
        <w:spacing w:line="360" w:lineRule="auto"/>
        <w:rPr>
          <w:rFonts w:hint="eastAsia" w:ascii="宋体" w:hAnsi="宋体" w:eastAsia="宋体" w:cs="宋体"/>
        </w:rPr>
      </w:pPr>
    </w:p>
    <w:p w14:paraId="26C6ECC0">
      <w:pPr>
        <w:spacing w:line="360" w:lineRule="auto"/>
        <w:rPr>
          <w:rFonts w:hint="eastAsia" w:ascii="宋体" w:hAnsi="宋体" w:eastAsia="宋体" w:cs="宋体"/>
        </w:rPr>
      </w:pPr>
    </w:p>
    <w:p w14:paraId="486C8914">
      <w:pPr>
        <w:spacing w:line="360" w:lineRule="auto"/>
        <w:rPr>
          <w:rFonts w:hint="eastAsia" w:ascii="宋体" w:hAnsi="宋体" w:eastAsia="宋体" w:cs="宋体"/>
        </w:rPr>
      </w:pPr>
    </w:p>
    <w:p w14:paraId="331372E0">
      <w:pPr>
        <w:pStyle w:val="2"/>
        <w:spacing w:line="360" w:lineRule="auto"/>
        <w:rPr>
          <w:rFonts w:hint="eastAsia" w:ascii="宋体" w:hAnsi="宋体" w:eastAsia="宋体" w:cs="宋体"/>
        </w:rPr>
      </w:pPr>
    </w:p>
    <w:p w14:paraId="1749DFE0">
      <w:pPr>
        <w:spacing w:line="360" w:lineRule="auto"/>
        <w:rPr>
          <w:rFonts w:hint="eastAsia" w:ascii="宋体" w:hAnsi="宋体" w:eastAsia="宋体" w:cs="宋体"/>
        </w:rPr>
      </w:pPr>
    </w:p>
    <w:p w14:paraId="19C6CE84">
      <w:pPr>
        <w:spacing w:line="360" w:lineRule="auto"/>
        <w:rPr>
          <w:rFonts w:hint="eastAsia" w:ascii="宋体" w:hAnsi="宋体" w:eastAsia="宋体" w:cs="宋体"/>
        </w:rPr>
      </w:pPr>
    </w:p>
    <w:p w14:paraId="604EE3BB">
      <w:pPr>
        <w:spacing w:before="104" w:line="360" w:lineRule="auto"/>
        <w:rPr>
          <w:rFonts w:hint="eastAsia" w:ascii="宋体" w:hAnsi="宋体" w:eastAsia="宋体" w:cs="宋体"/>
          <w:spacing w:val="-18"/>
          <w:sz w:val="32"/>
          <w:szCs w:val="32"/>
        </w:rPr>
      </w:pPr>
    </w:p>
    <w:p w14:paraId="49886CE8">
      <w:pPr>
        <w:spacing w:before="104" w:line="360" w:lineRule="auto"/>
        <w:jc w:val="center"/>
        <w:outlineLvl w:val="0"/>
        <w:rPr>
          <w:rFonts w:hint="eastAsia" w:ascii="宋体" w:hAnsi="宋体" w:eastAsia="宋体" w:cs="宋体"/>
          <w:sz w:val="32"/>
          <w:szCs w:val="32"/>
        </w:rPr>
      </w:pPr>
      <w:bookmarkStart w:id="7" w:name="_Toc12968"/>
      <w:bookmarkStart w:id="8" w:name="_Toc28706"/>
      <w:r>
        <w:rPr>
          <w:rFonts w:hint="eastAsia" w:ascii="宋体" w:hAnsi="宋体" w:eastAsia="宋体" w:cs="宋体"/>
          <w:sz w:val="32"/>
          <w:szCs w:val="32"/>
        </w:rPr>
        <w:t>招标人：中国机械总院集团海西（福建）分院有限公司</w:t>
      </w:r>
      <w:bookmarkEnd w:id="7"/>
      <w:bookmarkEnd w:id="8"/>
    </w:p>
    <w:p w14:paraId="5C43C7FD">
      <w:pPr>
        <w:spacing w:line="360" w:lineRule="auto"/>
        <w:rPr>
          <w:rFonts w:hint="eastAsia" w:ascii="宋体" w:hAnsi="宋体" w:eastAsia="宋体" w:cs="宋体"/>
        </w:rPr>
      </w:pPr>
    </w:p>
    <w:p w14:paraId="60736A29">
      <w:pPr>
        <w:spacing w:before="104" w:line="360" w:lineRule="auto"/>
        <w:jc w:val="center"/>
        <w:outlineLvl w:val="0"/>
        <w:rPr>
          <w:rFonts w:hint="default" w:ascii="宋体" w:hAnsi="宋体" w:eastAsia="宋体" w:cs="宋体"/>
          <w:sz w:val="24"/>
          <w:szCs w:val="24"/>
          <w:lang w:val="en-US"/>
        </w:rPr>
        <w:sectPr>
          <w:headerReference r:id="rId3" w:type="default"/>
          <w:footerReference r:id="rId4" w:type="default"/>
          <w:pgSz w:w="11907" w:h="16839"/>
          <w:pgMar w:top="1432" w:right="1389" w:bottom="1201" w:left="1389" w:header="852" w:footer="1021" w:gutter="0"/>
          <w:pgNumType w:fmt="decimal"/>
          <w:cols w:space="720" w:num="1"/>
        </w:sectPr>
      </w:pPr>
      <w:bookmarkStart w:id="9" w:name="_Toc24157"/>
      <w:bookmarkStart w:id="10" w:name="_Toc18293"/>
      <w:r>
        <w:rPr>
          <w:rFonts w:hint="eastAsia" w:ascii="宋体" w:hAnsi="宋体" w:eastAsia="宋体" w:cs="宋体"/>
          <w:color w:val="auto"/>
          <w:sz w:val="32"/>
          <w:szCs w:val="32"/>
          <w:lang w:val="en-US" w:eastAsia="zh-CN"/>
        </w:rPr>
        <w:t>2025</w:t>
      </w:r>
      <w:r>
        <w:rPr>
          <w:rFonts w:hint="eastAsia" w:ascii="宋体" w:hAnsi="宋体" w:eastAsia="宋体" w:cs="宋体"/>
          <w:color w:val="auto"/>
          <w:sz w:val="32"/>
          <w:szCs w:val="32"/>
        </w:rPr>
        <w:t>年</w:t>
      </w:r>
      <w:r>
        <w:rPr>
          <w:rFonts w:hint="eastAsia" w:ascii="宋体" w:hAnsi="宋体" w:eastAsia="宋体" w:cs="宋体"/>
          <w:color w:val="auto"/>
          <w:sz w:val="32"/>
          <w:szCs w:val="32"/>
          <w:lang w:val="en-US" w:eastAsia="zh-CN"/>
        </w:rPr>
        <w:t>05</w:t>
      </w:r>
      <w:r>
        <w:rPr>
          <w:rFonts w:hint="eastAsia" w:ascii="宋体" w:hAnsi="宋体" w:eastAsia="宋体" w:cs="宋体"/>
          <w:color w:val="auto"/>
          <w:sz w:val="32"/>
          <w:szCs w:val="32"/>
        </w:rPr>
        <w:t>月</w:t>
      </w:r>
      <w:bookmarkEnd w:id="9"/>
      <w:r>
        <w:rPr>
          <w:rFonts w:hint="eastAsia" w:ascii="宋体" w:hAnsi="宋体" w:eastAsia="宋体" w:cs="宋体"/>
          <w:color w:val="auto"/>
          <w:sz w:val="32"/>
          <w:szCs w:val="32"/>
          <w:lang w:val="en-US" w:eastAsia="zh-CN"/>
        </w:rPr>
        <w:t>26日</w:t>
      </w:r>
      <w:bookmarkEnd w:id="10"/>
    </w:p>
    <w:sdt>
      <w:sdtPr>
        <w:rPr>
          <w:rFonts w:hint="eastAsia" w:ascii="宋体" w:hAnsi="宋体" w:eastAsia="宋体" w:cs="宋体"/>
          <w:b/>
          <w:bCs/>
          <w:snapToGrid w:val="0"/>
          <w:color w:val="000000"/>
          <w:sz w:val="28"/>
          <w:szCs w:val="28"/>
          <w:lang w:val="en-US" w:eastAsia="zh-CN" w:bidi="ar-SA"/>
        </w:rPr>
        <w:id w:val="147455576"/>
        <w15:color w:val="DBDBDB"/>
        <w:docPartObj>
          <w:docPartGallery w:val="Table of Contents"/>
          <w:docPartUnique/>
        </w:docPartObj>
      </w:sdtPr>
      <w:sdtEndPr>
        <w:rPr>
          <w:rFonts w:hint="eastAsia" w:ascii="宋体" w:hAnsi="宋体" w:eastAsia="宋体" w:cs="宋体"/>
          <w:b/>
          <w:bCs/>
          <w:snapToGrid w:val="0"/>
          <w:color w:val="000000"/>
          <w:sz w:val="28"/>
          <w:szCs w:val="28"/>
          <w:lang w:val="en-US" w:eastAsia="zh-CN" w:bidi="ar-SA"/>
        </w:rPr>
      </w:sdtEndPr>
      <w:sdtContent>
        <w:p w14:paraId="496433A2">
          <w:pPr>
            <w:spacing w:before="0" w:beforeLines="0" w:after="0" w:afterLines="0" w:line="360" w:lineRule="auto"/>
            <w:ind w:left="0" w:leftChars="0" w:right="0" w:rightChars="0" w:firstLine="0" w:firstLineChars="0"/>
            <w:jc w:val="center"/>
            <w:rPr>
              <w:rFonts w:hint="eastAsia" w:ascii="宋体" w:hAnsi="宋体" w:eastAsia="宋体" w:cs="宋体"/>
              <w:b/>
              <w:bCs/>
              <w:sz w:val="28"/>
              <w:szCs w:val="28"/>
            </w:rPr>
          </w:pPr>
          <w:r>
            <w:rPr>
              <w:rFonts w:hint="eastAsia" w:ascii="宋体" w:hAnsi="宋体" w:eastAsia="宋体" w:cs="宋体"/>
              <w:b/>
              <w:bCs/>
              <w:sz w:val="28"/>
              <w:szCs w:val="28"/>
            </w:rPr>
            <w:t>目录</w:t>
          </w:r>
        </w:p>
        <w:p w14:paraId="6BBD4646">
          <w:pPr>
            <w:pStyle w:val="13"/>
            <w:tabs>
              <w:tab w:val="right" w:leader="dot" w:pos="9183"/>
            </w:tabs>
            <w:spacing w:line="360" w:lineRule="auto"/>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TOC \o "1-1" \h \u </w:instrText>
          </w:r>
          <w:r>
            <w:rPr>
              <w:rFonts w:hint="eastAsia" w:ascii="宋体" w:hAnsi="宋体" w:eastAsia="宋体" w:cs="宋体"/>
              <w:sz w:val="28"/>
              <w:szCs w:val="28"/>
            </w:rPr>
            <w:fldChar w:fldCharType="separate"/>
          </w:r>
        </w:p>
        <w:p w14:paraId="4BFDAA49">
          <w:pPr>
            <w:pStyle w:val="13"/>
            <w:tabs>
              <w:tab w:val="right" w:leader="dot" w:pos="9183"/>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_Toc23495 </w:instrText>
          </w:r>
          <w:r>
            <w:rPr>
              <w:rFonts w:hint="eastAsia" w:ascii="宋体" w:hAnsi="宋体" w:eastAsia="宋体" w:cs="宋体"/>
              <w:sz w:val="24"/>
              <w:szCs w:val="24"/>
            </w:rPr>
            <w:fldChar w:fldCharType="separate"/>
          </w:r>
          <w:r>
            <w:rPr>
              <w:rFonts w:hint="eastAsia" w:ascii="宋体" w:hAnsi="宋体" w:eastAsia="宋体" w:cs="宋体"/>
              <w:spacing w:val="-3"/>
              <w:sz w:val="24"/>
              <w:szCs w:val="24"/>
              <w:lang w:val="en-US" w:eastAsia="zh-CN"/>
              <w14:textOutline w14:w="6527" w14:cap="flat" w14:cmpd="sng" w14:algn="ctr">
                <w14:solidFill>
                  <w14:srgbClr w14:val="000000"/>
                </w14:solidFill>
                <w14:prstDash w14:val="solid"/>
                <w14:miter w14:val="0"/>
              </w14:textOutline>
            </w:rPr>
            <w:t>一、</w:t>
          </w:r>
          <w:r>
            <w:rPr>
              <w:rFonts w:hint="eastAsia" w:ascii="宋体" w:hAnsi="宋体" w:eastAsia="宋体" w:cs="宋体"/>
              <w:spacing w:val="-3"/>
              <w:sz w:val="24"/>
              <w:szCs w:val="24"/>
              <w14:textOutline w14:w="6527" w14:cap="flat" w14:cmpd="sng" w14:algn="ctr">
                <w14:solidFill>
                  <w14:srgbClr w14:val="000000"/>
                </w14:solidFill>
                <w14:prstDash w14:val="solid"/>
                <w14:miter w14:val="0"/>
              </w14:textOutline>
            </w:rPr>
            <w:t>投标邀请书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_Toc23495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26B7E46">
          <w:pPr>
            <w:pStyle w:val="13"/>
            <w:tabs>
              <w:tab w:val="right" w:leader="dot" w:pos="9183"/>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_Toc25726 </w:instrText>
          </w:r>
          <w:r>
            <w:rPr>
              <w:rFonts w:hint="eastAsia" w:ascii="宋体" w:hAnsi="宋体" w:eastAsia="宋体" w:cs="宋体"/>
              <w:sz w:val="24"/>
              <w:szCs w:val="24"/>
            </w:rPr>
            <w:fldChar w:fldCharType="separate"/>
          </w:r>
          <w:r>
            <w:rPr>
              <w:rFonts w:hint="eastAsia" w:ascii="宋体" w:hAnsi="宋体" w:eastAsia="宋体" w:cs="宋体"/>
              <w:spacing w:val="-3"/>
              <w:sz w:val="24"/>
              <w:szCs w:val="24"/>
              <w:lang w:val="en-US" w:eastAsia="zh-CN"/>
              <w14:textOutline w14:w="6527" w14:cap="flat" w14:cmpd="sng" w14:algn="ctr">
                <w14:solidFill>
                  <w14:srgbClr w14:val="000000"/>
                </w14:solidFill>
                <w14:prstDash w14:val="solid"/>
                <w14:miter w14:val="0"/>
              </w14:textOutline>
            </w:rPr>
            <w:t>二、</w:t>
          </w:r>
          <w:r>
            <w:rPr>
              <w:rFonts w:hint="eastAsia" w:ascii="宋体" w:hAnsi="宋体" w:eastAsia="宋体" w:cs="宋体"/>
              <w:spacing w:val="-3"/>
              <w:sz w:val="24"/>
              <w:szCs w:val="24"/>
              <w14:textOutline w14:w="6527" w14:cap="flat" w14:cmpd="sng" w14:algn="ctr">
                <w14:solidFill>
                  <w14:srgbClr w14:val="000000"/>
                </w14:solidFill>
                <w14:prstDash w14:val="solid"/>
                <w14:miter w14:val="0"/>
              </w14:textOutline>
            </w:rPr>
            <w:t>投标人须知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_Toc25726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7CA21DC">
          <w:pPr>
            <w:pStyle w:val="13"/>
            <w:tabs>
              <w:tab w:val="right" w:leader="dot" w:pos="9183"/>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_Toc14207 </w:instrText>
          </w:r>
          <w:r>
            <w:rPr>
              <w:rFonts w:hint="eastAsia" w:ascii="宋体" w:hAnsi="宋体" w:eastAsia="宋体" w:cs="宋体"/>
              <w:sz w:val="24"/>
              <w:szCs w:val="24"/>
            </w:rPr>
            <w:fldChar w:fldCharType="separate"/>
          </w:r>
          <w:r>
            <w:rPr>
              <w:rFonts w:hint="eastAsia" w:ascii="宋体" w:hAnsi="宋体" w:eastAsia="宋体" w:cs="宋体"/>
              <w:spacing w:val="-3"/>
              <w:sz w:val="24"/>
              <w:szCs w:val="24"/>
              <w:lang w:val="en-US" w:eastAsia="zh-CN"/>
              <w14:textOutline w14:w="6527" w14:cap="flat" w14:cmpd="sng" w14:algn="ctr">
                <w14:solidFill>
                  <w14:srgbClr w14:val="000000"/>
                </w14:solidFill>
                <w14:prstDash w14:val="solid"/>
                <w14:miter w14:val="0"/>
              </w14:textOutline>
            </w:rPr>
            <w:t>三、评标办法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_Toc14207 \h </w:instrText>
          </w:r>
          <w:r>
            <w:rPr>
              <w:rFonts w:hint="eastAsia" w:ascii="宋体" w:hAnsi="宋体" w:eastAsia="宋体" w:cs="宋体"/>
              <w:sz w:val="24"/>
              <w:szCs w:val="24"/>
            </w:rPr>
            <w:fldChar w:fldCharType="separate"/>
          </w:r>
          <w:r>
            <w:rPr>
              <w:rFonts w:hint="eastAsia" w:ascii="宋体" w:hAnsi="宋体" w:eastAsia="宋体" w:cs="宋体"/>
              <w:sz w:val="24"/>
              <w:szCs w:val="24"/>
            </w:rPr>
            <w:t>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2E963F2">
          <w:pPr>
            <w:pStyle w:val="13"/>
            <w:tabs>
              <w:tab w:val="right" w:leader="dot" w:pos="9183"/>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_Toc14784 </w:instrText>
          </w:r>
          <w:r>
            <w:rPr>
              <w:rFonts w:hint="eastAsia" w:ascii="宋体" w:hAnsi="宋体" w:eastAsia="宋体" w:cs="宋体"/>
              <w:sz w:val="24"/>
              <w:szCs w:val="24"/>
            </w:rPr>
            <w:fldChar w:fldCharType="separate"/>
          </w:r>
          <w:r>
            <w:rPr>
              <w:rFonts w:hint="eastAsia" w:ascii="宋体" w:hAnsi="宋体" w:eastAsia="宋体" w:cs="宋体"/>
              <w:spacing w:val="-3"/>
              <w:sz w:val="24"/>
              <w:szCs w:val="24"/>
              <w:lang w:val="en-US" w:eastAsia="zh-CN"/>
              <w14:textOutline w14:w="6527" w14:cap="flat" w14:cmpd="sng" w14:algn="ctr">
                <w14:solidFill>
                  <w14:srgbClr w14:val="000000"/>
                </w14:solidFill>
                <w14:prstDash w14:val="solid"/>
                <w14:miter w14:val="0"/>
              </w14:textOutline>
            </w:rPr>
            <w:t>四、综合评标评分标准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_Toc14784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96DF861">
          <w:pPr>
            <w:pStyle w:val="13"/>
            <w:tabs>
              <w:tab w:val="right" w:leader="dot" w:pos="9183"/>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_Toc7216 </w:instrText>
          </w:r>
          <w:r>
            <w:rPr>
              <w:rFonts w:hint="eastAsia" w:ascii="宋体" w:hAnsi="宋体" w:eastAsia="宋体" w:cs="宋体"/>
              <w:sz w:val="24"/>
              <w:szCs w:val="24"/>
            </w:rPr>
            <w:fldChar w:fldCharType="separate"/>
          </w:r>
          <w:r>
            <w:rPr>
              <w:rFonts w:hint="eastAsia" w:ascii="宋体" w:hAnsi="宋体" w:eastAsia="宋体" w:cs="宋体"/>
              <w:spacing w:val="-3"/>
              <w:sz w:val="24"/>
              <w:szCs w:val="24"/>
              <w:lang w:val="en-US" w:eastAsia="zh-CN"/>
              <w14:textOutline w14:w="6527" w14:cap="flat" w14:cmpd="sng" w14:algn="ctr">
                <w14:solidFill>
                  <w14:srgbClr w14:val="000000"/>
                </w14:solidFill>
                <w14:prstDash w14:val="solid"/>
                <w14:miter w14:val="0"/>
              </w14:textOutline>
            </w:rPr>
            <w:t>五、技术要求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_Toc7216 \h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EFAFE10">
          <w:pPr>
            <w:pStyle w:val="13"/>
            <w:tabs>
              <w:tab w:val="right" w:leader="dot" w:pos="9183"/>
            </w:tabs>
            <w:spacing w:line="360" w:lineRule="auto"/>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_Toc30455 </w:instrText>
          </w:r>
          <w:r>
            <w:rPr>
              <w:rFonts w:hint="eastAsia" w:ascii="宋体" w:hAnsi="宋体" w:eastAsia="宋体" w:cs="宋体"/>
              <w:sz w:val="24"/>
              <w:szCs w:val="24"/>
            </w:rPr>
            <w:fldChar w:fldCharType="separate"/>
          </w:r>
          <w:r>
            <w:rPr>
              <w:rFonts w:hint="eastAsia" w:ascii="宋体" w:hAnsi="宋体" w:eastAsia="宋体" w:cs="宋体"/>
              <w:spacing w:val="-3"/>
              <w:sz w:val="24"/>
              <w:szCs w:val="24"/>
              <w:lang w:val="en-US" w:eastAsia="zh-CN"/>
              <w14:textOutline w14:w="6527" w14:cap="flat" w14:cmpd="sng" w14:algn="ctr">
                <w14:solidFill>
                  <w14:srgbClr w14:val="000000"/>
                </w14:solidFill>
                <w14:prstDash w14:val="solid"/>
                <w14:miter w14:val="0"/>
              </w14:textOutline>
            </w:rPr>
            <w:t>六、采购合同（模版）</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_Toc30455 \h </w:instrText>
          </w:r>
          <w:r>
            <w:rPr>
              <w:rFonts w:hint="eastAsia" w:ascii="宋体" w:hAnsi="宋体" w:eastAsia="宋体" w:cs="宋体"/>
              <w:sz w:val="24"/>
              <w:szCs w:val="24"/>
            </w:rPr>
            <w:fldChar w:fldCharType="separate"/>
          </w:r>
          <w:r>
            <w:rPr>
              <w:rFonts w:hint="eastAsia" w:ascii="宋体" w:hAnsi="宋体" w:eastAsia="宋体" w:cs="宋体"/>
              <w:sz w:val="24"/>
              <w:szCs w:val="24"/>
            </w:rPr>
            <w:t>11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CEC70CD">
          <w:pPr>
            <w:spacing w:before="240" w:beforeLines="100" w:after="120" w:afterLines="50" w:line="360" w:lineRule="auto"/>
            <w:jc w:val="both"/>
            <w:outlineLvl w:val="0"/>
            <w:rPr>
              <w:rFonts w:hint="eastAsia" w:ascii="宋体" w:hAnsi="宋体" w:eastAsia="宋体" w:cs="宋体"/>
              <w:b/>
              <w:bCs/>
              <w:snapToGrid w:val="0"/>
              <w:color w:val="000000"/>
              <w:sz w:val="28"/>
              <w:szCs w:val="28"/>
              <w:lang w:val="en-US" w:eastAsia="zh-CN" w:bidi="ar-SA"/>
            </w:rPr>
          </w:pPr>
          <w:r>
            <w:rPr>
              <w:rFonts w:hint="eastAsia" w:ascii="宋体" w:hAnsi="宋体" w:eastAsia="宋体" w:cs="宋体"/>
              <w:szCs w:val="28"/>
            </w:rPr>
            <w:fldChar w:fldCharType="end"/>
          </w:r>
        </w:p>
      </w:sdtContent>
    </w:sdt>
    <w:p w14:paraId="5820712C">
      <w:pPr>
        <w:pStyle w:val="2"/>
        <w:spacing w:line="360" w:lineRule="auto"/>
        <w:rPr>
          <w:rFonts w:hint="eastAsia"/>
          <w:lang w:val="en-US" w:eastAsia="zh-CN"/>
        </w:rPr>
        <w:sectPr>
          <w:headerReference r:id="rId5" w:type="default"/>
          <w:footerReference r:id="rId6" w:type="default"/>
          <w:pgSz w:w="11907" w:h="16839"/>
          <w:pgMar w:top="1432" w:right="1335" w:bottom="1201" w:left="1389" w:header="852" w:footer="1021" w:gutter="0"/>
          <w:pgNumType w:fmt="decimal"/>
          <w:cols w:space="720" w:num="1"/>
        </w:sectPr>
      </w:pPr>
    </w:p>
    <w:p w14:paraId="75C57529">
      <w:pPr>
        <w:spacing w:before="240" w:beforeLines="100" w:after="120" w:afterLines="50" w:line="360" w:lineRule="auto"/>
        <w:jc w:val="center"/>
        <w:outlineLvl w:val="0"/>
        <w:rPr>
          <w:rFonts w:hint="eastAsia" w:ascii="宋体" w:hAnsi="宋体" w:eastAsia="宋体" w:cs="宋体"/>
          <w:sz w:val="36"/>
          <w:szCs w:val="36"/>
        </w:rPr>
      </w:pPr>
      <w:bookmarkStart w:id="11" w:name="_Toc23495"/>
      <w:r>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t>一、</w:t>
      </w:r>
      <w:r>
        <w:rPr>
          <w:rFonts w:hint="eastAsia" w:ascii="宋体" w:hAnsi="宋体" w:eastAsia="宋体" w:cs="宋体"/>
          <w:spacing w:val="-3"/>
          <w:sz w:val="36"/>
          <w:szCs w:val="36"/>
          <w14:textOutline w14:w="6527" w14:cap="flat" w14:cmpd="sng" w14:algn="ctr">
            <w14:solidFill>
              <w14:srgbClr w14:val="000000"/>
            </w14:solidFill>
            <w14:prstDash w14:val="solid"/>
            <w14:miter w14:val="0"/>
          </w14:textOutline>
        </w:rPr>
        <w:t>投标邀请书</w:t>
      </w:r>
      <w:bookmarkEnd w:id="0"/>
      <w:bookmarkEnd w:id="1"/>
      <w:bookmarkEnd w:id="11"/>
    </w:p>
    <w:p w14:paraId="57E5183C">
      <w:pPr>
        <w:tabs>
          <w:tab w:val="left" w:pos="2648"/>
        </w:tabs>
        <w:spacing w:line="360" w:lineRule="auto"/>
        <w:rPr>
          <w:rFonts w:hint="eastAsia" w:ascii="宋体" w:hAnsi="宋体" w:eastAsia="宋体" w:cs="宋体"/>
          <w:sz w:val="24"/>
          <w:szCs w:val="24"/>
        </w:rPr>
      </w:pPr>
      <w:bookmarkStart w:id="12" w:name="_Hlk121147898"/>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06F3041D">
      <w:pPr>
        <w:tabs>
          <w:tab w:val="left" w:pos="1446"/>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招标人中国机械总院集团海西（福建）分院有限公司根据生产所需，现决定通过邀请招标方式采购招标编号：</w:t>
      </w:r>
      <w:r>
        <w:rPr>
          <w:rFonts w:hint="eastAsia" w:ascii="宋体" w:hAnsi="宋体" w:eastAsia="宋体" w:cs="宋体"/>
          <w:sz w:val="24"/>
          <w:szCs w:val="24"/>
          <w:u w:val="single"/>
        </w:rPr>
        <w:t xml:space="preserve"> </w:t>
      </w:r>
      <w:r>
        <w:rPr>
          <w:rFonts w:hint="eastAsia" w:ascii="宋体" w:hAnsi="宋体" w:eastAsia="宋体" w:cs="宋体"/>
          <w:b w:val="0"/>
          <w:bCs w:val="0"/>
          <w:sz w:val="28"/>
          <w:szCs w:val="28"/>
          <w:highlight w:val="none"/>
          <w:u w:val="single"/>
        </w:rPr>
        <w:t>HXZB202</w:t>
      </w:r>
      <w:r>
        <w:rPr>
          <w:rFonts w:hint="eastAsia" w:ascii="宋体" w:hAnsi="宋体" w:eastAsia="宋体" w:cs="宋体"/>
          <w:b w:val="0"/>
          <w:bCs w:val="0"/>
          <w:sz w:val="28"/>
          <w:szCs w:val="28"/>
          <w:highlight w:val="none"/>
          <w:u w:val="single"/>
          <w:lang w:val="en-US" w:eastAsia="zh-CN"/>
        </w:rPr>
        <w:t>5052601</w:t>
      </w:r>
      <w:r>
        <w:rPr>
          <w:rFonts w:hint="eastAsia" w:ascii="宋体" w:hAnsi="宋体" w:eastAsia="宋体" w:cs="宋体"/>
          <w:spacing w:val="-2"/>
          <w:sz w:val="28"/>
          <w:szCs w:val="28"/>
          <w:u w:val="single"/>
        </w:rPr>
        <w:t xml:space="preserve"> </w:t>
      </w:r>
      <w:r>
        <w:rPr>
          <w:rFonts w:hint="eastAsia" w:ascii="宋体" w:hAnsi="宋体" w:eastAsia="宋体" w:cs="宋体"/>
          <w:sz w:val="24"/>
          <w:szCs w:val="24"/>
        </w:rPr>
        <w:t xml:space="preserve"> ，项目名称：</w:t>
      </w:r>
      <w:r>
        <w:rPr>
          <w:rFonts w:hint="eastAsia" w:ascii="宋体" w:hAnsi="宋体" w:eastAsia="宋体" w:cs="宋体"/>
          <w:sz w:val="24"/>
          <w:szCs w:val="24"/>
          <w:u w:val="single"/>
        </w:rPr>
        <w:t xml:space="preserve"> </w:t>
      </w:r>
      <w:r>
        <w:rPr>
          <w:rFonts w:hint="eastAsia" w:ascii="宋体" w:hAnsi="宋体" w:eastAsia="宋体" w:cs="宋体"/>
          <w:color w:val="auto"/>
          <w:sz w:val="24"/>
          <w:szCs w:val="24"/>
          <w:u w:val="single"/>
          <w:lang w:val="en-US" w:eastAsia="zh-CN"/>
        </w:rPr>
        <w:t xml:space="preserve"> 高纯石墨方采购项目 </w:t>
      </w:r>
      <w:r>
        <w:rPr>
          <w:rFonts w:hint="eastAsia" w:ascii="宋体" w:hAnsi="宋体" w:eastAsia="宋体" w:cs="宋体"/>
          <w:sz w:val="24"/>
          <w:szCs w:val="24"/>
          <w:u w:val="single"/>
        </w:rPr>
        <w:t xml:space="preserve"> </w:t>
      </w:r>
      <w:r>
        <w:rPr>
          <w:rFonts w:hint="eastAsia" w:ascii="宋体" w:hAnsi="宋体" w:eastAsia="宋体" w:cs="宋体"/>
          <w:sz w:val="24"/>
          <w:szCs w:val="24"/>
        </w:rPr>
        <w:t>。经过对多个单位的初步资格审查，贵单位被</w:t>
      </w:r>
      <w:bookmarkEnd w:id="12"/>
      <w:r>
        <w:rPr>
          <w:rFonts w:hint="eastAsia" w:ascii="宋体" w:hAnsi="宋体" w:eastAsia="宋体" w:cs="宋体"/>
          <w:sz w:val="24"/>
          <w:szCs w:val="24"/>
        </w:rPr>
        <w:t>选为具有承担提供该采购项目能力的被邀请单位之一，特致函邀请贵单位参加该采购项目的投标活动。我们将通过邀请招标方式，最后确定中标单位。</w:t>
      </w:r>
    </w:p>
    <w:p w14:paraId="1776BDF2">
      <w:pPr>
        <w:pStyle w:val="27"/>
        <w:numPr>
          <w:ilvl w:val="0"/>
          <w:numId w:val="1"/>
        </w:numPr>
        <w:kinsoku/>
        <w:spacing w:line="360" w:lineRule="auto"/>
        <w:ind w:left="0" w:firstLine="480"/>
        <w:outlineLvl w:val="0"/>
        <w:rPr>
          <w:rFonts w:hint="eastAsia" w:ascii="宋体" w:hAnsi="宋体" w:eastAsia="宋体" w:cs="宋体"/>
          <w:sz w:val="24"/>
          <w:szCs w:val="24"/>
        </w:rPr>
      </w:pPr>
      <w:bookmarkStart w:id="13" w:name="_Toc23627"/>
      <w:bookmarkStart w:id="14" w:name="_Toc30218"/>
      <w:bookmarkStart w:id="15" w:name="_Toc30525"/>
      <w:bookmarkStart w:id="16" w:name="_Toc3942"/>
      <w:bookmarkStart w:id="17" w:name="_Toc3520"/>
      <w:bookmarkStart w:id="18" w:name="_Toc13304"/>
      <w:r>
        <w:rPr>
          <w:rFonts w:hint="eastAsia" w:ascii="宋体" w:hAnsi="宋体" w:eastAsia="宋体" w:cs="宋体"/>
          <w:sz w:val="24"/>
          <w:szCs w:val="24"/>
        </w:rPr>
        <w:t>招标内容、型号规格（见下表）</w:t>
      </w:r>
      <w:bookmarkEnd w:id="13"/>
      <w:bookmarkEnd w:id="14"/>
      <w:bookmarkEnd w:id="15"/>
      <w:bookmarkEnd w:id="16"/>
      <w:bookmarkEnd w:id="17"/>
      <w:bookmarkEnd w:id="18"/>
    </w:p>
    <w:tbl>
      <w:tblPr>
        <w:tblStyle w:val="21"/>
        <w:tblpPr w:leftFromText="180" w:rightFromText="180" w:vertAnchor="text" w:horzAnchor="margin" w:tblpXSpec="center" w:tblpY="75"/>
        <w:tblOverlap w:val="never"/>
        <w:tblW w:w="1047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7"/>
        <w:gridCol w:w="1591"/>
        <w:gridCol w:w="1821"/>
        <w:gridCol w:w="1881"/>
        <w:gridCol w:w="783"/>
        <w:gridCol w:w="936"/>
        <w:gridCol w:w="1404"/>
        <w:gridCol w:w="1203"/>
      </w:tblGrid>
      <w:tr w14:paraId="4F147C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jc w:val="center"/>
        </w:trPr>
        <w:tc>
          <w:tcPr>
            <w:tcW w:w="857" w:type="dxa"/>
            <w:vAlign w:val="center"/>
          </w:tcPr>
          <w:p w14:paraId="04B913D6">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591" w:type="dxa"/>
            <w:vAlign w:val="center"/>
          </w:tcPr>
          <w:p w14:paraId="2639A4A0">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原料名称</w:t>
            </w:r>
          </w:p>
        </w:tc>
        <w:tc>
          <w:tcPr>
            <w:tcW w:w="1821" w:type="dxa"/>
            <w:tcBorders>
              <w:right w:val="single" w:color="auto" w:sz="4" w:space="0"/>
            </w:tcBorders>
            <w:vAlign w:val="center"/>
          </w:tcPr>
          <w:p w14:paraId="67C8B53E">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型号规格</w:t>
            </w:r>
          </w:p>
        </w:tc>
        <w:tc>
          <w:tcPr>
            <w:tcW w:w="1881" w:type="dxa"/>
            <w:tcBorders>
              <w:left w:val="single" w:color="auto" w:sz="4" w:space="0"/>
            </w:tcBorders>
            <w:vAlign w:val="center"/>
          </w:tcPr>
          <w:p w14:paraId="7719AF0B">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技术要求</w:t>
            </w:r>
          </w:p>
        </w:tc>
        <w:tc>
          <w:tcPr>
            <w:tcW w:w="783" w:type="dxa"/>
            <w:tcBorders>
              <w:left w:val="single" w:color="auto" w:sz="4" w:space="0"/>
            </w:tcBorders>
            <w:vAlign w:val="center"/>
          </w:tcPr>
          <w:p w14:paraId="79D0C603">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单位</w:t>
            </w:r>
          </w:p>
        </w:tc>
        <w:tc>
          <w:tcPr>
            <w:tcW w:w="936" w:type="dxa"/>
            <w:vAlign w:val="center"/>
          </w:tcPr>
          <w:p w14:paraId="4A9FE394">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数量</w:t>
            </w:r>
          </w:p>
        </w:tc>
        <w:tc>
          <w:tcPr>
            <w:tcW w:w="1404" w:type="dxa"/>
            <w:vAlign w:val="center"/>
          </w:tcPr>
          <w:p w14:paraId="26B13729">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交货期</w:t>
            </w:r>
          </w:p>
        </w:tc>
        <w:tc>
          <w:tcPr>
            <w:tcW w:w="1203" w:type="dxa"/>
            <w:vAlign w:val="center"/>
          </w:tcPr>
          <w:p w14:paraId="091567E0">
            <w:pPr>
              <w:spacing w:line="360" w:lineRule="auto"/>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备注</w:t>
            </w:r>
          </w:p>
        </w:tc>
      </w:tr>
      <w:tr w14:paraId="5603BC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1" w:hRule="atLeast"/>
          <w:jc w:val="center"/>
        </w:trPr>
        <w:tc>
          <w:tcPr>
            <w:tcW w:w="857" w:type="dxa"/>
            <w:vAlign w:val="center"/>
          </w:tcPr>
          <w:p w14:paraId="56CCA818">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591" w:type="dxa"/>
            <w:vAlign w:val="center"/>
          </w:tcPr>
          <w:p w14:paraId="33687995">
            <w:pPr>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高纯石墨方</w:t>
            </w:r>
          </w:p>
        </w:tc>
        <w:tc>
          <w:tcPr>
            <w:tcW w:w="1821" w:type="dxa"/>
            <w:tcBorders>
              <w:right w:val="single" w:color="auto" w:sz="4" w:space="0"/>
            </w:tcBorders>
            <w:vAlign w:val="center"/>
          </w:tcPr>
          <w:p w14:paraId="065ACF11">
            <w:pPr>
              <w:pStyle w:val="2"/>
              <w:spacing w:line="360" w:lineRule="auto"/>
              <w:ind w:left="0" w:leftChars="0" w:firstLine="0" w:firstLineChars="0"/>
              <w:jc w:val="both"/>
              <w:rPr>
                <w:rFonts w:hint="eastAsia"/>
                <w:lang w:val="en-US" w:eastAsia="zh-CN"/>
              </w:rPr>
            </w:pPr>
            <w:r>
              <w:rPr>
                <w:rFonts w:hint="eastAsia" w:ascii="宋体" w:hAnsi="宋体" w:eastAsia="宋体" w:cs="宋体"/>
                <w:sz w:val="24"/>
                <w:szCs w:val="24"/>
                <w:lang w:val="en-US" w:eastAsia="zh-CN"/>
              </w:rPr>
              <w:t>740*740*260mm</w:t>
            </w:r>
          </w:p>
        </w:tc>
        <w:tc>
          <w:tcPr>
            <w:tcW w:w="1881" w:type="dxa"/>
            <w:tcBorders>
              <w:left w:val="single" w:color="auto" w:sz="4" w:space="0"/>
            </w:tcBorders>
            <w:vAlign w:val="center"/>
          </w:tcPr>
          <w:p w14:paraId="5B3A68B4">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密度≥1.78g/c㎥</w:t>
            </w:r>
          </w:p>
        </w:tc>
        <w:tc>
          <w:tcPr>
            <w:tcW w:w="783" w:type="dxa"/>
            <w:tcBorders>
              <w:left w:val="single" w:color="auto" w:sz="4" w:space="0"/>
            </w:tcBorders>
            <w:vAlign w:val="center"/>
          </w:tcPr>
          <w:p w14:paraId="041B8089">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吨</w:t>
            </w:r>
          </w:p>
        </w:tc>
        <w:tc>
          <w:tcPr>
            <w:tcW w:w="936" w:type="dxa"/>
            <w:vAlign w:val="center"/>
          </w:tcPr>
          <w:p w14:paraId="33B92EB4">
            <w:pPr>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约42</w:t>
            </w:r>
          </w:p>
        </w:tc>
        <w:tc>
          <w:tcPr>
            <w:tcW w:w="1404" w:type="dxa"/>
            <w:vAlign w:val="center"/>
          </w:tcPr>
          <w:p w14:paraId="0C42CE22">
            <w:pPr>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2025.06.15</w:t>
            </w:r>
          </w:p>
        </w:tc>
        <w:tc>
          <w:tcPr>
            <w:tcW w:w="1203" w:type="dxa"/>
            <w:vAlign w:val="center"/>
          </w:tcPr>
          <w:p w14:paraId="2626AA01">
            <w:pPr>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163块</w:t>
            </w:r>
          </w:p>
        </w:tc>
      </w:tr>
    </w:tbl>
    <w:p w14:paraId="54E1654C">
      <w:pPr>
        <w:spacing w:before="120" w:before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(具体相关信息如技术参数、规格、质量标准、包装、运输费等要求请与我单位相关人员联系，联系人：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徐小姐</w:t>
      </w:r>
      <w:r>
        <w:rPr>
          <w:rFonts w:hint="eastAsia" w:ascii="宋体" w:hAnsi="宋体" w:eastAsia="宋体" w:cs="宋体"/>
          <w:sz w:val="24"/>
          <w:szCs w:val="24"/>
          <w:u w:val="single"/>
        </w:rPr>
        <w:t xml:space="preserve">  </w:t>
      </w:r>
      <w:r>
        <w:rPr>
          <w:rFonts w:hint="eastAsia" w:ascii="宋体" w:hAnsi="宋体" w:eastAsia="宋体" w:cs="宋体"/>
          <w:sz w:val="24"/>
          <w:szCs w:val="24"/>
        </w:rPr>
        <w:t>联系电话：</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13779993180</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778417BF">
      <w:pPr>
        <w:pStyle w:val="27"/>
        <w:numPr>
          <w:ilvl w:val="0"/>
          <w:numId w:val="1"/>
        </w:numPr>
        <w:kinsoku/>
        <w:spacing w:line="360" w:lineRule="auto"/>
        <w:ind w:left="0" w:firstLine="480"/>
        <w:rPr>
          <w:rFonts w:hint="eastAsia" w:ascii="宋体" w:hAnsi="宋体" w:eastAsia="宋体" w:cs="宋体"/>
          <w:color w:val="auto"/>
          <w:sz w:val="24"/>
          <w:szCs w:val="24"/>
        </w:rPr>
      </w:pPr>
      <w:r>
        <w:rPr>
          <w:rFonts w:hint="eastAsia" w:ascii="宋体" w:hAnsi="宋体" w:eastAsia="宋体" w:cs="宋体"/>
          <w:sz w:val="24"/>
          <w:szCs w:val="24"/>
        </w:rPr>
        <w:t>交货地</w:t>
      </w:r>
      <w:r>
        <w:rPr>
          <w:rFonts w:hint="eastAsia" w:ascii="宋体" w:hAnsi="宋体" w:eastAsia="宋体" w:cs="宋体"/>
          <w:color w:val="auto"/>
          <w:sz w:val="24"/>
          <w:szCs w:val="24"/>
        </w:rPr>
        <w:t>点：中国机械总院集团海西（福建）分院有限公司指定地点。</w:t>
      </w:r>
      <w:bookmarkStart w:id="171" w:name="_GoBack"/>
      <w:bookmarkEnd w:id="171"/>
    </w:p>
    <w:p w14:paraId="184E7178">
      <w:pPr>
        <w:pStyle w:val="27"/>
        <w:numPr>
          <w:ilvl w:val="0"/>
          <w:numId w:val="1"/>
        </w:numPr>
        <w:kinsoku/>
        <w:spacing w:line="360" w:lineRule="auto"/>
        <w:ind w:left="0" w:firstLine="480"/>
        <w:rPr>
          <w:rFonts w:hint="eastAsia" w:ascii="宋体" w:hAnsi="宋体" w:eastAsia="宋体" w:cs="宋体"/>
          <w:color w:val="auto"/>
          <w:sz w:val="24"/>
          <w:szCs w:val="24"/>
        </w:rPr>
      </w:pPr>
      <w:bookmarkStart w:id="19" w:name="_Toc5828"/>
      <w:r>
        <w:rPr>
          <w:rFonts w:hint="eastAsia" w:ascii="宋体" w:hAnsi="宋体" w:eastAsia="宋体" w:cs="宋体"/>
          <w:color w:val="auto"/>
          <w:sz w:val="24"/>
          <w:szCs w:val="24"/>
        </w:rPr>
        <w:t>投标截止时间：</w:t>
      </w:r>
      <w:r>
        <w:rPr>
          <w:rFonts w:hint="eastAsia" w:ascii="宋体" w:hAnsi="宋体" w:eastAsia="宋体" w:cs="宋体"/>
          <w:color w:val="auto"/>
          <w:sz w:val="24"/>
          <w:szCs w:val="24"/>
          <w:lang w:val="en-US" w:eastAsia="zh-CN"/>
        </w:rPr>
        <w:t>2025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06</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日</w:t>
      </w:r>
      <w:bookmarkEnd w:id="19"/>
    </w:p>
    <w:p w14:paraId="298CC50F">
      <w:pPr>
        <w:pStyle w:val="27"/>
        <w:numPr>
          <w:ilvl w:val="0"/>
          <w:numId w:val="1"/>
        </w:numPr>
        <w:kinsoku/>
        <w:spacing w:line="360" w:lineRule="auto"/>
        <w:ind w:left="0" w:firstLine="480"/>
        <w:rPr>
          <w:rFonts w:hint="eastAsia" w:ascii="宋体" w:hAnsi="宋体" w:eastAsia="宋体" w:cs="宋体"/>
          <w:color w:val="auto"/>
          <w:sz w:val="24"/>
          <w:szCs w:val="24"/>
        </w:rPr>
      </w:pPr>
      <w:r>
        <w:rPr>
          <w:rFonts w:hint="eastAsia" w:ascii="宋体" w:hAnsi="宋体" w:eastAsia="宋体" w:cs="宋体"/>
          <w:color w:val="auto"/>
          <w:sz w:val="24"/>
          <w:szCs w:val="24"/>
        </w:rPr>
        <w:t>投标文件的递交：拟参加本次投标的单位请于投标截止时间之前，将密封并加盖公章的文件袋，用特快专递方式邮寄到我单位（投标文件正本一份，副本四份），原则上不接受当面递送。</w:t>
      </w:r>
    </w:p>
    <w:p w14:paraId="2EE83352">
      <w:pPr>
        <w:pStyle w:val="27"/>
        <w:numPr>
          <w:ilvl w:val="0"/>
          <w:numId w:val="1"/>
        </w:numPr>
        <w:kinsoku/>
        <w:spacing w:line="360" w:lineRule="auto"/>
        <w:ind w:left="0" w:firstLine="480"/>
        <w:rPr>
          <w:rFonts w:hint="eastAsia" w:ascii="宋体" w:hAnsi="宋体" w:eastAsia="宋体" w:cs="宋体"/>
          <w:color w:val="auto"/>
          <w:sz w:val="24"/>
          <w:szCs w:val="24"/>
        </w:rPr>
      </w:pPr>
      <w:r>
        <w:rPr>
          <w:rFonts w:hint="eastAsia" w:ascii="宋体" w:hAnsi="宋体" w:eastAsia="宋体" w:cs="宋体"/>
          <w:color w:val="auto"/>
          <w:sz w:val="24"/>
          <w:szCs w:val="24"/>
        </w:rPr>
        <w:t>开标时间</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2025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06</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 xml:space="preserve"> </w:t>
      </w:r>
    </w:p>
    <w:p w14:paraId="5A17A8CE">
      <w:pPr>
        <w:pStyle w:val="27"/>
        <w:numPr>
          <w:ilvl w:val="0"/>
          <w:numId w:val="1"/>
        </w:numPr>
        <w:kinsoku/>
        <w:spacing w:line="360" w:lineRule="auto"/>
        <w:ind w:left="0" w:firstLine="480"/>
        <w:outlineLvl w:val="0"/>
        <w:rPr>
          <w:rFonts w:hint="eastAsia" w:ascii="宋体" w:hAnsi="宋体" w:eastAsia="宋体" w:cs="宋体"/>
          <w:sz w:val="24"/>
          <w:szCs w:val="24"/>
        </w:rPr>
      </w:pPr>
      <w:bookmarkStart w:id="20" w:name="_Toc24591"/>
      <w:bookmarkStart w:id="21" w:name="_Toc9339"/>
      <w:bookmarkStart w:id="22" w:name="_Toc30159"/>
      <w:bookmarkStart w:id="23" w:name="_Toc7018"/>
      <w:bookmarkStart w:id="24" w:name="_Toc27635"/>
      <w:bookmarkStart w:id="25" w:name="_Toc654"/>
      <w:r>
        <w:rPr>
          <w:rFonts w:hint="eastAsia" w:ascii="宋体" w:hAnsi="宋体" w:eastAsia="宋体" w:cs="宋体"/>
          <w:sz w:val="24"/>
          <w:szCs w:val="24"/>
        </w:rPr>
        <w:t>相关要求：</w:t>
      </w:r>
      <w:bookmarkEnd w:id="20"/>
      <w:bookmarkEnd w:id="21"/>
      <w:bookmarkEnd w:id="22"/>
      <w:bookmarkEnd w:id="23"/>
      <w:bookmarkEnd w:id="24"/>
      <w:bookmarkEnd w:id="25"/>
    </w:p>
    <w:p w14:paraId="536F1E45">
      <w:pPr>
        <w:widowControl w:val="0"/>
        <w:kinsoku/>
        <w:spacing w:line="360" w:lineRule="auto"/>
        <w:rPr>
          <w:rFonts w:hint="eastAsia" w:ascii="宋体" w:hAnsi="宋体" w:eastAsia="宋体" w:cs="宋体"/>
          <w:sz w:val="24"/>
          <w:szCs w:val="24"/>
        </w:rPr>
      </w:pP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lang w:eastAsia="zh-CN"/>
        </w:rPr>
        <w:t>）</w:t>
      </w:r>
      <w:r>
        <w:rPr>
          <w:rFonts w:hint="eastAsia" w:ascii="宋体" w:hAnsi="宋体" w:eastAsia="宋体" w:cs="宋体"/>
        </w:rPr>
        <w:fldChar w:fldCharType="begin"/>
      </w:r>
      <w:r>
        <w:rPr>
          <w:rFonts w:hint="eastAsia" w:ascii="宋体" w:hAnsi="宋体" w:eastAsia="宋体" w:cs="宋体"/>
        </w:rPr>
        <w:instrText xml:space="preserve"> HYPERLINK "http://www.haosou.com/s?q=%E6%8A%A5%E4%BB%B7%E5%8D%95&amp;ie=utf-8&amp;src=wenda_link" </w:instrText>
      </w:r>
      <w:r>
        <w:rPr>
          <w:rFonts w:hint="eastAsia" w:ascii="宋体" w:hAnsi="宋体" w:eastAsia="宋体" w:cs="宋体"/>
        </w:rPr>
        <w:fldChar w:fldCharType="separate"/>
      </w:r>
      <w:r>
        <w:rPr>
          <w:rFonts w:hint="eastAsia" w:ascii="宋体" w:hAnsi="宋体" w:eastAsia="宋体" w:cs="宋体"/>
          <w:sz w:val="24"/>
          <w:szCs w:val="24"/>
        </w:rPr>
        <w:t>投标报价单需按照我公司提供的样表填写，</w:t>
      </w:r>
      <w:r>
        <w:rPr>
          <w:rFonts w:hint="eastAsia" w:ascii="宋体" w:hAnsi="宋体" w:eastAsia="宋体" w:cs="宋体"/>
          <w:sz w:val="24"/>
          <w:szCs w:val="24"/>
        </w:rPr>
        <w:fldChar w:fldCharType="end"/>
      </w:r>
      <w:r>
        <w:rPr>
          <w:rFonts w:hint="eastAsia" w:ascii="宋体" w:hAnsi="宋体" w:eastAsia="宋体" w:cs="宋体"/>
          <w:sz w:val="24"/>
          <w:szCs w:val="24"/>
        </w:rPr>
        <w:t>特殊情况可稍作调整，内容必须填写完整、真实和准确。除投标报价表外，不得对文件格式和内容进行修改，如发现投标文件 未按我公司提供的招标文件格式填写，将视为废标。</w:t>
      </w:r>
    </w:p>
    <w:p w14:paraId="1C3AC6A2">
      <w:pPr>
        <w:widowControl w:val="0"/>
        <w:kinsoku/>
        <w:spacing w:line="360" w:lineRule="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 xml:space="preserve">密封文件袋上必须标注项目名称和投标单位名称,并注明“正式开标前，不得开启”字样。投标人投标时应提供加盖单位公章的项目技术方案、供货业绩及营业执照副本、资质证书、 </w:t>
      </w:r>
      <w:r>
        <w:rPr>
          <w:rFonts w:hint="eastAsia" w:ascii="宋体" w:hAnsi="宋体" w:eastAsia="宋体" w:cs="宋体"/>
        </w:rPr>
        <w:fldChar w:fldCharType="begin"/>
      </w:r>
      <w:r>
        <w:rPr>
          <w:rFonts w:hint="eastAsia" w:ascii="宋体" w:hAnsi="宋体" w:eastAsia="宋体" w:cs="宋体"/>
        </w:rPr>
        <w:instrText xml:space="preserve"> HYPERLINK "https://baike.baidu.com/item/%E5%AE%89%E5%85%A8%E7%94%9F%E4%BA%A7%E8%AE%B8%E5%8F%AF%E8%AF%81" </w:instrText>
      </w:r>
      <w:r>
        <w:rPr>
          <w:rFonts w:hint="eastAsia" w:ascii="宋体" w:hAnsi="宋体" w:eastAsia="宋体" w:cs="宋体"/>
        </w:rPr>
        <w:fldChar w:fldCharType="separate"/>
      </w:r>
      <w:r>
        <w:rPr>
          <w:rFonts w:hint="eastAsia" w:ascii="宋体" w:hAnsi="宋体" w:eastAsia="宋体" w:cs="宋体"/>
          <w:sz w:val="24"/>
          <w:szCs w:val="24"/>
        </w:rPr>
        <w:t>安全生产许可证等</w:t>
      </w:r>
      <w:r>
        <w:rPr>
          <w:rFonts w:hint="eastAsia" w:ascii="宋体" w:hAnsi="宋体" w:eastAsia="宋体" w:cs="宋体"/>
          <w:sz w:val="24"/>
          <w:szCs w:val="24"/>
        </w:rPr>
        <w:fldChar w:fldCharType="end"/>
      </w:r>
      <w:r>
        <w:rPr>
          <w:rFonts w:hint="eastAsia" w:ascii="宋体" w:hAnsi="宋体" w:eastAsia="宋体" w:cs="宋体"/>
          <w:sz w:val="24"/>
          <w:szCs w:val="24"/>
        </w:rPr>
        <w:t>证书复印件。</w:t>
      </w:r>
    </w:p>
    <w:p w14:paraId="619D7059">
      <w:pPr>
        <w:widowControl w:val="0"/>
        <w:kinsoku/>
        <w:spacing w:line="360" w:lineRule="auto"/>
        <w:ind w:firstLine="480" w:firstLineChars="200"/>
        <w:rPr>
          <w:rFonts w:hint="eastAsia" w:ascii="宋体" w:hAnsi="宋体" w:eastAsia="宋体" w:cs="宋体"/>
          <w:snapToGrid w:val="0"/>
          <w:color w:val="000000"/>
          <w:sz w:val="24"/>
          <w:szCs w:val="24"/>
          <w:lang w:val="en-US" w:eastAsia="zh-CN" w:bidi="ar-SA"/>
        </w:rPr>
      </w:pPr>
      <w:r>
        <w:rPr>
          <w:rFonts w:hint="eastAsia" w:ascii="宋体" w:hAnsi="宋体" w:eastAsia="宋体" w:cs="宋体"/>
          <w:snapToGrid w:val="0"/>
          <w:color w:val="000000"/>
          <w:sz w:val="24"/>
          <w:szCs w:val="24"/>
          <w:lang w:val="en-US" w:eastAsia="zh-CN" w:bidi="ar-SA"/>
        </w:rPr>
        <w:t>（3）本次招标报价税率为13%。</w:t>
      </w:r>
    </w:p>
    <w:p w14:paraId="0C0EF5CF">
      <w:pPr>
        <w:pStyle w:val="2"/>
        <w:spacing w:line="360" w:lineRule="auto"/>
        <w:ind w:left="0" w:leftChars="0" w:firstLine="480" w:firstLineChars="0"/>
        <w:rPr>
          <w:rFonts w:hint="eastAsia" w:ascii="宋体" w:hAnsi="宋体" w:eastAsia="宋体" w:cs="宋体"/>
          <w:snapToGrid w:val="0"/>
          <w:color w:val="000000"/>
          <w:sz w:val="24"/>
          <w:szCs w:val="24"/>
          <w:lang w:val="en-US" w:eastAsia="zh-CN" w:bidi="ar-SA"/>
        </w:rPr>
      </w:pPr>
      <w:r>
        <w:rPr>
          <w:rFonts w:hint="eastAsia" w:ascii="宋体" w:hAnsi="宋体" w:eastAsia="宋体" w:cs="宋体"/>
          <w:snapToGrid w:val="0"/>
          <w:color w:val="000000"/>
          <w:sz w:val="24"/>
          <w:szCs w:val="24"/>
          <w:lang w:val="en-US" w:eastAsia="zh-CN" w:bidi="ar-SA"/>
        </w:rPr>
        <w:t>（4）营业执照</w:t>
      </w:r>
    </w:p>
    <w:p w14:paraId="7B0CFA4B">
      <w:pPr>
        <w:pStyle w:val="2"/>
        <w:spacing w:line="360" w:lineRule="auto"/>
        <w:ind w:left="0" w:leftChars="0" w:firstLine="480" w:firstLineChars="0"/>
        <w:rPr>
          <w:rFonts w:hint="eastAsia" w:ascii="宋体" w:hAnsi="宋体" w:eastAsia="宋体" w:cs="宋体"/>
          <w:color w:val="auto"/>
          <w:sz w:val="24"/>
          <w:szCs w:val="24"/>
          <w:lang w:eastAsia="zh-CN"/>
        </w:rPr>
      </w:pPr>
      <w:r>
        <w:rPr>
          <w:rFonts w:hint="eastAsia" w:ascii="宋体" w:hAnsi="宋体" w:eastAsia="宋体" w:cs="宋体"/>
          <w:snapToGrid w:val="0"/>
          <w:color w:val="000000"/>
          <w:sz w:val="24"/>
          <w:szCs w:val="24"/>
          <w:lang w:val="en-US" w:eastAsia="zh-CN" w:bidi="ar-SA"/>
        </w:rPr>
        <w:t>（5）</w:t>
      </w:r>
      <w:r>
        <w:rPr>
          <w:rFonts w:hint="eastAsia" w:ascii="宋体" w:hAnsi="宋体" w:eastAsia="宋体" w:cs="宋体"/>
          <w:color w:val="auto"/>
          <w:sz w:val="24"/>
          <w:szCs w:val="24"/>
        </w:rPr>
        <w:t>相关体系认证（质量、环境、职业健康安全</w:t>
      </w:r>
      <w:r>
        <w:rPr>
          <w:rFonts w:hint="eastAsia" w:ascii="宋体" w:hAnsi="宋体" w:eastAsia="宋体" w:cs="宋体"/>
          <w:color w:val="auto"/>
          <w:sz w:val="24"/>
          <w:szCs w:val="24"/>
          <w:lang w:eastAsia="zh-CN"/>
        </w:rPr>
        <w:t>）</w:t>
      </w:r>
    </w:p>
    <w:p w14:paraId="1045032A">
      <w:pPr>
        <w:pStyle w:val="2"/>
        <w:spacing w:line="360" w:lineRule="auto"/>
        <w:ind w:left="0" w:leftChars="0" w:firstLine="480" w:firstLineChars="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投标人近三年来承接过合同金额</w:t>
      </w:r>
      <w:r>
        <w:rPr>
          <w:rFonts w:hint="eastAsia" w:ascii="宋体" w:hAnsi="宋体" w:eastAsia="宋体" w:cs="宋体"/>
          <w:color w:val="auto"/>
          <w:sz w:val="24"/>
          <w:szCs w:val="24"/>
          <w:lang w:val="en-US" w:eastAsia="zh-CN"/>
        </w:rPr>
        <w:t>300</w:t>
      </w:r>
      <w:r>
        <w:rPr>
          <w:rFonts w:hint="eastAsia" w:ascii="宋体" w:hAnsi="宋体" w:eastAsia="宋体" w:cs="宋体"/>
          <w:color w:val="auto"/>
          <w:sz w:val="24"/>
          <w:szCs w:val="24"/>
        </w:rPr>
        <w:t>万元及以上类似业绩且验收合格</w:t>
      </w:r>
      <w:r>
        <w:rPr>
          <w:rFonts w:hint="eastAsia" w:ascii="宋体" w:hAnsi="宋体" w:eastAsia="宋体" w:cs="宋体"/>
          <w:color w:val="auto"/>
          <w:sz w:val="24"/>
          <w:szCs w:val="24"/>
          <w:lang w:val="en-US" w:eastAsia="zh-CN"/>
        </w:rPr>
        <w:t>类似业绩（</w:t>
      </w:r>
      <w:r>
        <w:rPr>
          <w:rFonts w:hint="eastAsia" w:ascii="宋体" w:hAnsi="宋体" w:eastAsia="宋体" w:cs="宋体"/>
          <w:color w:val="auto"/>
          <w:sz w:val="24"/>
          <w:szCs w:val="24"/>
        </w:rPr>
        <w:t>投标人应当提供合同、验收证明复印件（须加盖验收方公章）等证明材料</w:t>
      </w:r>
      <w:r>
        <w:rPr>
          <w:rFonts w:hint="eastAsia" w:ascii="宋体" w:hAnsi="宋体" w:eastAsia="宋体" w:cs="宋体"/>
          <w:color w:val="auto"/>
          <w:sz w:val="24"/>
          <w:szCs w:val="24"/>
          <w:lang w:eastAsia="zh-CN"/>
        </w:rPr>
        <w:t>）</w:t>
      </w:r>
    </w:p>
    <w:p w14:paraId="5E0413B2">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7）货到、票到检验合格后7天付款，付银承。</w:t>
      </w:r>
    </w:p>
    <w:p w14:paraId="28091B32">
      <w:pPr>
        <w:widowControl w:val="0"/>
        <w:kinsoku/>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（8）</w:t>
      </w:r>
      <w:r>
        <w:rPr>
          <w:rFonts w:hint="eastAsia" w:ascii="宋体" w:hAnsi="宋体" w:eastAsia="宋体" w:cs="宋体"/>
          <w:sz w:val="24"/>
          <w:szCs w:val="24"/>
          <w:lang w:eastAsia="zh-CN"/>
        </w:rPr>
        <w:t>投标人须对所售出的产品实行三包:即产品在正常使用情况下发生质量问题时，投标人应按使用方的要求，负责对产品实行包修、包换、包退。</w:t>
      </w:r>
    </w:p>
    <w:p w14:paraId="6449A810">
      <w:pPr>
        <w:pStyle w:val="27"/>
        <w:numPr>
          <w:ilvl w:val="0"/>
          <w:numId w:val="1"/>
        </w:numPr>
        <w:kinsoku/>
        <w:spacing w:line="360" w:lineRule="auto"/>
        <w:ind w:left="0" w:firstLine="480"/>
        <w:rPr>
          <w:rFonts w:hint="eastAsia" w:ascii="宋体" w:hAnsi="宋体" w:eastAsia="宋体" w:cs="宋体"/>
          <w:sz w:val="24"/>
          <w:szCs w:val="24"/>
        </w:rPr>
      </w:pPr>
      <w:r>
        <w:rPr>
          <w:rFonts w:hint="eastAsia" w:ascii="宋体" w:hAnsi="宋体" w:eastAsia="宋体" w:cs="宋体"/>
          <w:sz w:val="24"/>
          <w:szCs w:val="24"/>
        </w:rPr>
        <w:t>凡对本次招标的有关事项需要咨询或有异议时，请</w:t>
      </w:r>
      <w:r>
        <w:rPr>
          <w:rFonts w:hint="eastAsia" w:ascii="宋体" w:hAnsi="宋体" w:eastAsia="宋体" w:cs="宋体"/>
          <w:color w:val="auto"/>
          <w:sz w:val="24"/>
          <w:szCs w:val="24"/>
        </w:rPr>
        <w:t>在</w:t>
      </w:r>
      <w:r>
        <w:rPr>
          <w:rFonts w:hint="eastAsia" w:ascii="宋体" w:hAnsi="宋体" w:eastAsia="宋体" w:cs="宋体"/>
          <w:color w:val="auto"/>
          <w:sz w:val="24"/>
          <w:szCs w:val="24"/>
          <w:lang w:val="en-US" w:eastAsia="zh-CN"/>
        </w:rPr>
        <w:t>2025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06</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日前</w:t>
      </w:r>
      <w:r>
        <w:rPr>
          <w:rFonts w:hint="eastAsia" w:ascii="宋体" w:hAnsi="宋体" w:eastAsia="宋体" w:cs="宋体"/>
          <w:sz w:val="24"/>
          <w:szCs w:val="24"/>
        </w:rPr>
        <w:t>与相关负责人联系。关于评标结果，我们将会在评标结束之后第一时间告知。</w:t>
      </w:r>
    </w:p>
    <w:p w14:paraId="2118314F">
      <w:pPr>
        <w:pStyle w:val="27"/>
        <w:numPr>
          <w:ilvl w:val="0"/>
          <w:numId w:val="1"/>
        </w:numPr>
        <w:kinsoku/>
        <w:spacing w:line="360" w:lineRule="auto"/>
        <w:ind w:left="0" w:firstLine="480"/>
        <w:outlineLvl w:val="0"/>
        <w:rPr>
          <w:rFonts w:hint="eastAsia" w:ascii="宋体" w:hAnsi="宋体" w:eastAsia="宋体" w:cs="宋体"/>
          <w:sz w:val="24"/>
          <w:szCs w:val="24"/>
        </w:rPr>
      </w:pPr>
      <w:bookmarkStart w:id="26" w:name="_Toc21790"/>
      <w:bookmarkStart w:id="27" w:name="_Toc30078"/>
      <w:bookmarkStart w:id="28" w:name="_Toc4182"/>
      <w:bookmarkStart w:id="29" w:name="_Toc21113"/>
      <w:bookmarkStart w:id="30" w:name="_Toc19941"/>
      <w:bookmarkStart w:id="31" w:name="_Toc20083"/>
      <w:r>
        <w:rPr>
          <w:rFonts w:hint="eastAsia" w:ascii="宋体" w:hAnsi="宋体" w:eastAsia="宋体" w:cs="宋体"/>
          <w:sz w:val="24"/>
          <w:szCs w:val="24"/>
        </w:rPr>
        <w:t>联系方式</w:t>
      </w:r>
      <w:bookmarkEnd w:id="26"/>
      <w:bookmarkEnd w:id="27"/>
      <w:bookmarkEnd w:id="28"/>
      <w:bookmarkEnd w:id="29"/>
      <w:bookmarkEnd w:id="30"/>
      <w:bookmarkEnd w:id="31"/>
    </w:p>
    <w:p w14:paraId="214B5A74">
      <w:pPr>
        <w:tabs>
          <w:tab w:val="left" w:pos="1446"/>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招 标 人：中国机械总院集团海西（福建）分院有限公司</w:t>
      </w:r>
    </w:p>
    <w:p w14:paraId="28B0F52F">
      <w:pPr>
        <w:tabs>
          <w:tab w:val="left" w:pos="1446"/>
        </w:tabs>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联 系 人：</w:t>
      </w:r>
      <w:r>
        <w:rPr>
          <w:rFonts w:hint="eastAsia" w:ascii="宋体" w:hAnsi="宋体" w:eastAsia="宋体" w:cs="宋体"/>
          <w:sz w:val="24"/>
          <w:szCs w:val="24"/>
          <w:lang w:eastAsia="zh-CN"/>
        </w:rPr>
        <w:t>李浩东</w:t>
      </w:r>
    </w:p>
    <w:p w14:paraId="530C351C">
      <w:pPr>
        <w:tabs>
          <w:tab w:val="left" w:pos="1446"/>
        </w:tabs>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联系电话：0598-8050808、</w:t>
      </w:r>
      <w:r>
        <w:rPr>
          <w:rFonts w:hint="eastAsia" w:ascii="宋体" w:hAnsi="宋体" w:eastAsia="宋体" w:cs="宋体"/>
          <w:sz w:val="24"/>
          <w:szCs w:val="24"/>
          <w:lang w:val="en-US" w:eastAsia="zh-CN"/>
        </w:rPr>
        <w:t>18707194032</w:t>
      </w:r>
    </w:p>
    <w:p w14:paraId="56DA46E0">
      <w:pPr>
        <w:tabs>
          <w:tab w:val="left" w:pos="1446"/>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纪检监督电话：0598-8050668  </w:t>
      </w:r>
    </w:p>
    <w:p w14:paraId="48FEA493">
      <w:pPr>
        <w:tabs>
          <w:tab w:val="left" w:pos="1446"/>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地    址：福建省三明市沙县区金沙园开发区创新东路413号</w:t>
      </w:r>
    </w:p>
    <w:p w14:paraId="46CDEEBE">
      <w:pPr>
        <w:spacing w:line="360" w:lineRule="auto"/>
        <w:rPr>
          <w:rFonts w:hint="eastAsia" w:ascii="宋体" w:hAnsi="宋体" w:eastAsia="宋体" w:cs="宋体"/>
        </w:rPr>
      </w:pPr>
    </w:p>
    <w:p w14:paraId="42C87FBA">
      <w:pPr>
        <w:spacing w:line="360" w:lineRule="auto"/>
        <w:rPr>
          <w:rFonts w:hint="eastAsia" w:ascii="宋体" w:hAnsi="宋体" w:eastAsia="宋体" w:cs="宋体"/>
        </w:rPr>
      </w:pPr>
    </w:p>
    <w:p w14:paraId="02A85C49">
      <w:pPr>
        <w:spacing w:line="360" w:lineRule="auto"/>
        <w:ind w:firstLine="459"/>
        <w:jc w:val="right"/>
        <w:outlineLvl w:val="0"/>
        <w:rPr>
          <w:rFonts w:hint="eastAsia" w:ascii="宋体" w:hAnsi="宋体" w:eastAsia="宋体" w:cs="宋体"/>
          <w:sz w:val="24"/>
          <w:szCs w:val="24"/>
        </w:rPr>
      </w:pPr>
      <w:bookmarkStart w:id="32" w:name="_Toc20059"/>
      <w:bookmarkStart w:id="33" w:name="_Toc19147"/>
      <w:bookmarkStart w:id="34" w:name="_Toc23207"/>
      <w:bookmarkStart w:id="35" w:name="_Toc322"/>
      <w:r>
        <w:rPr>
          <w:rFonts w:hint="eastAsia" w:ascii="宋体" w:hAnsi="宋体" w:eastAsia="宋体" w:cs="宋体"/>
          <w:sz w:val="24"/>
          <w:szCs w:val="24"/>
        </w:rPr>
        <w:t>中国机械总院集团海西（福建）分院有限公司</w:t>
      </w:r>
      <w:bookmarkEnd w:id="32"/>
      <w:bookmarkEnd w:id="33"/>
      <w:bookmarkEnd w:id="34"/>
      <w:bookmarkEnd w:id="35"/>
      <w:r>
        <w:rPr>
          <w:rFonts w:hint="eastAsia" w:ascii="宋体" w:hAnsi="宋体" w:eastAsia="宋体" w:cs="宋体"/>
          <w:sz w:val="24"/>
          <w:szCs w:val="24"/>
        </w:rPr>
        <w:t xml:space="preserve"> </w:t>
      </w:r>
    </w:p>
    <w:p w14:paraId="7CC527C7">
      <w:pPr>
        <w:spacing w:line="360" w:lineRule="auto"/>
        <w:ind w:firstLine="459"/>
        <w:jc w:val="center"/>
        <w:rPr>
          <w:rFonts w:hint="eastAsia" w:ascii="宋体" w:hAnsi="宋体" w:eastAsia="宋体" w:cs="宋体"/>
          <w:sz w:val="24"/>
          <w:szCs w:val="24"/>
        </w:rPr>
      </w:pPr>
      <w:r>
        <w:rPr>
          <w:rFonts w:hint="eastAsia" w:ascii="宋体" w:hAnsi="宋体" w:eastAsia="宋体" w:cs="宋体"/>
          <w:sz w:val="24"/>
          <w:szCs w:val="24"/>
        </w:rPr>
        <w:t xml:space="preserve">                                        招标委员会办公室</w:t>
      </w:r>
    </w:p>
    <w:p w14:paraId="2A0B3E93">
      <w:pPr>
        <w:spacing w:line="360" w:lineRule="auto"/>
        <w:ind w:firstLine="6480" w:firstLineChars="2700"/>
        <w:rPr>
          <w:rFonts w:hint="eastAsia" w:ascii="宋体" w:hAnsi="宋体" w:eastAsia="宋体" w:cs="宋体"/>
          <w:sz w:val="24"/>
          <w:szCs w:val="24"/>
        </w:rPr>
      </w:pPr>
      <w:r>
        <w:rPr>
          <w:rFonts w:hint="eastAsia" w:ascii="宋体" w:hAnsi="宋体" w:eastAsia="宋体" w:cs="宋体"/>
          <w:sz w:val="24"/>
          <w:szCs w:val="24"/>
          <w:lang w:val="en-US" w:eastAsia="zh-CN"/>
        </w:rPr>
        <w:t>2025</w:t>
      </w:r>
      <w:r>
        <w:rPr>
          <w:rFonts w:hint="eastAsia" w:ascii="宋体" w:hAnsi="宋体" w:eastAsia="宋体" w:cs="宋体"/>
          <w:sz w:val="24"/>
          <w:szCs w:val="24"/>
        </w:rPr>
        <w:t>年</w:t>
      </w:r>
      <w:r>
        <w:rPr>
          <w:rFonts w:hint="eastAsia" w:ascii="宋体" w:hAnsi="宋体" w:eastAsia="宋体" w:cs="宋体"/>
          <w:sz w:val="24"/>
          <w:szCs w:val="24"/>
          <w:lang w:val="en-US" w:eastAsia="zh-CN"/>
        </w:rPr>
        <w:t>05</w:t>
      </w:r>
      <w:r>
        <w:rPr>
          <w:rFonts w:hint="eastAsia" w:ascii="宋体" w:hAnsi="宋体" w:eastAsia="宋体" w:cs="宋体"/>
          <w:sz w:val="24"/>
          <w:szCs w:val="24"/>
        </w:rPr>
        <w:t>月</w:t>
      </w:r>
      <w:r>
        <w:rPr>
          <w:rFonts w:hint="eastAsia" w:ascii="宋体" w:hAnsi="宋体" w:eastAsia="宋体" w:cs="宋体"/>
          <w:sz w:val="24"/>
          <w:szCs w:val="24"/>
          <w:lang w:val="en-US" w:eastAsia="zh-CN"/>
        </w:rPr>
        <w:t>26</w:t>
      </w:r>
      <w:r>
        <w:rPr>
          <w:rFonts w:hint="eastAsia" w:ascii="宋体" w:hAnsi="宋体" w:eastAsia="宋体" w:cs="宋体"/>
          <w:sz w:val="24"/>
          <w:szCs w:val="24"/>
        </w:rPr>
        <w:t>日</w:t>
      </w:r>
    </w:p>
    <w:p w14:paraId="140A6A0C">
      <w:pPr>
        <w:kinsoku/>
        <w:autoSpaceDE/>
        <w:autoSpaceDN/>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br w:type="page"/>
      </w:r>
    </w:p>
    <w:p w14:paraId="2BB7958B">
      <w:pPr>
        <w:spacing w:before="240" w:beforeLines="100" w:after="120" w:afterLines="50" w:line="360" w:lineRule="auto"/>
        <w:jc w:val="center"/>
        <w:outlineLvl w:val="0"/>
        <w:rPr>
          <w:rFonts w:hint="eastAsia" w:ascii="宋体" w:hAnsi="宋体" w:eastAsia="宋体" w:cs="宋体"/>
          <w:spacing w:val="-3"/>
          <w:sz w:val="36"/>
          <w:szCs w:val="36"/>
          <w14:textOutline w14:w="6527" w14:cap="flat" w14:cmpd="sng" w14:algn="ctr">
            <w14:solidFill>
              <w14:srgbClr w14:val="000000"/>
            </w14:solidFill>
            <w14:prstDash w14:val="solid"/>
            <w14:miter w14:val="0"/>
          </w14:textOutline>
        </w:rPr>
      </w:pPr>
      <w:bookmarkStart w:id="36" w:name="_Toc18439"/>
      <w:bookmarkStart w:id="37" w:name="_Toc25726"/>
      <w:bookmarkStart w:id="38" w:name="_Toc10599"/>
      <w:r>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t>二、</w:t>
      </w:r>
      <w:r>
        <w:rPr>
          <w:rFonts w:hint="eastAsia" w:ascii="宋体" w:hAnsi="宋体" w:eastAsia="宋体" w:cs="宋体"/>
          <w:spacing w:val="-3"/>
          <w:sz w:val="36"/>
          <w:szCs w:val="36"/>
          <w14:textOutline w14:w="6527" w14:cap="flat" w14:cmpd="sng" w14:algn="ctr">
            <w14:solidFill>
              <w14:srgbClr w14:val="000000"/>
            </w14:solidFill>
            <w14:prstDash w14:val="solid"/>
            <w14:miter w14:val="0"/>
          </w14:textOutline>
        </w:rPr>
        <w:t>投标人须知</w:t>
      </w:r>
      <w:bookmarkEnd w:id="36"/>
      <w:bookmarkEnd w:id="37"/>
      <w:bookmarkEnd w:id="38"/>
    </w:p>
    <w:p w14:paraId="3D746C15">
      <w:pPr>
        <w:kinsoku/>
        <w:spacing w:line="360" w:lineRule="auto"/>
        <w:ind w:firstLine="439" w:firstLineChars="182"/>
        <w:rPr>
          <w:rFonts w:hint="eastAsia" w:ascii="宋体" w:hAnsi="宋体" w:eastAsia="宋体" w:cs="宋体"/>
          <w:b/>
          <w:bCs/>
          <w:sz w:val="24"/>
          <w:szCs w:val="24"/>
        </w:rPr>
      </w:pPr>
      <w:r>
        <w:rPr>
          <w:rFonts w:hint="eastAsia" w:ascii="宋体" w:hAnsi="宋体" w:eastAsia="宋体" w:cs="宋体"/>
          <w:b/>
          <w:bCs/>
          <w:sz w:val="24"/>
          <w:szCs w:val="24"/>
        </w:rPr>
        <w:t>一、投标要求</w:t>
      </w:r>
    </w:p>
    <w:p w14:paraId="519A224E">
      <w:pPr>
        <w:pStyle w:val="27"/>
        <w:numPr>
          <w:ilvl w:val="0"/>
          <w:numId w:val="2"/>
        </w:numPr>
        <w:kinsoku/>
        <w:spacing w:line="360" w:lineRule="auto"/>
        <w:ind w:left="0" w:firstLine="436" w:firstLineChars="182"/>
        <w:rPr>
          <w:rFonts w:hint="eastAsia" w:ascii="宋体" w:hAnsi="宋体" w:eastAsia="宋体" w:cs="宋体"/>
          <w:sz w:val="24"/>
          <w:szCs w:val="24"/>
        </w:rPr>
      </w:pPr>
      <w:r>
        <w:rPr>
          <w:rFonts w:hint="eastAsia" w:ascii="宋体" w:hAnsi="宋体" w:eastAsia="宋体" w:cs="宋体"/>
          <w:sz w:val="24"/>
          <w:szCs w:val="24"/>
        </w:rPr>
        <w:t>投标人应遵守国家有关招标投标法律、法规、部门规章和规范性文件。</w:t>
      </w:r>
    </w:p>
    <w:p w14:paraId="6D2E87C6">
      <w:pPr>
        <w:pStyle w:val="27"/>
        <w:numPr>
          <w:ilvl w:val="0"/>
          <w:numId w:val="2"/>
        </w:numPr>
        <w:kinsoku/>
        <w:spacing w:line="360" w:lineRule="auto"/>
        <w:ind w:left="0" w:firstLine="424" w:firstLineChars="177"/>
        <w:outlineLvl w:val="0"/>
        <w:rPr>
          <w:rFonts w:hint="eastAsia" w:ascii="宋体" w:hAnsi="宋体" w:eastAsia="宋体" w:cs="宋体"/>
          <w:sz w:val="24"/>
          <w:szCs w:val="24"/>
        </w:rPr>
      </w:pPr>
      <w:bookmarkStart w:id="39" w:name="_Toc15722"/>
      <w:bookmarkStart w:id="40" w:name="_Toc24156"/>
      <w:bookmarkStart w:id="41" w:name="_Toc21532"/>
      <w:bookmarkStart w:id="42" w:name="_Toc14879"/>
      <w:bookmarkStart w:id="43" w:name="_Toc5448"/>
      <w:bookmarkStart w:id="44" w:name="_Toc9822"/>
      <w:r>
        <w:rPr>
          <w:rFonts w:hint="eastAsia" w:ascii="宋体" w:hAnsi="宋体" w:eastAsia="宋体" w:cs="宋体"/>
          <w:sz w:val="24"/>
          <w:szCs w:val="24"/>
        </w:rPr>
        <w:t>投标资格（包括但不限于）：</w:t>
      </w:r>
      <w:bookmarkEnd w:id="39"/>
      <w:bookmarkEnd w:id="40"/>
      <w:bookmarkEnd w:id="41"/>
      <w:bookmarkEnd w:id="42"/>
      <w:bookmarkEnd w:id="43"/>
      <w:bookmarkEnd w:id="44"/>
    </w:p>
    <w:p w14:paraId="31C1C554">
      <w:pPr>
        <w:numPr>
          <w:ilvl w:val="0"/>
          <w:numId w:val="3"/>
        </w:numPr>
        <w:kinsoku/>
        <w:spacing w:line="360" w:lineRule="auto"/>
        <w:ind w:left="0" w:firstLine="480" w:firstLineChars="200"/>
        <w:rPr>
          <w:rFonts w:hint="eastAsia" w:ascii="宋体" w:hAnsi="宋体" w:eastAsia="宋体" w:cs="宋体"/>
          <w:color w:val="auto"/>
          <w:position w:val="5"/>
          <w:sz w:val="24"/>
          <w:szCs w:val="24"/>
        </w:rPr>
      </w:pPr>
      <w:r>
        <w:rPr>
          <w:rFonts w:hint="eastAsia" w:ascii="宋体" w:hAnsi="宋体" w:eastAsia="宋体" w:cs="宋体"/>
          <w:color w:val="auto"/>
          <w:position w:val="5"/>
          <w:sz w:val="24"/>
          <w:szCs w:val="24"/>
        </w:rPr>
        <w:t>投标人投标时应提供加盖其单位公章的营业执照副本、资质证书</w:t>
      </w:r>
      <w:r>
        <w:rPr>
          <w:rFonts w:hint="eastAsia" w:ascii="宋体" w:hAnsi="宋体" w:eastAsia="宋体" w:cs="宋体"/>
        </w:rPr>
        <w:fldChar w:fldCharType="begin"/>
      </w:r>
      <w:r>
        <w:rPr>
          <w:rFonts w:hint="eastAsia" w:ascii="宋体" w:hAnsi="宋体" w:eastAsia="宋体" w:cs="宋体"/>
        </w:rPr>
        <w:instrText xml:space="preserve"> HYPERLINK "https://baike.baidu.com/item/%E5%AE%89%E5%85%A8%E7%94%9F%E4%BA%A7%E8%AE%B8%E5%8F%AF%E8%AF%81" </w:instrText>
      </w:r>
      <w:r>
        <w:rPr>
          <w:rFonts w:hint="eastAsia" w:ascii="宋体" w:hAnsi="宋体" w:eastAsia="宋体" w:cs="宋体"/>
        </w:rPr>
        <w:fldChar w:fldCharType="separate"/>
      </w:r>
      <w:r>
        <w:rPr>
          <w:rFonts w:hint="eastAsia" w:ascii="宋体" w:hAnsi="宋体" w:eastAsia="宋体" w:cs="宋体"/>
          <w:color w:val="auto"/>
          <w:position w:val="5"/>
          <w:sz w:val="24"/>
          <w:szCs w:val="24"/>
        </w:rPr>
        <w:t>等证书复印件</w:t>
      </w:r>
      <w:r>
        <w:rPr>
          <w:rFonts w:hint="eastAsia" w:ascii="宋体" w:hAnsi="宋体" w:eastAsia="宋体" w:cs="宋体"/>
          <w:color w:val="auto"/>
          <w:position w:val="5"/>
          <w:sz w:val="24"/>
          <w:szCs w:val="24"/>
        </w:rPr>
        <w:fldChar w:fldCharType="end"/>
      </w:r>
    </w:p>
    <w:p w14:paraId="06FE880C">
      <w:pPr>
        <w:numPr>
          <w:ilvl w:val="0"/>
          <w:numId w:val="3"/>
        </w:numPr>
        <w:tabs>
          <w:tab w:val="left" w:pos="620"/>
        </w:tabs>
        <w:kinsoku/>
        <w:spacing w:line="360" w:lineRule="auto"/>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供货业绩</w:t>
      </w:r>
    </w:p>
    <w:p w14:paraId="63245645">
      <w:pPr>
        <w:kinsoku/>
        <w:spacing w:line="360" w:lineRule="auto"/>
        <w:ind w:left="1" w:right="64" w:firstLine="424" w:firstLineChars="177"/>
        <w:rPr>
          <w:rFonts w:hint="eastAsia" w:ascii="宋体" w:hAnsi="宋体" w:eastAsia="宋体" w:cs="宋体"/>
          <w:sz w:val="24"/>
          <w:szCs w:val="24"/>
        </w:rPr>
      </w:pPr>
      <w:r>
        <w:rPr>
          <w:rFonts w:hint="eastAsia" w:ascii="宋体" w:hAnsi="宋体" w:eastAsia="宋体" w:cs="宋体"/>
          <w:sz w:val="24"/>
          <w:szCs w:val="24"/>
        </w:rPr>
        <w:t>3. 投标费用：投标人应承担投标过程中所涉及的一切费用，不管投标结果如何，招标人对上述费用不负任何责任。</w:t>
      </w:r>
    </w:p>
    <w:p w14:paraId="356D98E8">
      <w:pPr>
        <w:kinsoku/>
        <w:spacing w:line="360" w:lineRule="auto"/>
        <w:ind w:firstLine="482" w:firstLineChars="200"/>
        <w:outlineLvl w:val="0"/>
        <w:rPr>
          <w:rFonts w:hint="eastAsia" w:ascii="宋体" w:hAnsi="宋体" w:eastAsia="宋体" w:cs="宋体"/>
          <w:b/>
          <w:bCs/>
          <w:sz w:val="24"/>
          <w:szCs w:val="24"/>
        </w:rPr>
      </w:pPr>
      <w:bookmarkStart w:id="45" w:name="_Toc15847"/>
      <w:bookmarkStart w:id="46" w:name="_Toc23688"/>
      <w:bookmarkStart w:id="47" w:name="_Toc12309"/>
      <w:bookmarkStart w:id="48" w:name="_Toc9930"/>
      <w:bookmarkStart w:id="49" w:name="_Toc16770"/>
      <w:r>
        <w:rPr>
          <w:rFonts w:hint="eastAsia" w:ascii="宋体" w:hAnsi="宋体" w:eastAsia="宋体" w:cs="宋体"/>
          <w:b/>
          <w:bCs/>
          <w:sz w:val="24"/>
          <w:szCs w:val="24"/>
        </w:rPr>
        <w:t>二、投标报价</w:t>
      </w:r>
      <w:bookmarkEnd w:id="45"/>
      <w:bookmarkEnd w:id="46"/>
      <w:bookmarkEnd w:id="47"/>
      <w:bookmarkEnd w:id="48"/>
      <w:bookmarkEnd w:id="49"/>
    </w:p>
    <w:p w14:paraId="7319B2D4">
      <w:pPr>
        <w:pStyle w:val="27"/>
        <w:numPr>
          <w:ilvl w:val="0"/>
          <w:numId w:val="4"/>
        </w:numPr>
        <w:kinsoku/>
        <w:spacing w:line="360" w:lineRule="auto"/>
        <w:ind w:left="0" w:firstLine="424" w:firstLineChars="177"/>
        <w:rPr>
          <w:rFonts w:hint="eastAsia" w:ascii="宋体" w:hAnsi="宋体" w:eastAsia="宋体" w:cs="宋体"/>
          <w:sz w:val="24"/>
          <w:szCs w:val="24"/>
        </w:rPr>
      </w:pPr>
      <w:r>
        <w:rPr>
          <w:rFonts w:hint="eastAsia" w:ascii="宋体" w:hAnsi="宋体" w:eastAsia="宋体" w:cs="宋体"/>
          <w:sz w:val="24"/>
          <w:szCs w:val="24"/>
        </w:rPr>
        <w:t>投标报价要求按招标文件要求报价，并按招标文件中所附《投标函》《投标报价表》格式填写。</w:t>
      </w:r>
      <w:bookmarkStart w:id="50" w:name="_Toc4816"/>
    </w:p>
    <w:p w14:paraId="330FE4A1">
      <w:pPr>
        <w:pStyle w:val="27"/>
        <w:numPr>
          <w:ilvl w:val="0"/>
          <w:numId w:val="4"/>
        </w:numPr>
        <w:kinsoku/>
        <w:spacing w:line="360" w:lineRule="auto"/>
        <w:ind w:left="0" w:firstLine="439" w:firstLineChars="183"/>
        <w:rPr>
          <w:rFonts w:hint="eastAsia" w:ascii="宋体" w:hAnsi="宋体" w:eastAsia="宋体" w:cs="宋体"/>
          <w:sz w:val="24"/>
          <w:szCs w:val="24"/>
        </w:rPr>
      </w:pPr>
      <w:r>
        <w:rPr>
          <w:rFonts w:hint="eastAsia" w:ascii="宋体" w:hAnsi="宋体" w:eastAsia="宋体" w:cs="宋体"/>
          <w:sz w:val="24"/>
          <w:szCs w:val="24"/>
        </w:rPr>
        <w:t>所有投标均以人民币报价。</w:t>
      </w:r>
      <w:bookmarkEnd w:id="50"/>
    </w:p>
    <w:p w14:paraId="75CF34BD">
      <w:pPr>
        <w:pStyle w:val="27"/>
        <w:numPr>
          <w:ilvl w:val="0"/>
          <w:numId w:val="4"/>
        </w:numPr>
        <w:kinsoku/>
        <w:spacing w:line="360" w:lineRule="auto"/>
        <w:ind w:left="0" w:firstLine="424" w:firstLineChars="177"/>
        <w:rPr>
          <w:rFonts w:hint="eastAsia" w:ascii="宋体" w:hAnsi="宋体" w:eastAsia="宋体" w:cs="宋体"/>
          <w:sz w:val="24"/>
          <w:szCs w:val="24"/>
        </w:rPr>
      </w:pPr>
      <w:r>
        <w:rPr>
          <w:rFonts w:hint="eastAsia" w:ascii="宋体" w:hAnsi="宋体" w:eastAsia="宋体" w:cs="宋体"/>
          <w:sz w:val="24"/>
          <w:szCs w:val="24"/>
        </w:rPr>
        <w:t>投标人所报单价在本招标文件项下的合同履行期间不能因市场变化因素而变动。</w:t>
      </w:r>
    </w:p>
    <w:p w14:paraId="5E6E2D64">
      <w:pPr>
        <w:pStyle w:val="27"/>
        <w:numPr>
          <w:ilvl w:val="0"/>
          <w:numId w:val="4"/>
        </w:numPr>
        <w:kinsoku/>
        <w:spacing w:line="360" w:lineRule="auto"/>
        <w:ind w:left="0" w:firstLine="424" w:firstLineChars="177"/>
        <w:rPr>
          <w:rFonts w:hint="eastAsia" w:ascii="宋体" w:hAnsi="宋体" w:eastAsia="宋体" w:cs="宋体"/>
          <w:sz w:val="24"/>
          <w:szCs w:val="24"/>
        </w:rPr>
      </w:pPr>
      <w:r>
        <w:rPr>
          <w:rFonts w:hint="eastAsia" w:ascii="宋体" w:hAnsi="宋体" w:eastAsia="宋体" w:cs="宋体"/>
          <w:sz w:val="24"/>
          <w:szCs w:val="24"/>
        </w:rPr>
        <w:t>投标人所报的各种价格均为含税到招标人指定地点交货价（包含产品包装、运输、装卸 等相关费用）；投标报价以元为单位，精确到小数点后两位数，超出两位按四舍五入计；包装物投标人不回收，费用由投标人负担。</w:t>
      </w:r>
    </w:p>
    <w:p w14:paraId="2AB49A22">
      <w:pPr>
        <w:pStyle w:val="27"/>
        <w:numPr>
          <w:ilvl w:val="0"/>
          <w:numId w:val="4"/>
        </w:numPr>
        <w:kinsoku/>
        <w:topLinePunct/>
        <w:autoSpaceDN/>
        <w:spacing w:line="360" w:lineRule="auto"/>
        <w:ind w:left="0" w:firstLine="424" w:firstLineChars="177"/>
        <w:rPr>
          <w:rFonts w:hint="eastAsia" w:ascii="宋体" w:hAnsi="宋体" w:eastAsia="宋体" w:cs="宋体"/>
          <w:sz w:val="24"/>
          <w:szCs w:val="24"/>
        </w:rPr>
      </w:pPr>
      <w:r>
        <w:rPr>
          <w:rFonts w:hint="eastAsia" w:ascii="宋体" w:hAnsi="宋体" w:eastAsia="宋体" w:cs="宋体"/>
          <w:sz w:val="24"/>
          <w:szCs w:val="24"/>
        </w:rPr>
        <w:t>招标人有权重视各投标人全部报价的合理性。所有投标人不能相互串通、哄抬报价，若有发现，招标人有权宣布其投标无效。</w:t>
      </w:r>
    </w:p>
    <w:p w14:paraId="39B5A6F7">
      <w:pPr>
        <w:kinsoku/>
        <w:spacing w:line="360" w:lineRule="auto"/>
        <w:ind w:firstLine="482" w:firstLineChars="200"/>
        <w:outlineLvl w:val="0"/>
        <w:rPr>
          <w:rFonts w:hint="eastAsia" w:ascii="宋体" w:hAnsi="宋体" w:eastAsia="宋体" w:cs="宋体"/>
          <w:b/>
          <w:bCs/>
          <w:sz w:val="24"/>
          <w:szCs w:val="24"/>
        </w:rPr>
      </w:pPr>
      <w:bookmarkStart w:id="51" w:name="_Toc19945"/>
      <w:bookmarkStart w:id="52" w:name="_Toc13329"/>
      <w:bookmarkStart w:id="53" w:name="_Toc24896"/>
      <w:bookmarkStart w:id="54" w:name="_Toc2348"/>
      <w:bookmarkStart w:id="55" w:name="_Toc14547"/>
      <w:r>
        <w:rPr>
          <w:rFonts w:hint="eastAsia" w:ascii="宋体" w:hAnsi="宋体" w:eastAsia="宋体" w:cs="宋体"/>
          <w:b/>
          <w:bCs/>
          <w:sz w:val="24"/>
          <w:szCs w:val="24"/>
        </w:rPr>
        <w:t>三、投标文件</w:t>
      </w:r>
      <w:bookmarkEnd w:id="51"/>
      <w:bookmarkEnd w:id="52"/>
      <w:bookmarkEnd w:id="53"/>
      <w:bookmarkEnd w:id="54"/>
      <w:bookmarkEnd w:id="55"/>
    </w:p>
    <w:p w14:paraId="37DB0876">
      <w:pPr>
        <w:pStyle w:val="27"/>
        <w:numPr>
          <w:ilvl w:val="0"/>
          <w:numId w:val="5"/>
        </w:numPr>
        <w:kinsoku/>
        <w:spacing w:line="360" w:lineRule="auto"/>
        <w:ind w:left="0" w:firstLine="480"/>
        <w:outlineLvl w:val="0"/>
        <w:rPr>
          <w:rFonts w:hint="eastAsia" w:ascii="宋体" w:hAnsi="宋体" w:eastAsia="宋体" w:cs="宋体"/>
          <w:sz w:val="24"/>
          <w:szCs w:val="24"/>
        </w:rPr>
      </w:pPr>
      <w:bookmarkStart w:id="56" w:name="_Toc7457"/>
      <w:bookmarkStart w:id="57" w:name="_Toc29954"/>
      <w:bookmarkStart w:id="58" w:name="_Toc2231"/>
      <w:bookmarkStart w:id="59" w:name="_Toc30156"/>
      <w:bookmarkStart w:id="60" w:name="_Toc11398"/>
      <w:bookmarkStart w:id="61" w:name="_Toc30571"/>
      <w:r>
        <w:rPr>
          <w:rFonts w:hint="eastAsia" w:ascii="宋体" w:hAnsi="宋体" w:eastAsia="宋体" w:cs="宋体"/>
          <w:sz w:val="24"/>
          <w:szCs w:val="24"/>
        </w:rPr>
        <w:t>投标人应填写其单位名称全称。</w:t>
      </w:r>
      <w:bookmarkEnd w:id="56"/>
      <w:bookmarkEnd w:id="57"/>
      <w:bookmarkEnd w:id="58"/>
      <w:bookmarkEnd w:id="59"/>
      <w:bookmarkEnd w:id="60"/>
      <w:bookmarkEnd w:id="61"/>
    </w:p>
    <w:p w14:paraId="77A57F7E">
      <w:pPr>
        <w:pStyle w:val="27"/>
        <w:numPr>
          <w:ilvl w:val="0"/>
          <w:numId w:val="5"/>
        </w:numPr>
        <w:kinsoku/>
        <w:spacing w:line="360" w:lineRule="auto"/>
        <w:ind w:left="0" w:firstLine="480"/>
        <w:rPr>
          <w:rFonts w:hint="eastAsia" w:ascii="宋体" w:hAnsi="宋体" w:eastAsia="宋体" w:cs="宋体"/>
          <w:sz w:val="24"/>
          <w:szCs w:val="24"/>
        </w:rPr>
      </w:pPr>
      <w:r>
        <w:rPr>
          <w:rFonts w:hint="eastAsia" w:ascii="宋体" w:hAnsi="宋体" w:eastAsia="宋体" w:cs="宋体"/>
          <w:sz w:val="24"/>
          <w:szCs w:val="24"/>
        </w:rPr>
        <w:t>投标文件包括《投标函》《投标报价表》《投标人产品质量承诺函》和资格证明文件。资格证明文件包含上述投标资格要求中的所有资料。</w:t>
      </w:r>
    </w:p>
    <w:p w14:paraId="37D346B2">
      <w:pPr>
        <w:pStyle w:val="27"/>
        <w:widowControl w:val="0"/>
        <w:numPr>
          <w:ilvl w:val="0"/>
          <w:numId w:val="5"/>
        </w:numPr>
        <w:kinsoku/>
        <w:spacing w:line="360" w:lineRule="auto"/>
        <w:ind w:left="0" w:firstLine="480"/>
        <w:rPr>
          <w:rFonts w:hint="eastAsia" w:ascii="宋体" w:hAnsi="宋体" w:eastAsia="宋体" w:cs="宋体"/>
          <w:sz w:val="24"/>
          <w:szCs w:val="24"/>
        </w:rPr>
      </w:pPr>
      <w:r>
        <w:rPr>
          <w:rFonts w:hint="eastAsia" w:ascii="宋体" w:hAnsi="宋体" w:eastAsia="宋体" w:cs="宋体"/>
          <w:sz w:val="24"/>
          <w:szCs w:val="24"/>
        </w:rPr>
        <w:t>《投标函》《投标报价表》《投标人产品质量承诺函》须加盖投标人公章，由其法定代表人或其委托代理人亲笔签字。</w:t>
      </w:r>
    </w:p>
    <w:p w14:paraId="43260712">
      <w:pPr>
        <w:pStyle w:val="27"/>
        <w:widowControl w:val="0"/>
        <w:numPr>
          <w:ilvl w:val="0"/>
          <w:numId w:val="5"/>
        </w:numPr>
        <w:kinsoku/>
        <w:spacing w:line="360" w:lineRule="auto"/>
        <w:ind w:left="0" w:firstLine="480"/>
        <w:rPr>
          <w:rFonts w:hint="eastAsia" w:ascii="宋体" w:hAnsi="宋体" w:eastAsia="宋体" w:cs="宋体"/>
          <w:sz w:val="24"/>
          <w:szCs w:val="24"/>
        </w:rPr>
      </w:pPr>
      <w:r>
        <w:rPr>
          <w:rFonts w:hint="eastAsia" w:ascii="宋体" w:hAnsi="宋体" w:eastAsia="宋体" w:cs="宋体"/>
          <w:sz w:val="24"/>
          <w:szCs w:val="24"/>
        </w:rPr>
        <w:t>自开标之日起60天内，投标文件应保持有效。有效期短于前述规定期限的投标，将被拒绝。</w:t>
      </w:r>
    </w:p>
    <w:p w14:paraId="27D6AD7F">
      <w:pPr>
        <w:kinsoku/>
        <w:spacing w:line="360" w:lineRule="auto"/>
        <w:ind w:firstLine="482" w:firstLineChars="200"/>
        <w:outlineLvl w:val="0"/>
        <w:rPr>
          <w:rFonts w:hint="eastAsia" w:ascii="宋体" w:hAnsi="宋体" w:eastAsia="宋体" w:cs="宋体"/>
          <w:b/>
          <w:bCs/>
          <w:sz w:val="24"/>
          <w:szCs w:val="24"/>
        </w:rPr>
      </w:pPr>
      <w:bookmarkStart w:id="62" w:name="_Toc23458"/>
      <w:bookmarkStart w:id="63" w:name="_Toc8"/>
      <w:bookmarkStart w:id="64" w:name="_Toc14760"/>
      <w:bookmarkStart w:id="65" w:name="_Toc18677"/>
      <w:bookmarkStart w:id="66" w:name="_Toc29111"/>
      <w:r>
        <w:rPr>
          <w:rFonts w:hint="eastAsia" w:ascii="宋体" w:hAnsi="宋体" w:eastAsia="宋体" w:cs="宋体"/>
          <w:b/>
          <w:bCs/>
          <w:sz w:val="24"/>
          <w:szCs w:val="24"/>
        </w:rPr>
        <w:t>四、开标、评标、定标</w:t>
      </w:r>
      <w:bookmarkEnd w:id="62"/>
      <w:bookmarkEnd w:id="63"/>
      <w:bookmarkEnd w:id="64"/>
      <w:bookmarkEnd w:id="65"/>
      <w:bookmarkEnd w:id="66"/>
    </w:p>
    <w:p w14:paraId="5BC19994">
      <w:pPr>
        <w:pStyle w:val="27"/>
        <w:numPr>
          <w:ilvl w:val="0"/>
          <w:numId w:val="0"/>
        </w:numPr>
        <w:kinsoku/>
        <w:spacing w:line="360" w:lineRule="auto"/>
        <w:ind w:left="0" w:leftChars="0" w:firstLine="480" w:firstLineChars="200"/>
        <w:outlineLvl w:val="0"/>
        <w:rPr>
          <w:rFonts w:hint="eastAsia" w:ascii="宋体" w:hAnsi="宋体" w:eastAsia="宋体" w:cs="宋体"/>
          <w:sz w:val="24"/>
          <w:szCs w:val="24"/>
        </w:rPr>
      </w:pPr>
      <w:bookmarkStart w:id="67" w:name="_Toc20255"/>
      <w:bookmarkStart w:id="68" w:name="_Toc31780"/>
      <w:bookmarkStart w:id="69" w:name="_Toc29386"/>
      <w:bookmarkStart w:id="70" w:name="_Toc5695"/>
      <w:bookmarkStart w:id="71" w:name="_Toc998"/>
      <w:bookmarkStart w:id="72" w:name="_Toc3331"/>
      <w:r>
        <w:rPr>
          <w:rFonts w:hint="eastAsia" w:ascii="宋体" w:hAnsi="宋体" w:eastAsia="宋体" w:cs="宋体"/>
          <w:snapToGrid w:val="0"/>
          <w:color w:val="000000"/>
          <w:sz w:val="24"/>
          <w:szCs w:val="24"/>
          <w:lang w:val="en-US" w:eastAsia="zh-CN" w:bidi="ar-SA"/>
        </w:rPr>
        <w:t>1.</w:t>
      </w:r>
      <w:r>
        <w:rPr>
          <w:rFonts w:hint="eastAsia" w:ascii="宋体" w:hAnsi="宋体" w:eastAsia="宋体" w:cs="宋体"/>
          <w:sz w:val="24"/>
          <w:szCs w:val="24"/>
        </w:rPr>
        <w:t>开标时，将按照招标人有关招投标规定执行。</w:t>
      </w:r>
      <w:bookmarkEnd w:id="67"/>
      <w:bookmarkEnd w:id="68"/>
      <w:bookmarkEnd w:id="69"/>
      <w:bookmarkEnd w:id="70"/>
      <w:bookmarkEnd w:id="71"/>
      <w:bookmarkEnd w:id="72"/>
    </w:p>
    <w:p w14:paraId="7D906F4C">
      <w:pPr>
        <w:pStyle w:val="27"/>
        <w:numPr>
          <w:ilvl w:val="0"/>
          <w:numId w:val="0"/>
        </w:numPr>
        <w:kinsoku/>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napToGrid w:val="0"/>
          <w:color w:val="000000"/>
          <w:sz w:val="24"/>
          <w:szCs w:val="24"/>
          <w:lang w:val="en-US" w:eastAsia="zh-CN" w:bidi="ar-SA"/>
        </w:rPr>
        <w:t>2.</w:t>
      </w:r>
      <w:r>
        <w:rPr>
          <w:rFonts w:hint="eastAsia" w:ascii="宋体" w:hAnsi="宋体" w:eastAsia="宋体" w:cs="宋体"/>
          <w:sz w:val="24"/>
          <w:szCs w:val="24"/>
        </w:rPr>
        <w:t>开标后由招标人组建的评标委员会进行评标，以经评审的</w:t>
      </w:r>
      <w:r>
        <w:rPr>
          <w:rFonts w:hint="eastAsia" w:ascii="宋体" w:hAnsi="宋体" w:eastAsia="宋体" w:cs="宋体"/>
          <w:sz w:val="24"/>
          <w:szCs w:val="24"/>
          <w:lang w:val="en-US" w:eastAsia="zh-CN"/>
        </w:rPr>
        <w:t>综合</w:t>
      </w:r>
      <w:r>
        <w:rPr>
          <w:rFonts w:hint="eastAsia" w:ascii="宋体" w:hAnsi="宋体" w:eastAsia="宋体" w:cs="宋体"/>
          <w:sz w:val="24"/>
          <w:szCs w:val="24"/>
        </w:rPr>
        <w:t>评标价法确定中标人。</w:t>
      </w:r>
    </w:p>
    <w:p w14:paraId="52BCAD39">
      <w:pPr>
        <w:pStyle w:val="27"/>
        <w:numPr>
          <w:ilvl w:val="0"/>
          <w:numId w:val="0"/>
        </w:numPr>
        <w:kinsoku/>
        <w:spacing w:line="360" w:lineRule="auto"/>
        <w:ind w:left="0" w:leftChars="0" w:firstLine="480" w:firstLineChars="200"/>
        <w:outlineLvl w:val="0"/>
        <w:rPr>
          <w:rFonts w:hint="eastAsia" w:ascii="宋体" w:hAnsi="宋体" w:eastAsia="宋体" w:cs="宋体"/>
          <w:sz w:val="24"/>
          <w:szCs w:val="24"/>
        </w:rPr>
      </w:pPr>
      <w:bookmarkStart w:id="73" w:name="_Toc24129"/>
      <w:bookmarkStart w:id="74" w:name="_Toc6426"/>
      <w:bookmarkStart w:id="75" w:name="_Toc12"/>
      <w:bookmarkStart w:id="76" w:name="_Toc18886"/>
      <w:bookmarkStart w:id="77" w:name="_Toc14086"/>
      <w:bookmarkStart w:id="78" w:name="_Toc26371"/>
      <w:r>
        <w:rPr>
          <w:rFonts w:hint="eastAsia" w:ascii="宋体" w:hAnsi="宋体" w:eastAsia="宋体" w:cs="宋体"/>
          <w:snapToGrid w:val="0"/>
          <w:color w:val="000000"/>
          <w:sz w:val="24"/>
          <w:szCs w:val="24"/>
          <w:lang w:val="en-US" w:eastAsia="zh-CN" w:bidi="ar-SA"/>
        </w:rPr>
        <w:t>3.</w:t>
      </w:r>
      <w:r>
        <w:rPr>
          <w:rFonts w:hint="eastAsia" w:ascii="宋体" w:hAnsi="宋体" w:eastAsia="宋体" w:cs="宋体"/>
          <w:sz w:val="24"/>
          <w:szCs w:val="24"/>
        </w:rPr>
        <w:t>招标人不对未中标的投标人作任何解释，不退还投标文件。</w:t>
      </w:r>
      <w:bookmarkEnd w:id="73"/>
      <w:bookmarkEnd w:id="74"/>
      <w:bookmarkEnd w:id="75"/>
      <w:bookmarkEnd w:id="76"/>
      <w:bookmarkEnd w:id="77"/>
      <w:bookmarkEnd w:id="78"/>
    </w:p>
    <w:p w14:paraId="78D4ECD1">
      <w:pPr>
        <w:kinsoku/>
        <w:spacing w:line="360" w:lineRule="auto"/>
        <w:ind w:firstLine="482" w:firstLineChars="200"/>
        <w:outlineLvl w:val="0"/>
        <w:rPr>
          <w:rFonts w:hint="eastAsia" w:ascii="宋体" w:hAnsi="宋体" w:eastAsia="宋体" w:cs="宋体"/>
          <w:b/>
          <w:bCs/>
          <w:sz w:val="24"/>
          <w:szCs w:val="24"/>
        </w:rPr>
      </w:pPr>
      <w:bookmarkStart w:id="79" w:name="_Toc2586"/>
      <w:bookmarkStart w:id="80" w:name="_Toc32748"/>
      <w:bookmarkStart w:id="81" w:name="_Toc29662"/>
      <w:bookmarkStart w:id="82" w:name="_Toc25649"/>
      <w:bookmarkStart w:id="83" w:name="_Toc6326"/>
      <w:r>
        <w:rPr>
          <w:rFonts w:hint="eastAsia" w:ascii="宋体" w:hAnsi="宋体" w:eastAsia="宋体" w:cs="宋体"/>
          <w:b/>
          <w:bCs/>
          <w:sz w:val="24"/>
          <w:szCs w:val="24"/>
        </w:rPr>
        <w:t>五、纪律要求</w:t>
      </w:r>
      <w:bookmarkEnd w:id="79"/>
      <w:bookmarkEnd w:id="80"/>
      <w:bookmarkEnd w:id="81"/>
      <w:bookmarkEnd w:id="82"/>
      <w:bookmarkEnd w:id="83"/>
    </w:p>
    <w:p w14:paraId="0B916DE4">
      <w:pPr>
        <w:pStyle w:val="27"/>
        <w:numPr>
          <w:ilvl w:val="0"/>
          <w:numId w:val="6"/>
        </w:numPr>
        <w:kinsoku/>
        <w:spacing w:line="360" w:lineRule="auto"/>
        <w:ind w:left="0" w:firstLine="480"/>
        <w:rPr>
          <w:rFonts w:hint="eastAsia" w:ascii="宋体" w:hAnsi="宋体" w:eastAsia="宋体" w:cs="宋体"/>
          <w:sz w:val="24"/>
          <w:szCs w:val="24"/>
        </w:rPr>
      </w:pPr>
      <w:r>
        <w:rPr>
          <w:rFonts w:hint="eastAsia" w:ascii="宋体" w:hAnsi="宋体" w:eastAsia="宋体" w:cs="宋体"/>
          <w:sz w:val="24"/>
          <w:szCs w:val="24"/>
        </w:rPr>
        <w:t>投标人不得相互串通投标或者与招标人串通投标，不得向招标人或者评标委员会及其组成人员行贿谋取中标，不得以他人名义投标或者以其他方式弄虚作假骗取中标；投标人不得以任何方式干扰、影响评标工作。</w:t>
      </w:r>
    </w:p>
    <w:p w14:paraId="6E9DE2F9">
      <w:pPr>
        <w:pStyle w:val="27"/>
        <w:numPr>
          <w:ilvl w:val="0"/>
          <w:numId w:val="6"/>
        </w:numPr>
        <w:kinsoku/>
        <w:spacing w:line="360" w:lineRule="auto"/>
        <w:ind w:left="0" w:firstLine="480"/>
        <w:rPr>
          <w:rFonts w:hint="eastAsia" w:ascii="宋体" w:hAnsi="宋体" w:eastAsia="宋体" w:cs="宋体"/>
          <w:sz w:val="24"/>
          <w:szCs w:val="24"/>
        </w:rPr>
      </w:pPr>
      <w:r>
        <w:rPr>
          <w:rFonts w:hint="eastAsia" w:ascii="宋体" w:hAnsi="宋体" w:eastAsia="宋体" w:cs="宋体"/>
          <w:sz w:val="24"/>
          <w:szCs w:val="24"/>
        </w:rPr>
        <w:t>评标委员会及其组成人员应严格自律，严格遵守国家法律、法规，并接受监察部门的监督。</w:t>
      </w:r>
    </w:p>
    <w:p w14:paraId="7B9A7D84">
      <w:pPr>
        <w:kinsoku/>
        <w:spacing w:line="360" w:lineRule="auto"/>
        <w:ind w:firstLine="482" w:firstLineChars="200"/>
        <w:outlineLvl w:val="0"/>
        <w:rPr>
          <w:rFonts w:hint="eastAsia" w:ascii="宋体" w:hAnsi="宋体" w:eastAsia="宋体" w:cs="宋体"/>
          <w:b/>
          <w:bCs/>
          <w:sz w:val="24"/>
          <w:szCs w:val="24"/>
        </w:rPr>
      </w:pPr>
      <w:bookmarkStart w:id="84" w:name="_Toc23438"/>
      <w:bookmarkStart w:id="85" w:name="_Toc9588"/>
      <w:bookmarkStart w:id="86" w:name="_Toc3302"/>
      <w:bookmarkStart w:id="87" w:name="_Toc11099"/>
      <w:bookmarkStart w:id="88" w:name="_Toc7771"/>
      <w:r>
        <w:rPr>
          <w:rFonts w:hint="eastAsia" w:ascii="宋体" w:hAnsi="宋体" w:eastAsia="宋体" w:cs="宋体"/>
          <w:b/>
          <w:bCs/>
          <w:sz w:val="24"/>
          <w:szCs w:val="24"/>
        </w:rPr>
        <w:t>六、其他</w:t>
      </w:r>
      <w:bookmarkEnd w:id="84"/>
      <w:bookmarkEnd w:id="85"/>
      <w:bookmarkEnd w:id="86"/>
      <w:bookmarkEnd w:id="87"/>
      <w:bookmarkEnd w:id="88"/>
    </w:p>
    <w:p w14:paraId="32CD9432">
      <w:pPr>
        <w:pStyle w:val="27"/>
        <w:numPr>
          <w:ilvl w:val="0"/>
          <w:numId w:val="7"/>
        </w:numPr>
        <w:kinsoku/>
        <w:spacing w:line="360" w:lineRule="auto"/>
        <w:ind w:left="0" w:firstLine="480"/>
        <w:rPr>
          <w:rFonts w:hint="eastAsia" w:ascii="宋体" w:hAnsi="宋体" w:eastAsia="宋体" w:cs="宋体"/>
          <w:sz w:val="24"/>
          <w:szCs w:val="24"/>
        </w:rPr>
      </w:pPr>
      <w:r>
        <w:rPr>
          <w:rFonts w:hint="eastAsia" w:ascii="宋体" w:hAnsi="宋体" w:eastAsia="宋体" w:cs="宋体"/>
          <w:sz w:val="24"/>
          <w:szCs w:val="24"/>
        </w:rPr>
        <w:t>中标人若改变原材料配方和生产工艺，需征得招标人同意，并需重新认可。</w:t>
      </w:r>
    </w:p>
    <w:p w14:paraId="4C599DA0">
      <w:pPr>
        <w:pStyle w:val="27"/>
        <w:numPr>
          <w:ilvl w:val="0"/>
          <w:numId w:val="7"/>
        </w:numPr>
        <w:kinsoku/>
        <w:spacing w:line="360" w:lineRule="auto"/>
        <w:ind w:left="0" w:firstLine="480"/>
        <w:rPr>
          <w:rFonts w:hint="eastAsia" w:ascii="宋体" w:hAnsi="宋体" w:eastAsia="宋体" w:cs="宋体"/>
          <w:sz w:val="24"/>
          <w:szCs w:val="24"/>
        </w:rPr>
      </w:pPr>
      <w:r>
        <w:rPr>
          <w:rFonts w:hint="eastAsia" w:ascii="宋体" w:hAnsi="宋体" w:eastAsia="宋体" w:cs="宋体"/>
          <w:sz w:val="24"/>
          <w:szCs w:val="24"/>
        </w:rPr>
        <w:t>参加招投标活动的各方应视本次招投标活动的任何信息为秘密，在没有事先征得对方的书面同意的情况下，任何一方不得以任何方式向第三人公布、传递或透露任何信息，违者应对由此造成的后果承担法律责任。</w:t>
      </w:r>
    </w:p>
    <w:p w14:paraId="1EC825BE">
      <w:pPr>
        <w:spacing w:line="360" w:lineRule="auto"/>
        <w:rPr>
          <w:rFonts w:hint="eastAsia" w:ascii="宋体" w:hAnsi="宋体" w:eastAsia="宋体" w:cs="宋体"/>
        </w:rPr>
      </w:pPr>
    </w:p>
    <w:p w14:paraId="54B8621F">
      <w:pPr>
        <w:spacing w:line="360" w:lineRule="auto"/>
        <w:rPr>
          <w:rFonts w:hint="eastAsia" w:ascii="宋体" w:hAnsi="宋体" w:eastAsia="宋体" w:cs="宋体"/>
        </w:rPr>
      </w:pPr>
    </w:p>
    <w:p w14:paraId="41D56025">
      <w:pPr>
        <w:spacing w:line="360" w:lineRule="auto"/>
        <w:rPr>
          <w:rFonts w:hint="eastAsia" w:ascii="宋体" w:hAnsi="宋体" w:eastAsia="宋体" w:cs="宋体"/>
        </w:rPr>
      </w:pPr>
    </w:p>
    <w:p w14:paraId="32256DC7">
      <w:pPr>
        <w:spacing w:line="360" w:lineRule="auto"/>
        <w:rPr>
          <w:rFonts w:hint="eastAsia" w:ascii="宋体" w:hAnsi="宋体" w:eastAsia="宋体" w:cs="宋体"/>
        </w:rPr>
      </w:pPr>
    </w:p>
    <w:p w14:paraId="3CE4203A">
      <w:pPr>
        <w:spacing w:line="360" w:lineRule="auto"/>
        <w:rPr>
          <w:rFonts w:hint="eastAsia" w:ascii="宋体" w:hAnsi="宋体" w:eastAsia="宋体" w:cs="宋体"/>
        </w:rPr>
      </w:pPr>
    </w:p>
    <w:p w14:paraId="7B1F0A64">
      <w:pPr>
        <w:spacing w:line="360" w:lineRule="auto"/>
        <w:rPr>
          <w:rFonts w:hint="eastAsia" w:ascii="宋体" w:hAnsi="宋体" w:eastAsia="宋体" w:cs="宋体"/>
        </w:rPr>
      </w:pPr>
    </w:p>
    <w:p w14:paraId="38CBB9DB">
      <w:pPr>
        <w:spacing w:line="360" w:lineRule="auto"/>
        <w:rPr>
          <w:rFonts w:hint="eastAsia" w:ascii="宋体" w:hAnsi="宋体" w:eastAsia="宋体" w:cs="宋体"/>
        </w:rPr>
      </w:pPr>
    </w:p>
    <w:p w14:paraId="1852FAD0">
      <w:pPr>
        <w:spacing w:line="360" w:lineRule="auto"/>
        <w:rPr>
          <w:rFonts w:hint="eastAsia" w:ascii="宋体" w:hAnsi="宋体" w:eastAsia="宋体" w:cs="宋体"/>
        </w:rPr>
      </w:pPr>
    </w:p>
    <w:p w14:paraId="6CB30E98">
      <w:pPr>
        <w:spacing w:line="360" w:lineRule="auto"/>
        <w:rPr>
          <w:rFonts w:hint="eastAsia" w:ascii="宋体" w:hAnsi="宋体" w:eastAsia="宋体" w:cs="宋体"/>
        </w:rPr>
      </w:pPr>
    </w:p>
    <w:p w14:paraId="414C3997">
      <w:pPr>
        <w:spacing w:line="360" w:lineRule="auto"/>
        <w:rPr>
          <w:rFonts w:hint="eastAsia" w:ascii="宋体" w:hAnsi="宋体" w:eastAsia="宋体" w:cs="宋体"/>
        </w:rPr>
      </w:pPr>
    </w:p>
    <w:p w14:paraId="1F28CFF3">
      <w:pPr>
        <w:spacing w:line="360" w:lineRule="auto"/>
        <w:rPr>
          <w:rFonts w:hint="eastAsia" w:ascii="宋体" w:hAnsi="宋体" w:eastAsia="宋体" w:cs="宋体"/>
        </w:rPr>
      </w:pPr>
    </w:p>
    <w:p w14:paraId="6E2A3906">
      <w:pPr>
        <w:spacing w:line="360" w:lineRule="auto"/>
        <w:rPr>
          <w:rFonts w:hint="eastAsia" w:ascii="宋体" w:hAnsi="宋体" w:eastAsia="宋体" w:cs="宋体"/>
        </w:rPr>
      </w:pPr>
    </w:p>
    <w:p w14:paraId="060C803F">
      <w:pPr>
        <w:spacing w:line="360" w:lineRule="auto"/>
        <w:rPr>
          <w:rFonts w:hint="eastAsia" w:ascii="宋体" w:hAnsi="宋体" w:eastAsia="宋体" w:cs="宋体"/>
        </w:rPr>
      </w:pPr>
    </w:p>
    <w:p w14:paraId="22BC0296">
      <w:pPr>
        <w:spacing w:line="360" w:lineRule="auto"/>
        <w:rPr>
          <w:rFonts w:hint="eastAsia" w:ascii="宋体" w:hAnsi="宋体" w:eastAsia="宋体" w:cs="宋体"/>
        </w:rPr>
      </w:pPr>
    </w:p>
    <w:p w14:paraId="3390688E">
      <w:pPr>
        <w:spacing w:line="360" w:lineRule="auto"/>
        <w:rPr>
          <w:rFonts w:hint="eastAsia" w:ascii="宋体" w:hAnsi="宋体" w:eastAsia="宋体" w:cs="宋体"/>
        </w:rPr>
      </w:pPr>
    </w:p>
    <w:p w14:paraId="13655460">
      <w:pPr>
        <w:spacing w:line="360" w:lineRule="auto"/>
        <w:rPr>
          <w:rFonts w:hint="eastAsia" w:ascii="宋体" w:hAnsi="宋体" w:eastAsia="宋体" w:cs="宋体"/>
        </w:rPr>
      </w:pPr>
    </w:p>
    <w:p w14:paraId="2D36F1D5">
      <w:pPr>
        <w:spacing w:before="240" w:beforeLines="100" w:after="120" w:afterLines="50" w:line="360" w:lineRule="auto"/>
        <w:jc w:val="center"/>
        <w:outlineLvl w:val="0"/>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pPr>
      <w:bookmarkStart w:id="89" w:name="_Toc14207"/>
      <w:bookmarkStart w:id="90" w:name="_Toc26223"/>
      <w:bookmarkStart w:id="91" w:name="_Toc14035"/>
      <w:r>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t>三、评标办法</w:t>
      </w:r>
      <w:bookmarkEnd w:id="89"/>
      <w:bookmarkEnd w:id="90"/>
      <w:bookmarkEnd w:id="91"/>
    </w:p>
    <w:p w14:paraId="31275D25">
      <w:pPr>
        <w:pStyle w:val="10"/>
        <w:keepNext w:val="0"/>
        <w:keepLines w:val="0"/>
        <w:pageBreakBefore w:val="0"/>
        <w:kinsoku/>
        <w:wordWrap/>
        <w:overflowPunct/>
        <w:topLinePunct w:val="0"/>
        <w:autoSpaceDE/>
        <w:autoSpaceDN/>
        <w:bidi w:val="0"/>
        <w:adjustRightInd/>
        <w:snapToGrid/>
        <w:spacing w:after="0" w:line="360" w:lineRule="auto"/>
        <w:ind w:left="0" w:leftChars="0" w:firstLine="482" w:firstLineChars="200"/>
        <w:textAlignment w:val="auto"/>
        <w:rPr>
          <w:rFonts w:hint="eastAsia" w:ascii="宋体" w:hAnsi="宋体" w:eastAsia="宋体" w:cs="宋体"/>
          <w:b/>
          <w:bCs/>
          <w:color w:val="auto"/>
          <w:sz w:val="24"/>
        </w:rPr>
      </w:pPr>
      <w:r>
        <w:rPr>
          <w:rFonts w:hint="eastAsia" w:ascii="宋体" w:hAnsi="宋体" w:eastAsia="宋体" w:cs="宋体"/>
          <w:b/>
          <w:bCs/>
          <w:color w:val="auto"/>
          <w:sz w:val="24"/>
          <w:lang w:val="en-US" w:eastAsia="zh-CN"/>
        </w:rPr>
        <w:t>1.</w:t>
      </w:r>
      <w:r>
        <w:rPr>
          <w:rFonts w:hint="eastAsia" w:ascii="宋体" w:hAnsi="宋体" w:eastAsia="宋体" w:cs="宋体"/>
          <w:b/>
          <w:bCs/>
          <w:color w:val="auto"/>
          <w:sz w:val="24"/>
        </w:rPr>
        <w:t>评标原则</w:t>
      </w:r>
    </w:p>
    <w:p w14:paraId="0758C13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评标工作应根据《中华人民共和国招标投标法》和国家、地</w:t>
      </w:r>
      <w:r>
        <w:rPr>
          <w:rFonts w:hint="eastAsia" w:ascii="宋体" w:hAnsi="宋体" w:eastAsia="宋体" w:cs="宋体"/>
          <w:color w:val="auto"/>
          <w:sz w:val="24"/>
          <w:lang w:eastAsia="zh-CN"/>
        </w:rPr>
        <w:t>方</w:t>
      </w:r>
      <w:r>
        <w:rPr>
          <w:rFonts w:hint="eastAsia" w:ascii="宋体" w:hAnsi="宋体" w:eastAsia="宋体" w:cs="宋体"/>
          <w:color w:val="auto"/>
          <w:sz w:val="24"/>
        </w:rPr>
        <w:t>政府有关招标投标法规的有关规定，遵循“公平、公正、诚实信用、科学、择优”的原则进行。评标委员会将按照规定只对通过资格及响应性审查的各合格投标人进行评价和比较。</w:t>
      </w:r>
    </w:p>
    <w:p w14:paraId="64EE5AD8">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rPr>
      </w:pPr>
      <w:r>
        <w:rPr>
          <w:rFonts w:hint="eastAsia" w:ascii="宋体" w:hAnsi="宋体" w:eastAsia="宋体" w:cs="宋体"/>
          <w:b/>
          <w:bCs/>
          <w:color w:val="auto"/>
          <w:sz w:val="24"/>
        </w:rPr>
        <w:t>2.评标办法类型</w:t>
      </w:r>
    </w:p>
    <w:p w14:paraId="77FCA88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本</w:t>
      </w:r>
      <w:r>
        <w:rPr>
          <w:rFonts w:hint="eastAsia" w:ascii="宋体" w:hAnsi="宋体" w:eastAsia="宋体" w:cs="宋体"/>
          <w:color w:val="auto"/>
          <w:sz w:val="24"/>
          <w:lang w:val="en-US" w:eastAsia="zh-CN"/>
        </w:rPr>
        <w:t>项目</w:t>
      </w:r>
      <w:r>
        <w:rPr>
          <w:rFonts w:hint="eastAsia" w:ascii="宋体" w:hAnsi="宋体" w:eastAsia="宋体" w:cs="宋体"/>
          <w:color w:val="auto"/>
          <w:sz w:val="24"/>
        </w:rPr>
        <w:t>采用</w:t>
      </w:r>
      <w:r>
        <w:rPr>
          <w:rFonts w:hint="eastAsia" w:ascii="宋体" w:hAnsi="宋体" w:eastAsia="宋体" w:cs="宋体"/>
          <w:color w:val="auto"/>
          <w:sz w:val="24"/>
          <w:lang w:val="en-US" w:eastAsia="zh-CN"/>
        </w:rPr>
        <w:t>综合</w:t>
      </w:r>
      <w:r>
        <w:rPr>
          <w:rFonts w:hint="eastAsia" w:ascii="宋体" w:hAnsi="宋体" w:eastAsia="宋体" w:cs="宋体"/>
          <w:color w:val="auto"/>
          <w:sz w:val="24"/>
        </w:rPr>
        <w:t>评分法评</w:t>
      </w:r>
      <w:r>
        <w:rPr>
          <w:rFonts w:hint="eastAsia" w:ascii="宋体" w:hAnsi="宋体" w:eastAsia="宋体" w:cs="宋体"/>
          <w:bCs/>
          <w:color w:val="auto"/>
          <w:sz w:val="24"/>
        </w:rPr>
        <w:t>标</w:t>
      </w:r>
      <w:r>
        <w:rPr>
          <w:rFonts w:hint="eastAsia" w:ascii="宋体" w:hAnsi="宋体" w:eastAsia="宋体" w:cs="宋体"/>
          <w:color w:val="auto"/>
          <w:sz w:val="24"/>
        </w:rPr>
        <w:t>。</w:t>
      </w:r>
      <w:r>
        <w:rPr>
          <w:rFonts w:hint="eastAsia" w:ascii="宋体" w:hAnsi="宋体" w:eastAsia="宋体" w:cs="宋体"/>
          <w:bCs/>
          <w:color w:val="auto"/>
          <w:sz w:val="24"/>
        </w:rPr>
        <w:t>评标定标工作由招标人组织的评标小组</w:t>
      </w:r>
      <w:r>
        <w:rPr>
          <w:rFonts w:hint="eastAsia" w:ascii="宋体" w:hAnsi="宋体" w:eastAsia="宋体" w:cs="宋体"/>
          <w:bCs/>
          <w:color w:val="auto"/>
          <w:sz w:val="24"/>
          <w:lang w:val="en-US" w:eastAsia="zh-CN"/>
        </w:rPr>
        <w:t>成员</w:t>
      </w:r>
      <w:r>
        <w:rPr>
          <w:rFonts w:hint="eastAsia" w:ascii="宋体" w:hAnsi="宋体" w:eastAsia="宋体" w:cs="宋体"/>
          <w:bCs/>
          <w:color w:val="auto"/>
          <w:sz w:val="24"/>
        </w:rPr>
        <w:t>进行</w:t>
      </w:r>
      <w:r>
        <w:rPr>
          <w:rFonts w:hint="eastAsia" w:ascii="宋体" w:hAnsi="宋体" w:eastAsia="宋体" w:cs="宋体"/>
          <w:color w:val="auto"/>
          <w:sz w:val="24"/>
        </w:rPr>
        <w:t>。</w:t>
      </w:r>
    </w:p>
    <w:p w14:paraId="4D9D73B3">
      <w:pPr>
        <w:pStyle w:val="10"/>
        <w:keepNext w:val="0"/>
        <w:keepLines w:val="0"/>
        <w:pageBreakBefore w:val="0"/>
        <w:kinsoku/>
        <w:wordWrap/>
        <w:overflowPunct/>
        <w:topLinePunct w:val="0"/>
        <w:autoSpaceDE/>
        <w:autoSpaceDN/>
        <w:bidi w:val="0"/>
        <w:adjustRightInd/>
        <w:snapToGrid/>
        <w:spacing w:after="0" w:line="360" w:lineRule="auto"/>
        <w:ind w:left="0" w:leftChars="0" w:firstLine="482" w:firstLineChars="200"/>
        <w:textAlignment w:val="auto"/>
        <w:rPr>
          <w:rFonts w:hint="eastAsia" w:ascii="宋体" w:hAnsi="宋体" w:eastAsia="宋体" w:cs="宋体"/>
          <w:b/>
          <w:bCs/>
          <w:color w:val="auto"/>
          <w:sz w:val="24"/>
        </w:rPr>
      </w:pPr>
      <w:r>
        <w:rPr>
          <w:rFonts w:hint="eastAsia" w:ascii="宋体" w:hAnsi="宋体" w:eastAsia="宋体" w:cs="宋体"/>
          <w:b/>
          <w:bCs/>
          <w:color w:val="auto"/>
          <w:sz w:val="24"/>
          <w:lang w:val="en-US" w:eastAsia="zh-CN"/>
        </w:rPr>
        <w:t>3</w:t>
      </w:r>
      <w:r>
        <w:rPr>
          <w:rFonts w:hint="eastAsia" w:ascii="宋体" w:hAnsi="宋体" w:eastAsia="宋体" w:cs="宋体"/>
          <w:b/>
          <w:bCs/>
          <w:color w:val="auto"/>
          <w:sz w:val="24"/>
        </w:rPr>
        <w:t>.评审内容</w:t>
      </w:r>
    </w:p>
    <w:p w14:paraId="7DE07AFD">
      <w:pPr>
        <w:pStyle w:val="10"/>
        <w:keepNext w:val="0"/>
        <w:keepLines w:val="0"/>
        <w:pageBreakBefore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rPr>
        <w:t xml:space="preserve">.1 </w:t>
      </w:r>
      <w:r>
        <w:rPr>
          <w:rFonts w:hint="eastAsia" w:ascii="宋体" w:hAnsi="宋体" w:eastAsia="宋体" w:cs="宋体"/>
          <w:color w:val="auto"/>
          <w:sz w:val="24"/>
          <w:lang w:val="en-US" w:eastAsia="zh-CN"/>
        </w:rPr>
        <w:t>技术评审</w:t>
      </w:r>
      <w:r>
        <w:rPr>
          <w:rFonts w:hint="eastAsia" w:ascii="宋体" w:hAnsi="宋体" w:eastAsia="宋体" w:cs="宋体"/>
          <w:color w:val="auto"/>
          <w:sz w:val="24"/>
        </w:rPr>
        <w:t>；</w:t>
      </w:r>
    </w:p>
    <w:p w14:paraId="739778A2">
      <w:pPr>
        <w:pStyle w:val="10"/>
        <w:keepNext w:val="0"/>
        <w:keepLines w:val="0"/>
        <w:pageBreakBefore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rPr>
        <w:t>.2 投标报价；</w:t>
      </w:r>
    </w:p>
    <w:p w14:paraId="79CB7F82">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rPr>
      </w:pPr>
      <w:r>
        <w:rPr>
          <w:rFonts w:hint="eastAsia" w:ascii="宋体" w:hAnsi="宋体" w:eastAsia="宋体" w:cs="宋体"/>
          <w:b/>
          <w:bCs/>
          <w:color w:val="auto"/>
          <w:sz w:val="24"/>
          <w:lang w:val="en-US" w:eastAsia="zh-CN"/>
        </w:rPr>
        <w:t>4</w:t>
      </w:r>
      <w:r>
        <w:rPr>
          <w:rFonts w:hint="eastAsia" w:ascii="宋体" w:hAnsi="宋体" w:eastAsia="宋体" w:cs="宋体"/>
          <w:b/>
          <w:bCs/>
          <w:color w:val="auto"/>
          <w:sz w:val="24"/>
        </w:rPr>
        <w:t>.评审程序</w:t>
      </w:r>
    </w:p>
    <w:p w14:paraId="380F214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.1评标小组评委按招标文件要求对各投标人的投标文件进行符合性评审（包括资格审查），确认其投标文件是否实质上响应招标文件的要求，对实质上响应招标文件要求的投标文件进入下一步评审。</w:t>
      </w:r>
      <w:r>
        <w:rPr>
          <w:rFonts w:hint="eastAsia" w:ascii="宋体" w:hAnsi="宋体" w:eastAsia="宋体" w:cs="宋体"/>
          <w:bCs/>
          <w:color w:val="auto"/>
          <w:sz w:val="24"/>
        </w:rPr>
        <w:t>凡不符合投标资质条件、专业条件要求、投标要求和未实质性响应招标文件要求的投标以及未按招标文件要求的投标格式进行投标的均为废标，不进入评分程序。</w:t>
      </w:r>
    </w:p>
    <w:p w14:paraId="08BD3B2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.2评标小组评委根据招标文件所确定的评标办法对通过符合性评审的投标人进行投标及</w:t>
      </w:r>
      <w:r>
        <w:rPr>
          <w:rFonts w:hint="eastAsia" w:ascii="宋体" w:hAnsi="宋体" w:eastAsia="宋体" w:cs="宋体"/>
          <w:color w:val="auto"/>
          <w:sz w:val="24"/>
          <w:lang w:val="en-US" w:eastAsia="zh-CN"/>
        </w:rPr>
        <w:t>技术</w:t>
      </w:r>
      <w:r>
        <w:rPr>
          <w:rFonts w:hint="eastAsia" w:ascii="宋体" w:hAnsi="宋体" w:eastAsia="宋体" w:cs="宋体"/>
          <w:color w:val="auto"/>
          <w:sz w:val="24"/>
        </w:rPr>
        <w:t>、</w:t>
      </w:r>
      <w:r>
        <w:rPr>
          <w:rFonts w:hint="eastAsia" w:ascii="宋体" w:hAnsi="宋体" w:eastAsia="宋体" w:cs="宋体"/>
          <w:color w:val="auto"/>
          <w:sz w:val="24"/>
          <w:lang w:val="en-US" w:eastAsia="zh-CN"/>
        </w:rPr>
        <w:t>价格</w:t>
      </w:r>
      <w:r>
        <w:rPr>
          <w:rFonts w:hint="eastAsia" w:ascii="宋体" w:hAnsi="宋体" w:eastAsia="宋体" w:cs="宋体"/>
          <w:color w:val="auto"/>
          <w:sz w:val="24"/>
        </w:rPr>
        <w:t>因素评分。</w:t>
      </w:r>
    </w:p>
    <w:p w14:paraId="24199B2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.3汇总评标小组评委各项评分，统计结果。</w:t>
      </w:r>
    </w:p>
    <w:p w14:paraId="64B22960">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color w:val="auto"/>
          <w:sz w:val="24"/>
        </w:rPr>
      </w:pPr>
      <w:r>
        <w:rPr>
          <w:rFonts w:hint="eastAsia" w:ascii="宋体" w:hAnsi="宋体" w:eastAsia="宋体" w:cs="宋体"/>
          <w:b/>
          <w:bCs/>
          <w:color w:val="auto"/>
          <w:sz w:val="24"/>
          <w:lang w:val="en-US" w:eastAsia="zh-CN"/>
        </w:rPr>
        <w:t>5</w:t>
      </w:r>
      <w:r>
        <w:rPr>
          <w:rFonts w:hint="eastAsia" w:ascii="宋体" w:hAnsi="宋体" w:eastAsia="宋体" w:cs="宋体"/>
          <w:b/>
          <w:bCs/>
          <w:color w:val="auto"/>
          <w:sz w:val="24"/>
        </w:rPr>
        <w:t>.其他方面要求</w:t>
      </w:r>
    </w:p>
    <w:p w14:paraId="5129E13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本工程招标文件未尽事宜，按照《中华人民共和国招标投标法》、《福建省招标投标管理办法》等有关法规、规定执行。</w:t>
      </w:r>
    </w:p>
    <w:p w14:paraId="2BAC13CB">
      <w:pPr>
        <w:keepNext w:val="0"/>
        <w:keepLines w:val="0"/>
        <w:pageBreakBefore w:val="0"/>
        <w:kinsoku/>
        <w:wordWrap/>
        <w:overflowPunct/>
        <w:topLinePunct w:val="0"/>
        <w:autoSpaceDE/>
        <w:autoSpaceDN/>
        <w:bidi w:val="0"/>
        <w:adjustRightInd/>
        <w:snapToGrid/>
        <w:spacing w:line="360" w:lineRule="auto"/>
        <w:ind w:firstLine="472" w:firstLineChars="196"/>
        <w:textAlignment w:val="auto"/>
        <w:rPr>
          <w:rFonts w:hint="eastAsia" w:ascii="宋体" w:hAnsi="宋体" w:eastAsia="宋体" w:cs="宋体"/>
          <w:b/>
          <w:color w:val="auto"/>
          <w:sz w:val="24"/>
          <w:highlight w:val="none"/>
        </w:rPr>
      </w:pPr>
      <w:r>
        <w:rPr>
          <w:rFonts w:hint="eastAsia" w:ascii="宋体" w:hAnsi="宋体" w:eastAsia="宋体" w:cs="宋体"/>
          <w:b/>
          <w:color w:val="auto"/>
          <w:sz w:val="24"/>
          <w:lang w:val="en-US" w:eastAsia="zh-CN"/>
        </w:rPr>
        <w:t>6</w:t>
      </w:r>
      <w:r>
        <w:rPr>
          <w:rFonts w:hint="eastAsia" w:ascii="宋体" w:hAnsi="宋体" w:eastAsia="宋体" w:cs="宋体"/>
          <w:b/>
          <w:color w:val="auto"/>
          <w:sz w:val="24"/>
        </w:rPr>
        <w:t>.评审标准</w:t>
      </w:r>
    </w:p>
    <w:p w14:paraId="56F5EA6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评分标准的总分为100分，其分值由</w:t>
      </w:r>
      <w:r>
        <w:rPr>
          <w:rFonts w:hint="eastAsia" w:ascii="宋体" w:hAnsi="宋体" w:eastAsia="宋体" w:cs="宋体"/>
          <w:color w:val="auto"/>
          <w:sz w:val="24"/>
          <w:highlight w:val="none"/>
          <w:lang w:val="en-US" w:eastAsia="zh-CN"/>
        </w:rPr>
        <w:t>商务</w:t>
      </w:r>
      <w:r>
        <w:rPr>
          <w:rFonts w:hint="eastAsia" w:ascii="宋体" w:hAnsi="宋体" w:eastAsia="宋体" w:cs="宋体"/>
          <w:color w:val="auto"/>
          <w:sz w:val="24"/>
          <w:highlight w:val="none"/>
        </w:rPr>
        <w:t>部分（</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0分）、</w:t>
      </w:r>
      <w:r>
        <w:rPr>
          <w:rFonts w:hint="eastAsia" w:ascii="宋体" w:hAnsi="宋体" w:eastAsia="宋体" w:cs="宋体"/>
          <w:color w:val="auto"/>
          <w:sz w:val="24"/>
          <w:highlight w:val="none"/>
          <w:lang w:val="en-US" w:eastAsia="zh-CN"/>
        </w:rPr>
        <w:t>技术部分（20分）、报价</w:t>
      </w:r>
      <w:r>
        <w:rPr>
          <w:rFonts w:hint="eastAsia" w:ascii="宋体" w:hAnsi="宋体" w:eastAsia="宋体" w:cs="宋体"/>
          <w:color w:val="auto"/>
          <w:sz w:val="24"/>
          <w:highlight w:val="none"/>
        </w:rPr>
        <w:t>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0分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组成，评审标准具体如下：</w:t>
      </w:r>
    </w:p>
    <w:p w14:paraId="0C4B73D9">
      <w:pPr>
        <w:pStyle w:val="23"/>
        <w:spacing w:line="360" w:lineRule="auto"/>
        <w:rPr>
          <w:rFonts w:hint="eastAsia" w:ascii="宋体" w:hAnsi="宋体" w:eastAsia="宋体" w:cs="宋体"/>
          <w:color w:val="auto"/>
          <w:sz w:val="24"/>
          <w:highlight w:val="none"/>
        </w:rPr>
      </w:pPr>
    </w:p>
    <w:p w14:paraId="1B45DF83">
      <w:pPr>
        <w:pStyle w:val="23"/>
        <w:spacing w:line="360" w:lineRule="auto"/>
        <w:rPr>
          <w:rFonts w:hint="eastAsia" w:ascii="宋体" w:hAnsi="宋体" w:eastAsia="宋体" w:cs="宋体"/>
          <w:color w:val="auto"/>
          <w:sz w:val="24"/>
          <w:highlight w:val="none"/>
        </w:rPr>
      </w:pPr>
    </w:p>
    <w:p w14:paraId="1B3CB1A3">
      <w:pPr>
        <w:spacing w:line="360" w:lineRule="auto"/>
        <w:ind w:firstLine="458" w:firstLineChars="200"/>
        <w:rPr>
          <w:rFonts w:hint="eastAsia" w:ascii="宋体" w:hAnsi="宋体" w:eastAsia="宋体" w:cs="宋体"/>
          <w:b/>
          <w:bCs/>
          <w:color w:val="auto"/>
          <w:spacing w:val="-6"/>
          <w:sz w:val="24"/>
          <w:highlight w:val="none"/>
          <w:lang w:eastAsia="zh-CN"/>
        </w:rPr>
      </w:pPr>
    </w:p>
    <w:p w14:paraId="47D544AF">
      <w:pPr>
        <w:spacing w:before="240" w:beforeLines="100" w:after="120" w:afterLines="50" w:line="360" w:lineRule="auto"/>
        <w:jc w:val="center"/>
        <w:outlineLvl w:val="0"/>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pPr>
      <w:bookmarkStart w:id="92" w:name="_Toc14784"/>
      <w:bookmarkStart w:id="93" w:name="_Toc13537"/>
      <w:bookmarkStart w:id="94" w:name="_Toc23296"/>
      <w:r>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t>四、综合评标评分标准</w:t>
      </w:r>
      <w:bookmarkEnd w:id="92"/>
      <w:bookmarkEnd w:id="93"/>
      <w:bookmarkEnd w:id="94"/>
    </w:p>
    <w:p w14:paraId="44095CE0">
      <w:pPr>
        <w:widowControl w:val="0"/>
        <w:kinsoku/>
        <w:autoSpaceDE/>
        <w:autoSpaceDN/>
        <w:adjustRightInd/>
        <w:snapToGrid/>
        <w:spacing w:before="120" w:beforeLines="50" w:line="360" w:lineRule="auto"/>
        <w:ind w:firstLine="482" w:firstLineChars="200"/>
        <w:jc w:val="both"/>
        <w:textAlignment w:val="auto"/>
        <w:rPr>
          <w:rFonts w:hint="eastAsia" w:ascii="宋体" w:hAnsi="宋体" w:eastAsia="宋体" w:cs="宋体"/>
          <w:b/>
          <w:bCs/>
          <w:sz w:val="24"/>
        </w:rPr>
      </w:pPr>
      <w:r>
        <w:rPr>
          <w:rFonts w:hint="eastAsia" w:ascii="宋体" w:hAnsi="宋体" w:eastAsia="宋体" w:cs="宋体"/>
          <w:b/>
          <w:bCs/>
          <w:sz w:val="24"/>
        </w:rPr>
        <w:t>1、技术部分（分值</w:t>
      </w:r>
      <w:r>
        <w:rPr>
          <w:rFonts w:hint="eastAsia" w:ascii="宋体" w:hAnsi="宋体" w:eastAsia="宋体" w:cs="宋体"/>
          <w:b/>
          <w:bCs/>
          <w:sz w:val="24"/>
          <w:lang w:val="en-US" w:eastAsia="zh-CN"/>
        </w:rPr>
        <w:t>1</w:t>
      </w:r>
      <w:r>
        <w:rPr>
          <w:rFonts w:hint="eastAsia" w:ascii="宋体" w:hAnsi="宋体" w:eastAsia="宋体" w:cs="宋体"/>
          <w:b/>
          <w:bCs/>
          <w:sz w:val="24"/>
        </w:rPr>
        <w:t>0分）</w:t>
      </w:r>
    </w:p>
    <w:tbl>
      <w:tblPr>
        <w:tblStyle w:val="16"/>
        <w:tblW w:w="9180"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3" w:type="dxa"/>
          <w:bottom w:w="0" w:type="dxa"/>
          <w:right w:w="108" w:type="dxa"/>
        </w:tblCellMar>
      </w:tblPr>
      <w:tblGrid>
        <w:gridCol w:w="710"/>
        <w:gridCol w:w="1180"/>
        <w:gridCol w:w="860"/>
        <w:gridCol w:w="5296"/>
        <w:gridCol w:w="1134"/>
      </w:tblGrid>
      <w:tr w14:paraId="504F6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587" w:hRule="atLeast"/>
        </w:trPr>
        <w:tc>
          <w:tcPr>
            <w:tcW w:w="710" w:type="dxa"/>
            <w:tcMar>
              <w:left w:w="103" w:type="dxa"/>
            </w:tcMar>
            <w:vAlign w:val="center"/>
          </w:tcPr>
          <w:p w14:paraId="299C6C0D">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180" w:type="dxa"/>
            <w:tcMar>
              <w:left w:w="103" w:type="dxa"/>
            </w:tcMar>
            <w:vAlign w:val="center"/>
          </w:tcPr>
          <w:p w14:paraId="5D9A9558">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类别</w:t>
            </w:r>
          </w:p>
        </w:tc>
        <w:tc>
          <w:tcPr>
            <w:tcW w:w="860" w:type="dxa"/>
            <w:tcMar>
              <w:left w:w="103" w:type="dxa"/>
            </w:tcMar>
            <w:vAlign w:val="center"/>
          </w:tcPr>
          <w:p w14:paraId="39490E15">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满分</w:t>
            </w:r>
          </w:p>
        </w:tc>
        <w:tc>
          <w:tcPr>
            <w:tcW w:w="5296" w:type="dxa"/>
            <w:tcMar>
              <w:left w:w="103" w:type="dxa"/>
            </w:tcMar>
            <w:vAlign w:val="center"/>
          </w:tcPr>
          <w:p w14:paraId="7B03D056">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评审内容</w:t>
            </w:r>
          </w:p>
        </w:tc>
        <w:tc>
          <w:tcPr>
            <w:tcW w:w="1134" w:type="dxa"/>
            <w:tcMar>
              <w:left w:w="103" w:type="dxa"/>
            </w:tcMar>
            <w:vAlign w:val="center"/>
          </w:tcPr>
          <w:p w14:paraId="2C9229D1">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实得分</w:t>
            </w:r>
          </w:p>
        </w:tc>
      </w:tr>
      <w:tr w14:paraId="3A571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510" w:hRule="atLeast"/>
        </w:trPr>
        <w:tc>
          <w:tcPr>
            <w:tcW w:w="710" w:type="dxa"/>
            <w:tcMar>
              <w:left w:w="103" w:type="dxa"/>
            </w:tcMar>
            <w:vAlign w:val="center"/>
          </w:tcPr>
          <w:p w14:paraId="2406F6BB">
            <w:pPr>
              <w:widowControl w:val="0"/>
              <w:kinsoku/>
              <w:autoSpaceDE/>
              <w:autoSpaceDN/>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180" w:type="dxa"/>
            <w:tcMar>
              <w:left w:w="103" w:type="dxa"/>
            </w:tcMar>
            <w:vAlign w:val="center"/>
          </w:tcPr>
          <w:p w14:paraId="09F389A2">
            <w:pPr>
              <w:pStyle w:val="7"/>
              <w:widowControl w:val="0"/>
              <w:kinsoku/>
              <w:autoSpaceDE/>
              <w:autoSpaceDN/>
              <w:spacing w:line="360" w:lineRule="auto"/>
              <w:jc w:val="center"/>
              <w:textAlignment w:val="auto"/>
              <w:rPr>
                <w:rFonts w:hint="eastAsia" w:ascii="宋体" w:hAnsi="宋体" w:eastAsia="宋体" w:cs="宋体"/>
                <w:color w:val="auto"/>
                <w:szCs w:val="24"/>
                <w:lang w:val="en-US"/>
              </w:rPr>
            </w:pPr>
            <w:r>
              <w:rPr>
                <w:rFonts w:hint="eastAsia" w:ascii="宋体" w:hAnsi="宋体" w:eastAsia="宋体" w:cs="宋体"/>
                <w:color w:val="auto"/>
                <w:szCs w:val="24"/>
                <w:lang w:val="en-US"/>
              </w:rPr>
              <w:t>技术要求</w:t>
            </w:r>
          </w:p>
        </w:tc>
        <w:tc>
          <w:tcPr>
            <w:tcW w:w="860" w:type="dxa"/>
            <w:tcMar>
              <w:left w:w="103" w:type="dxa"/>
            </w:tcMar>
            <w:vAlign w:val="center"/>
          </w:tcPr>
          <w:p w14:paraId="4A6A7B9C">
            <w:pPr>
              <w:widowControl w:val="0"/>
              <w:kinsoku/>
              <w:autoSpaceDE/>
              <w:autoSpaceDN/>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0分</w:t>
            </w:r>
          </w:p>
        </w:tc>
        <w:tc>
          <w:tcPr>
            <w:tcW w:w="5296" w:type="dxa"/>
            <w:tcMar>
              <w:left w:w="103" w:type="dxa"/>
            </w:tcMar>
            <w:vAlign w:val="center"/>
          </w:tcPr>
          <w:p w14:paraId="069E8768">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lang w:val="en-US" w:eastAsia="zh-CN"/>
              </w:rPr>
            </w:pPr>
            <w:r>
              <w:rPr>
                <w:rFonts w:hint="eastAsia" w:ascii="宋体" w:hAnsi="宋体" w:eastAsia="宋体" w:cs="宋体"/>
                <w:color w:val="auto"/>
                <w:kern w:val="0"/>
                <w:sz w:val="24"/>
                <w:szCs w:val="24"/>
                <w:highlight w:val="none"/>
                <w:lang w:val="en-US" w:eastAsia="zh-CN"/>
              </w:rPr>
              <w:t>关键参数：一项不响应扣1-3分。</w:t>
            </w:r>
          </w:p>
          <w:p w14:paraId="751851CC">
            <w:pPr>
              <w:widowControl w:val="0"/>
              <w:kinsoku/>
              <w:autoSpaceDE/>
              <w:autoSpaceDN/>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highlight w:val="none"/>
                <w:lang w:val="en-US" w:eastAsia="zh-CN"/>
              </w:rPr>
              <w:t>一般参数：一项不响应扣0.5-1分。</w:t>
            </w:r>
          </w:p>
        </w:tc>
        <w:tc>
          <w:tcPr>
            <w:tcW w:w="1134" w:type="dxa"/>
            <w:tcMar>
              <w:left w:w="103" w:type="dxa"/>
            </w:tcMar>
            <w:vAlign w:val="center"/>
          </w:tcPr>
          <w:p w14:paraId="44406733">
            <w:pPr>
              <w:widowControl w:val="0"/>
              <w:kinsoku/>
              <w:autoSpaceDE/>
              <w:autoSpaceDN/>
              <w:spacing w:line="360" w:lineRule="auto"/>
              <w:jc w:val="center"/>
              <w:textAlignment w:val="auto"/>
              <w:rPr>
                <w:rFonts w:hint="eastAsia" w:ascii="宋体" w:hAnsi="宋体" w:eastAsia="宋体" w:cs="宋体"/>
                <w:color w:val="auto"/>
                <w:sz w:val="24"/>
                <w:szCs w:val="24"/>
              </w:rPr>
            </w:pPr>
          </w:p>
        </w:tc>
      </w:tr>
    </w:tbl>
    <w:p w14:paraId="36BBE9C6">
      <w:pPr>
        <w:spacing w:line="360" w:lineRule="auto"/>
        <w:jc w:val="both"/>
        <w:rPr>
          <w:rFonts w:hint="eastAsia" w:ascii="宋体" w:hAnsi="宋体" w:eastAsia="宋体" w:cs="宋体"/>
          <w:b/>
          <w:bCs/>
          <w:sz w:val="24"/>
        </w:rPr>
      </w:pPr>
    </w:p>
    <w:p w14:paraId="6617127A">
      <w:pPr>
        <w:spacing w:line="360" w:lineRule="auto"/>
        <w:ind w:firstLine="482" w:firstLineChars="200"/>
        <w:jc w:val="both"/>
        <w:rPr>
          <w:rFonts w:hint="eastAsia" w:ascii="宋体" w:hAnsi="宋体" w:eastAsia="宋体" w:cs="宋体"/>
          <w:b/>
          <w:bCs/>
          <w:sz w:val="24"/>
        </w:rPr>
      </w:pPr>
      <w:r>
        <w:rPr>
          <w:rFonts w:hint="eastAsia" w:ascii="宋体" w:hAnsi="宋体" w:eastAsia="宋体" w:cs="宋体"/>
          <w:b/>
          <w:bCs/>
          <w:sz w:val="24"/>
          <w:lang w:val="en-US" w:eastAsia="zh-CN"/>
        </w:rPr>
        <w:t>2</w:t>
      </w:r>
      <w:r>
        <w:rPr>
          <w:rFonts w:hint="eastAsia" w:ascii="宋体" w:hAnsi="宋体" w:eastAsia="宋体" w:cs="宋体"/>
          <w:b/>
          <w:bCs/>
          <w:sz w:val="24"/>
        </w:rPr>
        <w:t>、价格部分（分值</w:t>
      </w:r>
      <w:r>
        <w:rPr>
          <w:rFonts w:hint="eastAsia" w:ascii="宋体" w:hAnsi="宋体" w:eastAsia="宋体" w:cs="宋体"/>
          <w:b/>
          <w:bCs/>
          <w:sz w:val="24"/>
          <w:lang w:val="en-US" w:eastAsia="zh-CN"/>
        </w:rPr>
        <w:t>90</w:t>
      </w:r>
      <w:r>
        <w:rPr>
          <w:rFonts w:hint="eastAsia" w:ascii="宋体" w:hAnsi="宋体" w:eastAsia="宋体" w:cs="宋体"/>
          <w:b/>
          <w:bCs/>
          <w:sz w:val="24"/>
        </w:rPr>
        <w:t>分）</w:t>
      </w:r>
    </w:p>
    <w:tbl>
      <w:tblPr>
        <w:tblStyle w:val="16"/>
        <w:tblW w:w="9190" w:type="dxa"/>
        <w:tblInd w:w="127" w:type="dxa"/>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103" w:type="dxa"/>
          <w:bottom w:w="0" w:type="dxa"/>
          <w:right w:w="108" w:type="dxa"/>
        </w:tblCellMar>
      </w:tblPr>
      <w:tblGrid>
        <w:gridCol w:w="740"/>
        <w:gridCol w:w="1160"/>
        <w:gridCol w:w="800"/>
        <w:gridCol w:w="5356"/>
        <w:gridCol w:w="1134"/>
      </w:tblGrid>
      <w:tr w14:paraId="223C69ED">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524" w:hRule="atLeast"/>
        </w:trPr>
        <w:tc>
          <w:tcPr>
            <w:tcW w:w="740" w:type="dxa"/>
            <w:tcBorders>
              <w:top w:val="single" w:color="000000" w:sz="4" w:space="0"/>
              <w:left w:val="single" w:color="000000" w:sz="4" w:space="0"/>
              <w:bottom w:val="single" w:color="000000" w:sz="4" w:space="0"/>
            </w:tcBorders>
            <w:tcMar>
              <w:left w:w="103" w:type="dxa"/>
            </w:tcMar>
            <w:vAlign w:val="center"/>
          </w:tcPr>
          <w:p w14:paraId="7932788D">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160" w:type="dxa"/>
            <w:tcBorders>
              <w:top w:val="single" w:color="000000" w:sz="4" w:space="0"/>
              <w:left w:val="single" w:color="000000" w:sz="4" w:space="0"/>
              <w:bottom w:val="single" w:color="000000" w:sz="4" w:space="0"/>
            </w:tcBorders>
            <w:tcMar>
              <w:left w:w="103" w:type="dxa"/>
            </w:tcMar>
            <w:vAlign w:val="center"/>
          </w:tcPr>
          <w:p w14:paraId="50BD4F2E">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类别</w:t>
            </w:r>
          </w:p>
        </w:tc>
        <w:tc>
          <w:tcPr>
            <w:tcW w:w="800" w:type="dxa"/>
            <w:tcBorders>
              <w:top w:val="single" w:color="000000" w:sz="4" w:space="0"/>
              <w:left w:val="single" w:color="000000" w:sz="4" w:space="0"/>
              <w:bottom w:val="single" w:color="000000" w:sz="4" w:space="0"/>
            </w:tcBorders>
            <w:tcMar>
              <w:left w:w="103" w:type="dxa"/>
            </w:tcMar>
            <w:vAlign w:val="center"/>
          </w:tcPr>
          <w:p w14:paraId="5A2FA267">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满分</w:t>
            </w:r>
          </w:p>
        </w:tc>
        <w:tc>
          <w:tcPr>
            <w:tcW w:w="5356" w:type="dxa"/>
            <w:tcBorders>
              <w:top w:val="single" w:color="000000" w:sz="4" w:space="0"/>
              <w:left w:val="single" w:color="000000" w:sz="4" w:space="0"/>
              <w:bottom w:val="single" w:color="000000" w:sz="4" w:space="0"/>
              <w:right w:val="single" w:color="000000" w:sz="4" w:space="0"/>
            </w:tcBorders>
            <w:tcMar>
              <w:left w:w="103" w:type="dxa"/>
            </w:tcMar>
            <w:vAlign w:val="center"/>
          </w:tcPr>
          <w:p w14:paraId="1DDDEC84">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评审内容</w:t>
            </w:r>
          </w:p>
        </w:tc>
        <w:tc>
          <w:tcPr>
            <w:tcW w:w="1134" w:type="dxa"/>
            <w:tcBorders>
              <w:top w:val="single" w:color="000000" w:sz="4" w:space="0"/>
              <w:left w:val="single" w:color="000000" w:sz="4" w:space="0"/>
              <w:bottom w:val="single" w:color="000000" w:sz="4" w:space="0"/>
              <w:right w:val="single" w:color="000000" w:sz="4" w:space="0"/>
            </w:tcBorders>
            <w:tcMar>
              <w:left w:w="103" w:type="dxa"/>
            </w:tcMar>
            <w:vAlign w:val="center"/>
          </w:tcPr>
          <w:p w14:paraId="7A2279B8">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实得分</w:t>
            </w:r>
          </w:p>
        </w:tc>
      </w:tr>
      <w:tr w14:paraId="648AF4E7">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2319" w:hRule="atLeast"/>
        </w:trPr>
        <w:tc>
          <w:tcPr>
            <w:tcW w:w="740" w:type="dxa"/>
            <w:tcBorders>
              <w:top w:val="single" w:color="000000" w:sz="4" w:space="0"/>
              <w:left w:val="single" w:color="000000" w:sz="4" w:space="0"/>
              <w:bottom w:val="single" w:color="000000" w:sz="4" w:space="0"/>
            </w:tcBorders>
            <w:tcMar>
              <w:left w:w="103" w:type="dxa"/>
            </w:tcMar>
            <w:vAlign w:val="center"/>
          </w:tcPr>
          <w:p w14:paraId="42A1E09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160" w:type="dxa"/>
            <w:tcBorders>
              <w:top w:val="single" w:color="000000" w:sz="4" w:space="0"/>
              <w:left w:val="single" w:color="000000" w:sz="4" w:space="0"/>
              <w:bottom w:val="single" w:color="000000" w:sz="4" w:space="0"/>
            </w:tcBorders>
            <w:tcMar>
              <w:left w:w="103" w:type="dxa"/>
            </w:tcMar>
            <w:vAlign w:val="center"/>
          </w:tcPr>
          <w:p w14:paraId="262F89D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投标分</w:t>
            </w:r>
          </w:p>
        </w:tc>
        <w:tc>
          <w:tcPr>
            <w:tcW w:w="800" w:type="dxa"/>
            <w:tcBorders>
              <w:top w:val="single" w:color="000000" w:sz="4" w:space="0"/>
              <w:left w:val="single" w:color="000000" w:sz="4" w:space="0"/>
              <w:bottom w:val="single" w:color="000000" w:sz="4" w:space="0"/>
            </w:tcBorders>
            <w:tcMar>
              <w:left w:w="103" w:type="dxa"/>
            </w:tcMar>
            <w:vAlign w:val="center"/>
          </w:tcPr>
          <w:p w14:paraId="0F8469C1">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0分</w:t>
            </w:r>
          </w:p>
        </w:tc>
        <w:tc>
          <w:tcPr>
            <w:tcW w:w="5356" w:type="dxa"/>
            <w:tcBorders>
              <w:top w:val="single" w:color="000000" w:sz="4" w:space="0"/>
              <w:left w:val="single" w:color="000000" w:sz="4" w:space="0"/>
              <w:bottom w:val="single" w:color="000000" w:sz="4" w:space="0"/>
              <w:right w:val="single" w:color="000000" w:sz="4" w:space="0"/>
            </w:tcBorders>
            <w:tcMar>
              <w:left w:w="103" w:type="dxa"/>
            </w:tcMar>
            <w:vAlign w:val="center"/>
          </w:tcPr>
          <w:p w14:paraId="4F38A81B">
            <w:pPr>
              <w:spacing w:line="360" w:lineRule="auto"/>
              <w:rPr>
                <w:rFonts w:hint="eastAsia" w:ascii="宋体" w:hAnsi="宋体" w:eastAsia="宋体" w:cs="宋体"/>
                <w:sz w:val="24"/>
              </w:rPr>
            </w:pPr>
            <w:r>
              <w:rPr>
                <w:rFonts w:hint="eastAsia" w:ascii="宋体" w:hAnsi="宋体" w:eastAsia="宋体" w:cs="宋体"/>
                <w:sz w:val="24"/>
              </w:rPr>
              <w:t>价格分应当采用低价优先法计算，即满足招标文件要求且最后报价最低的价格为评标基准价，其价格分为满分。其他供应商的价格分统一按照下列公式计算：</w:t>
            </w:r>
          </w:p>
          <w:p w14:paraId="1F1333EC">
            <w:pPr>
              <w:spacing w:line="360" w:lineRule="auto"/>
              <w:rPr>
                <w:rFonts w:hint="eastAsia" w:ascii="宋体" w:hAnsi="宋体" w:eastAsia="宋体" w:cs="宋体"/>
                <w:sz w:val="24"/>
              </w:rPr>
            </w:pPr>
            <w:r>
              <w:rPr>
                <w:rFonts w:hint="eastAsia" w:ascii="宋体" w:hAnsi="宋体" w:eastAsia="宋体" w:cs="宋体"/>
                <w:sz w:val="24"/>
              </w:rPr>
              <w:t>报价得分=（评标基准价/最后报价）×100×</w:t>
            </w:r>
            <w:r>
              <w:rPr>
                <w:rFonts w:hint="eastAsia" w:ascii="宋体" w:hAnsi="宋体" w:eastAsia="宋体" w:cs="宋体"/>
                <w:sz w:val="24"/>
                <w:lang w:val="en-US" w:eastAsia="zh-CN"/>
              </w:rPr>
              <w:t>7</w:t>
            </w:r>
            <w:r>
              <w:rPr>
                <w:rFonts w:hint="eastAsia" w:ascii="宋体" w:hAnsi="宋体" w:eastAsia="宋体" w:cs="宋体"/>
                <w:sz w:val="24"/>
              </w:rPr>
              <w:t>0%，评审过程中，不得去掉最后报价中的最高报价和最低报价。（保留到小数点后两位，第三位四舍五入。）</w:t>
            </w:r>
          </w:p>
          <w:p w14:paraId="5BCE7429">
            <w:pPr>
              <w:spacing w:line="360" w:lineRule="auto"/>
              <w:rPr>
                <w:rFonts w:hint="eastAsia" w:ascii="宋体" w:hAnsi="宋体" w:eastAsia="宋体" w:cs="宋体"/>
                <w:b/>
                <w:sz w:val="24"/>
              </w:rPr>
            </w:pPr>
            <w:r>
              <w:rPr>
                <w:rFonts w:hint="eastAsia" w:ascii="宋体" w:hAnsi="宋体" w:eastAsia="宋体" w:cs="宋体"/>
                <w:sz w:val="24"/>
              </w:rPr>
              <w:t>如报价出现异常，评标委员会由权要求相应投标人作出说明，如说明理由不合理或不说明理由，评标委员会有权将该投标人投标视为废标</w:t>
            </w:r>
          </w:p>
        </w:tc>
        <w:tc>
          <w:tcPr>
            <w:tcW w:w="1134" w:type="dxa"/>
            <w:tcBorders>
              <w:top w:val="single" w:color="000000" w:sz="4" w:space="0"/>
              <w:left w:val="single" w:color="000000" w:sz="4" w:space="0"/>
              <w:bottom w:val="single" w:color="000000" w:sz="4" w:space="0"/>
              <w:right w:val="single" w:color="000000" w:sz="4" w:space="0"/>
            </w:tcBorders>
            <w:tcMar>
              <w:left w:w="103" w:type="dxa"/>
            </w:tcMar>
            <w:vAlign w:val="center"/>
          </w:tcPr>
          <w:p w14:paraId="76E8D88B">
            <w:pPr>
              <w:spacing w:line="360" w:lineRule="auto"/>
              <w:rPr>
                <w:rFonts w:hint="eastAsia" w:ascii="宋体" w:hAnsi="宋体" w:eastAsia="宋体" w:cs="宋体"/>
                <w:sz w:val="24"/>
                <w:szCs w:val="24"/>
              </w:rPr>
            </w:pPr>
          </w:p>
        </w:tc>
      </w:tr>
    </w:tbl>
    <w:p w14:paraId="11F2609E">
      <w:pPr>
        <w:pStyle w:val="2"/>
        <w:spacing w:line="360" w:lineRule="auto"/>
        <w:ind w:left="0" w:leftChars="0" w:firstLine="0" w:firstLineChars="0"/>
        <w:rPr>
          <w:rFonts w:hint="eastAsia" w:ascii="宋体" w:hAnsi="宋体" w:eastAsia="宋体" w:cs="宋体"/>
          <w:color w:val="auto"/>
        </w:rPr>
      </w:pPr>
      <w:r>
        <w:rPr>
          <w:rFonts w:hint="eastAsia" w:ascii="宋体" w:hAnsi="宋体" w:eastAsia="宋体" w:cs="宋体"/>
          <w:color w:val="auto"/>
        </w:rPr>
        <w:br w:type="textWrapping"/>
      </w:r>
    </w:p>
    <w:p w14:paraId="62AD4D54">
      <w:pPr>
        <w:keepNext w:val="0"/>
        <w:keepLines w:val="0"/>
        <w:pageBreakBefore w:val="0"/>
        <w:wordWrap/>
        <w:overflowPunct/>
        <w:bidi w:val="0"/>
        <w:spacing w:line="360" w:lineRule="auto"/>
        <w:ind w:left="0" w:leftChars="0" w:right="0" w:firstLine="482" w:firstLineChars="200"/>
        <w:jc w:val="both"/>
        <w:rPr>
          <w:rFonts w:hint="eastAsia" w:ascii="宋体" w:hAnsi="宋体" w:eastAsia="宋体" w:cs="宋体"/>
          <w:b/>
          <w:bCs/>
          <w:sz w:val="24"/>
        </w:rPr>
      </w:pPr>
      <w:bookmarkStart w:id="95" w:name="_Toc12820"/>
      <w:bookmarkStart w:id="96" w:name="_Toc20197"/>
      <w:bookmarkStart w:id="97" w:name="_Toc7216"/>
      <w:r>
        <w:rPr>
          <w:rFonts w:hint="eastAsia" w:ascii="宋体" w:hAnsi="宋体" w:eastAsia="宋体" w:cs="宋体"/>
          <w:b/>
          <w:bCs/>
          <w:sz w:val="24"/>
          <w:lang w:val="en-US" w:eastAsia="zh-CN"/>
        </w:rPr>
        <w:t>3</w:t>
      </w:r>
      <w:r>
        <w:rPr>
          <w:rFonts w:hint="eastAsia" w:ascii="宋体" w:hAnsi="宋体" w:eastAsia="宋体" w:cs="宋体"/>
          <w:b/>
          <w:bCs/>
          <w:sz w:val="24"/>
        </w:rPr>
        <w:t>、</w:t>
      </w:r>
      <w:r>
        <w:rPr>
          <w:rFonts w:hint="eastAsia" w:ascii="宋体" w:hAnsi="宋体" w:eastAsia="宋体" w:cs="宋体"/>
          <w:b/>
          <w:bCs/>
          <w:sz w:val="24"/>
          <w:lang w:val="en-US" w:eastAsia="zh-CN"/>
        </w:rPr>
        <w:t>其他</w:t>
      </w:r>
      <w:r>
        <w:rPr>
          <w:rFonts w:hint="eastAsia" w:ascii="宋体" w:hAnsi="宋体" w:eastAsia="宋体" w:cs="宋体"/>
          <w:b/>
          <w:bCs/>
          <w:sz w:val="24"/>
        </w:rPr>
        <w:t>部分（分值</w:t>
      </w:r>
      <w:r>
        <w:rPr>
          <w:rFonts w:hint="eastAsia" w:ascii="宋体" w:hAnsi="宋体" w:eastAsia="宋体" w:cs="宋体"/>
          <w:b/>
          <w:bCs/>
          <w:sz w:val="24"/>
          <w:lang w:val="en-US" w:eastAsia="zh-CN"/>
        </w:rPr>
        <w:t>10</w:t>
      </w:r>
      <w:r>
        <w:rPr>
          <w:rFonts w:hint="eastAsia" w:ascii="宋体" w:hAnsi="宋体" w:eastAsia="宋体" w:cs="宋体"/>
          <w:b/>
          <w:bCs/>
          <w:sz w:val="24"/>
        </w:rPr>
        <w:t>分）</w:t>
      </w:r>
    </w:p>
    <w:p w14:paraId="0A2F69D7">
      <w:pPr>
        <w:keepNext w:val="0"/>
        <w:keepLines w:val="0"/>
        <w:pageBreakBefore w:val="0"/>
        <w:wordWrap/>
        <w:overflowPunct/>
        <w:bidi w:val="0"/>
        <w:spacing w:line="360" w:lineRule="auto"/>
        <w:ind w:left="0" w:leftChars="0" w:right="0" w:firstLine="482" w:firstLineChars="200"/>
        <w:rPr>
          <w:rFonts w:hint="eastAsia" w:ascii="宋体" w:hAnsi="宋体" w:eastAsia="宋体" w:cs="宋体"/>
          <w:b/>
          <w:bCs/>
          <w:color w:val="auto"/>
          <w:sz w:val="24"/>
        </w:rPr>
      </w:pPr>
      <w:r>
        <w:rPr>
          <w:rFonts w:hint="eastAsia" w:ascii="宋体" w:hAnsi="宋体" w:eastAsia="宋体" w:cs="宋体"/>
          <w:b/>
          <w:bCs/>
          <w:color w:val="auto"/>
          <w:sz w:val="24"/>
          <w:lang w:val="en-US" w:eastAsia="zh-CN"/>
        </w:rPr>
        <w:t>4</w:t>
      </w:r>
      <w:r>
        <w:rPr>
          <w:rFonts w:hint="eastAsia" w:ascii="宋体" w:hAnsi="宋体" w:eastAsia="宋体" w:cs="宋体"/>
          <w:b/>
          <w:bCs/>
          <w:color w:val="auto"/>
          <w:sz w:val="24"/>
          <w:lang w:eastAsia="zh-CN"/>
        </w:rPr>
        <w:t>、</w:t>
      </w:r>
      <w:r>
        <w:rPr>
          <w:rFonts w:hint="eastAsia" w:ascii="宋体" w:hAnsi="宋体" w:eastAsia="宋体" w:cs="宋体"/>
          <w:b/>
          <w:bCs/>
          <w:color w:val="auto"/>
          <w:sz w:val="24"/>
        </w:rPr>
        <w:t>定标办法</w:t>
      </w:r>
    </w:p>
    <w:p w14:paraId="46AB7448">
      <w:pPr>
        <w:keepNext w:val="0"/>
        <w:keepLines w:val="0"/>
        <w:pageBreakBefore w:val="0"/>
        <w:wordWrap/>
        <w:overflowPunct/>
        <w:bidi w:val="0"/>
        <w:spacing w:line="360" w:lineRule="auto"/>
        <w:ind w:left="0" w:leftChars="0" w:right="0"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.1总得分</w:t>
      </w:r>
    </w:p>
    <w:p w14:paraId="4704FC4A">
      <w:pPr>
        <w:keepNext w:val="0"/>
        <w:keepLines w:val="0"/>
        <w:pageBreakBefore w:val="0"/>
        <w:wordWrap/>
        <w:overflowPunct/>
        <w:bidi w:val="0"/>
        <w:spacing w:line="360" w:lineRule="auto"/>
        <w:ind w:left="0" w:leftChars="0" w:right="0" w:firstLine="480" w:firstLineChars="200"/>
        <w:rPr>
          <w:rFonts w:hint="eastAsia" w:ascii="宋体" w:hAnsi="宋体" w:eastAsia="宋体" w:cs="宋体"/>
          <w:color w:val="auto"/>
          <w:sz w:val="24"/>
        </w:rPr>
      </w:pPr>
      <w:r>
        <w:rPr>
          <w:rFonts w:hint="eastAsia" w:ascii="宋体" w:hAnsi="宋体" w:eastAsia="宋体" w:cs="宋体"/>
          <w:color w:val="auto"/>
          <w:sz w:val="24"/>
        </w:rPr>
        <w:t>各投标人得分=（</w:t>
      </w:r>
      <w:r>
        <w:rPr>
          <w:rFonts w:hint="eastAsia" w:ascii="宋体" w:hAnsi="宋体" w:eastAsia="宋体" w:cs="宋体"/>
          <w:color w:val="auto"/>
          <w:sz w:val="24"/>
          <w:lang w:val="en-US" w:eastAsia="zh-CN"/>
        </w:rPr>
        <w:t>技术</w:t>
      </w:r>
      <w:r>
        <w:rPr>
          <w:rFonts w:hint="eastAsia" w:ascii="宋体" w:hAnsi="宋体" w:eastAsia="宋体" w:cs="宋体"/>
          <w:color w:val="auto"/>
          <w:sz w:val="24"/>
        </w:rPr>
        <w:t>分+价格分</w:t>
      </w:r>
      <w:r>
        <w:rPr>
          <w:rFonts w:hint="eastAsia" w:ascii="宋体" w:hAnsi="宋体" w:eastAsia="宋体" w:cs="宋体"/>
          <w:color w:val="auto"/>
          <w:sz w:val="24"/>
          <w:lang w:val="en-US" w:eastAsia="zh-CN"/>
        </w:rPr>
        <w:t>+其他分</w:t>
      </w:r>
      <w:r>
        <w:rPr>
          <w:rFonts w:hint="eastAsia" w:ascii="宋体" w:hAnsi="宋体" w:eastAsia="宋体" w:cs="宋体"/>
          <w:color w:val="auto"/>
          <w:sz w:val="24"/>
        </w:rPr>
        <w:t>）。</w:t>
      </w:r>
    </w:p>
    <w:p w14:paraId="331698AC">
      <w:pPr>
        <w:keepNext w:val="0"/>
        <w:keepLines w:val="0"/>
        <w:pageBreakBefore w:val="0"/>
        <w:wordWrap/>
        <w:overflowPunct/>
        <w:bidi w:val="0"/>
        <w:spacing w:line="360" w:lineRule="auto"/>
        <w:ind w:left="0" w:leftChars="0" w:right="0"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w:t>
      </w:r>
      <w:r>
        <w:rPr>
          <w:rFonts w:hint="eastAsia" w:ascii="宋体" w:hAnsi="宋体" w:eastAsia="宋体" w:cs="宋体"/>
          <w:color w:val="auto"/>
          <w:sz w:val="24"/>
          <w:lang w:val="en-US" w:eastAsia="zh-CN"/>
        </w:rPr>
        <w:t>2</w:t>
      </w:r>
      <w:r>
        <w:rPr>
          <w:rFonts w:hint="eastAsia" w:ascii="宋体" w:hAnsi="宋体" w:eastAsia="宋体" w:cs="宋体"/>
          <w:color w:val="auto"/>
          <w:sz w:val="24"/>
        </w:rPr>
        <w:t>评委评审打分、计分过程中各项分数均取小数点后两位，小数点后第三位四舍五入。根据各评委的打分结果，在计算投标人得分时，对评委的</w:t>
      </w:r>
      <w:r>
        <w:rPr>
          <w:rFonts w:hint="eastAsia" w:ascii="宋体" w:hAnsi="宋体" w:eastAsia="宋体" w:cs="宋体"/>
          <w:color w:val="auto"/>
          <w:sz w:val="24"/>
          <w:lang w:eastAsia="zh-CN"/>
        </w:rPr>
        <w:t>技术</w:t>
      </w:r>
      <w:r>
        <w:rPr>
          <w:rFonts w:hint="eastAsia" w:ascii="宋体" w:hAnsi="宋体" w:eastAsia="宋体" w:cs="宋体"/>
          <w:color w:val="auto"/>
          <w:sz w:val="24"/>
        </w:rPr>
        <w:t>部分的打分结果分别汇总，再进行算术平均，计算出各有效投标人的得分。</w:t>
      </w:r>
    </w:p>
    <w:p w14:paraId="49D033F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480" w:firstLineChars="200"/>
        <w:jc w:val="left"/>
        <w:textAlignment w:val="baseline"/>
        <w:outlineLvl w:val="0"/>
        <w:rPr>
          <w:rFonts w:hint="eastAsia" w:ascii="宋体" w:hAnsi="宋体" w:eastAsia="宋体" w:cs="宋体"/>
          <w:color w:val="auto"/>
          <w:sz w:val="24"/>
          <w:lang w:val="en-US" w:eastAsia="zh-CN"/>
        </w:rPr>
      </w:pPr>
      <w:r>
        <w:rPr>
          <w:rFonts w:hint="eastAsia" w:ascii="宋体" w:hAnsi="宋体" w:eastAsia="宋体" w:cs="宋体"/>
          <w:snapToGrid w:val="0"/>
          <w:color w:val="auto"/>
          <w:sz w:val="24"/>
          <w:szCs w:val="21"/>
          <w:lang w:val="en-US" w:eastAsia="zh-CN" w:bidi="ar-SA"/>
        </w:rPr>
        <w:t>5.</w:t>
      </w:r>
      <w:r>
        <w:rPr>
          <w:rFonts w:hint="eastAsia" w:ascii="宋体" w:hAnsi="宋体" w:eastAsia="宋体" w:cs="宋体"/>
          <w:color w:val="auto"/>
          <w:sz w:val="24"/>
          <w:lang w:val="en-US" w:eastAsia="zh-CN"/>
        </w:rPr>
        <w:t>评标小组评委依据得分高低顺序依次确定中标候选人，评分以得分最高者作为第一中标候选人。如果出现并列得分最高，则确定价格较低者排名在前；价格投标仍相同时则采用抽签方式现场确定中标候选人。</w:t>
      </w:r>
    </w:p>
    <w:p w14:paraId="26EE949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480" w:firstLineChars="200"/>
        <w:jc w:val="left"/>
        <w:textAlignment w:val="baseline"/>
        <w:outlineLvl w:val="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6.中标人因不可抗力或者自身原因放弃中标资格或者不能履行合同的，招标人可取消其中标资格，中标人还应对招标人造成的损失予以赔偿。同时，招标人可以视情况与排位在中标人之后第一位的中标候选人签订合同，以此类推。</w:t>
      </w:r>
      <w:r>
        <w:rPr>
          <w:rFonts w:hint="eastAsia" w:ascii="宋体" w:hAnsi="宋体" w:eastAsia="宋体" w:cs="宋体"/>
          <w:color w:val="auto"/>
          <w:sz w:val="24"/>
          <w:lang w:val="en-US" w:eastAsia="zh-CN"/>
        </w:rPr>
        <w:br w:type="textWrapping"/>
      </w:r>
    </w:p>
    <w:p w14:paraId="542EF000">
      <w:pPr>
        <w:spacing w:before="240" w:beforeLines="100" w:after="120" w:afterLines="50" w:line="360" w:lineRule="auto"/>
        <w:jc w:val="center"/>
        <w:outlineLvl w:val="0"/>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pPr>
    </w:p>
    <w:p w14:paraId="26B73B7C">
      <w:pPr>
        <w:spacing w:before="240" w:beforeLines="100" w:after="120" w:afterLines="50" w:line="360" w:lineRule="auto"/>
        <w:jc w:val="center"/>
        <w:outlineLvl w:val="0"/>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pPr>
    </w:p>
    <w:p w14:paraId="3C394DDA">
      <w:pPr>
        <w:spacing w:before="240" w:beforeLines="100" w:after="120" w:afterLines="50" w:line="360" w:lineRule="auto"/>
        <w:jc w:val="center"/>
        <w:outlineLvl w:val="0"/>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pPr>
    </w:p>
    <w:p w14:paraId="0E8F3B73">
      <w:pPr>
        <w:spacing w:before="240" w:beforeLines="100" w:after="120" w:afterLines="50" w:line="360" w:lineRule="auto"/>
        <w:jc w:val="center"/>
        <w:outlineLvl w:val="0"/>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pPr>
    </w:p>
    <w:p w14:paraId="1F1AA82E">
      <w:pPr>
        <w:spacing w:before="240" w:beforeLines="100" w:after="120" w:afterLines="50" w:line="360" w:lineRule="auto"/>
        <w:jc w:val="center"/>
        <w:outlineLvl w:val="0"/>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pPr>
    </w:p>
    <w:p w14:paraId="3BD05A67">
      <w:pPr>
        <w:spacing w:before="240" w:beforeLines="100" w:after="120" w:afterLines="50" w:line="360" w:lineRule="auto"/>
        <w:jc w:val="center"/>
        <w:outlineLvl w:val="0"/>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pPr>
    </w:p>
    <w:p w14:paraId="418B65FB">
      <w:pPr>
        <w:spacing w:before="240" w:beforeLines="100" w:after="120" w:afterLines="50" w:line="360" w:lineRule="auto"/>
        <w:jc w:val="center"/>
        <w:outlineLvl w:val="0"/>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pPr>
    </w:p>
    <w:p w14:paraId="478D9BDC">
      <w:pPr>
        <w:spacing w:before="240" w:beforeLines="100" w:after="120" w:afterLines="50" w:line="360" w:lineRule="auto"/>
        <w:jc w:val="center"/>
        <w:outlineLvl w:val="0"/>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pPr>
    </w:p>
    <w:p w14:paraId="06916BF4">
      <w:pPr>
        <w:spacing w:before="240" w:beforeLines="100" w:after="120" w:afterLines="50" w:line="360" w:lineRule="auto"/>
        <w:jc w:val="center"/>
        <w:outlineLvl w:val="0"/>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pPr>
    </w:p>
    <w:p w14:paraId="72E86A2C">
      <w:pPr>
        <w:spacing w:before="240" w:beforeLines="100" w:after="120" w:afterLines="50" w:line="360" w:lineRule="auto"/>
        <w:jc w:val="center"/>
        <w:outlineLvl w:val="0"/>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pPr>
      <w:r>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t>五、技术要求</w:t>
      </w:r>
      <w:bookmarkEnd w:id="95"/>
      <w:bookmarkEnd w:id="96"/>
      <w:bookmarkEnd w:id="97"/>
    </w:p>
    <w:p w14:paraId="768CC614">
      <w:pPr>
        <w:pStyle w:val="8"/>
        <w:spacing w:line="360" w:lineRule="auto"/>
        <w:rPr>
          <w:rFonts w:hint="eastAsia" w:ascii="宋体" w:hAnsi="宋体" w:eastAsia="宋体" w:cs="宋体"/>
        </w:rPr>
      </w:pPr>
      <w:r>
        <w:rPr>
          <w:rFonts w:hint="eastAsia" w:ascii="宋体" w:hAnsi="宋体" w:eastAsia="宋体" w:cs="宋体"/>
        </w:rPr>
        <w:t>投标人应满足以下要求：</w:t>
      </w:r>
    </w:p>
    <w:p w14:paraId="06E9FF5B">
      <w:pPr>
        <w:pStyle w:val="8"/>
        <w:spacing w:line="360" w:lineRule="auto"/>
        <w:rPr>
          <w:rFonts w:hint="eastAsia" w:ascii="宋体" w:hAnsi="宋体" w:eastAsia="宋体" w:cs="宋体"/>
          <w:lang w:val="en-US" w:eastAsia="zh-CN"/>
        </w:rPr>
      </w:pPr>
      <w:r>
        <w:rPr>
          <w:rFonts w:hint="eastAsia" w:ascii="宋体" w:hAnsi="宋体" w:eastAsia="宋体" w:cs="宋体"/>
          <w:lang w:val="en-US" w:eastAsia="zh-CN"/>
        </w:rPr>
        <w:t>原材料理化指标：</w:t>
      </w:r>
    </w:p>
    <w:p w14:paraId="03D4696D">
      <w:pPr>
        <w:pStyle w:val="8"/>
        <w:numPr>
          <w:ilvl w:val="0"/>
          <w:numId w:val="0"/>
        </w:numPr>
        <w:kinsoku w:val="0"/>
        <w:autoSpaceDE w:val="0"/>
        <w:autoSpaceDN w:val="0"/>
        <w:adjustRightInd w:val="0"/>
        <w:snapToGrid w:val="0"/>
        <w:spacing w:line="360" w:lineRule="auto"/>
        <w:textAlignment w:val="baseline"/>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 xml:space="preserve"> 序号一：</w:t>
      </w:r>
    </w:p>
    <w:tbl>
      <w:tblPr>
        <w:tblStyle w:val="16"/>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4"/>
        <w:gridCol w:w="2817"/>
        <w:gridCol w:w="2424"/>
        <w:gridCol w:w="3101"/>
      </w:tblGrid>
      <w:tr w14:paraId="745CF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944" w:type="dxa"/>
            <w:noWrap w:val="0"/>
            <w:vAlign w:val="center"/>
          </w:tcPr>
          <w:p w14:paraId="1F7A9046">
            <w:pPr>
              <w:widowControl/>
              <w:spacing w:line="360" w:lineRule="auto"/>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序号</w:t>
            </w:r>
          </w:p>
        </w:tc>
        <w:tc>
          <w:tcPr>
            <w:tcW w:w="2817" w:type="dxa"/>
            <w:noWrap w:val="0"/>
            <w:vAlign w:val="center"/>
          </w:tcPr>
          <w:p w14:paraId="3155FE16">
            <w:pPr>
              <w:widowControl/>
              <w:spacing w:line="360" w:lineRule="auto"/>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项目</w:t>
            </w:r>
          </w:p>
        </w:tc>
        <w:tc>
          <w:tcPr>
            <w:tcW w:w="2424" w:type="dxa"/>
            <w:noWrap w:val="0"/>
            <w:vAlign w:val="center"/>
          </w:tcPr>
          <w:p w14:paraId="64C61ACA">
            <w:pPr>
              <w:widowControl/>
              <w:spacing w:line="360" w:lineRule="auto"/>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技术参数</w:t>
            </w:r>
          </w:p>
        </w:tc>
        <w:tc>
          <w:tcPr>
            <w:tcW w:w="3101" w:type="dxa"/>
            <w:noWrap w:val="0"/>
            <w:vAlign w:val="center"/>
          </w:tcPr>
          <w:p w14:paraId="70BD57D9">
            <w:pPr>
              <w:widowControl/>
              <w:spacing w:line="360" w:lineRule="auto"/>
              <w:jc w:val="center"/>
              <w:rPr>
                <w:rFonts w:hint="eastAsia" w:ascii="宋体" w:hAnsi="宋体" w:eastAsia="宋体" w:cs="宋体"/>
                <w:b/>
                <w:bCs/>
                <w:kern w:val="0"/>
                <w:sz w:val="22"/>
                <w:szCs w:val="22"/>
                <w:lang w:val="en-US" w:eastAsia="zh-CN"/>
              </w:rPr>
            </w:pPr>
            <w:r>
              <w:rPr>
                <w:rFonts w:hint="eastAsia" w:ascii="宋体" w:hAnsi="宋体" w:eastAsia="宋体" w:cs="宋体"/>
                <w:b/>
                <w:bCs/>
                <w:kern w:val="0"/>
                <w:sz w:val="22"/>
                <w:szCs w:val="22"/>
                <w:lang w:val="en-US" w:eastAsia="zh-CN"/>
              </w:rPr>
              <w:t>备注</w:t>
            </w:r>
          </w:p>
        </w:tc>
      </w:tr>
      <w:tr w14:paraId="313F1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4" w:type="dxa"/>
            <w:noWrap w:val="0"/>
            <w:vAlign w:val="center"/>
          </w:tcPr>
          <w:p w14:paraId="196562F4">
            <w:pPr>
              <w:widowControl/>
              <w:spacing w:line="360" w:lineRule="auto"/>
              <w:jc w:val="center"/>
              <w:rPr>
                <w:rFonts w:hint="eastAsia" w:ascii="宋体" w:hAnsi="宋体" w:eastAsia="宋体" w:cs="宋体"/>
                <w:bCs/>
                <w:kern w:val="0"/>
                <w:sz w:val="22"/>
                <w:szCs w:val="22"/>
                <w:lang w:val="en-US" w:eastAsia="zh-CN"/>
              </w:rPr>
            </w:pPr>
            <w:r>
              <w:rPr>
                <w:rFonts w:hint="eastAsia" w:ascii="宋体" w:hAnsi="宋体" w:eastAsia="宋体" w:cs="宋体"/>
                <w:bCs/>
                <w:kern w:val="0"/>
                <w:sz w:val="22"/>
                <w:szCs w:val="22"/>
                <w:lang w:val="en-US" w:eastAsia="zh-CN"/>
              </w:rPr>
              <w:t>1</w:t>
            </w:r>
          </w:p>
        </w:tc>
        <w:tc>
          <w:tcPr>
            <w:tcW w:w="2817" w:type="dxa"/>
            <w:noWrap w:val="0"/>
            <w:vAlign w:val="center"/>
          </w:tcPr>
          <w:p w14:paraId="25D4E94B">
            <w:pPr>
              <w:widowControl/>
              <w:spacing w:line="360" w:lineRule="auto"/>
              <w:jc w:val="center"/>
              <w:rPr>
                <w:rFonts w:hint="eastAsia" w:ascii="宋体" w:hAnsi="宋体" w:eastAsia="宋体" w:cs="宋体"/>
                <w:b w:val="0"/>
                <w:color w:val="auto"/>
                <w:spacing w:val="10"/>
                <w:kern w:val="2"/>
                <w:sz w:val="22"/>
                <w:szCs w:val="22"/>
                <w:lang w:val="en-US" w:eastAsia="zh-CN"/>
              </w:rPr>
            </w:pPr>
            <w:r>
              <w:rPr>
                <w:rFonts w:hint="eastAsia" w:ascii="宋体" w:hAnsi="宋体" w:eastAsia="宋体" w:cs="宋体"/>
                <w:b w:val="0"/>
                <w:color w:val="auto"/>
                <w:spacing w:val="10"/>
                <w:kern w:val="2"/>
                <w:szCs w:val="28"/>
                <w:lang w:val="en-US" w:eastAsia="zh-CN"/>
              </w:rPr>
              <w:t>＊</w:t>
            </w:r>
            <w:r>
              <w:rPr>
                <w:rFonts w:hint="eastAsia" w:ascii="仿宋" w:hAnsi="仿宋" w:eastAsia="仿宋"/>
                <w:b w:val="0"/>
                <w:color w:val="auto"/>
                <w:spacing w:val="10"/>
                <w:kern w:val="2"/>
                <w:szCs w:val="28"/>
                <w:lang w:val="en-US" w:eastAsia="zh-CN"/>
              </w:rPr>
              <w:t>高纯石墨尺寸（mm）</w:t>
            </w:r>
          </w:p>
        </w:tc>
        <w:tc>
          <w:tcPr>
            <w:tcW w:w="2424" w:type="dxa"/>
            <w:noWrap w:val="0"/>
            <w:vAlign w:val="center"/>
          </w:tcPr>
          <w:p w14:paraId="46E7CD7F">
            <w:pPr>
              <w:widowControl/>
              <w:spacing w:line="360" w:lineRule="auto"/>
              <w:jc w:val="center"/>
              <w:rPr>
                <w:rFonts w:hint="eastAsia" w:ascii="宋体" w:hAnsi="宋体" w:eastAsia="宋体" w:cs="宋体"/>
                <w:kern w:val="0"/>
                <w:sz w:val="22"/>
                <w:szCs w:val="22"/>
              </w:rPr>
            </w:pPr>
            <w:r>
              <w:rPr>
                <w:rFonts w:hint="eastAsia" w:asciiTheme="minorEastAsia" w:hAnsiTheme="minorEastAsia" w:eastAsiaTheme="minorEastAsia"/>
                <w:sz w:val="24"/>
                <w:szCs w:val="24"/>
                <w:lang w:val="en-US" w:eastAsia="zh-CN"/>
              </w:rPr>
              <w:t>740*7150*260mm</w:t>
            </w:r>
          </w:p>
        </w:tc>
        <w:tc>
          <w:tcPr>
            <w:tcW w:w="3101" w:type="dxa"/>
            <w:shd w:val="clear" w:color="auto" w:fill="auto"/>
            <w:noWrap w:val="0"/>
            <w:vAlign w:val="center"/>
          </w:tcPr>
          <w:p w14:paraId="734AAB5B">
            <w:pPr>
              <w:widowControl/>
              <w:spacing w:line="360" w:lineRule="auto"/>
              <w:jc w:val="center"/>
              <w:rPr>
                <w:rFonts w:hint="eastAsia" w:ascii="仿宋" w:hAnsi="仿宋" w:eastAsia="仿宋" w:cs="Arial"/>
                <w:snapToGrid w:val="0"/>
                <w:color w:val="000000"/>
                <w:kern w:val="0"/>
                <w:sz w:val="24"/>
                <w:szCs w:val="24"/>
                <w:lang w:val="en-US" w:eastAsia="zh-CN" w:bidi="ar-SA"/>
              </w:rPr>
            </w:pPr>
            <w:r>
              <w:rPr>
                <w:rFonts w:hint="eastAsia" w:ascii="仿宋" w:hAnsi="仿宋" w:eastAsia="仿宋"/>
                <w:kern w:val="0"/>
                <w:sz w:val="24"/>
                <w:szCs w:val="24"/>
                <w:lang w:val="en-US" w:eastAsia="zh-CN"/>
              </w:rPr>
              <w:t>尺寸范围+10mm</w:t>
            </w:r>
          </w:p>
        </w:tc>
      </w:tr>
      <w:tr w14:paraId="434AE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4" w:type="dxa"/>
            <w:noWrap w:val="0"/>
            <w:vAlign w:val="center"/>
          </w:tcPr>
          <w:p w14:paraId="5615B6B1">
            <w:pPr>
              <w:widowControl/>
              <w:spacing w:line="360" w:lineRule="auto"/>
              <w:jc w:val="center"/>
              <w:rPr>
                <w:rFonts w:hint="eastAsia" w:ascii="宋体" w:hAnsi="宋体" w:eastAsia="宋体" w:cs="宋体"/>
                <w:bCs/>
                <w:kern w:val="0"/>
                <w:sz w:val="22"/>
                <w:szCs w:val="22"/>
                <w:lang w:val="en-US" w:eastAsia="zh-CN"/>
              </w:rPr>
            </w:pPr>
            <w:r>
              <w:rPr>
                <w:rFonts w:hint="eastAsia" w:ascii="宋体" w:hAnsi="宋体" w:eastAsia="宋体" w:cs="宋体"/>
                <w:bCs/>
                <w:kern w:val="0"/>
                <w:sz w:val="22"/>
                <w:szCs w:val="22"/>
                <w:lang w:val="en-US" w:eastAsia="zh-CN"/>
              </w:rPr>
              <w:t>2</w:t>
            </w:r>
          </w:p>
        </w:tc>
        <w:tc>
          <w:tcPr>
            <w:tcW w:w="2817" w:type="dxa"/>
            <w:noWrap w:val="0"/>
            <w:vAlign w:val="center"/>
          </w:tcPr>
          <w:p w14:paraId="2C080D7C">
            <w:pPr>
              <w:widowControl/>
              <w:spacing w:line="360" w:lineRule="auto"/>
              <w:jc w:val="center"/>
              <w:rPr>
                <w:rFonts w:hint="eastAsia" w:ascii="宋体" w:hAnsi="宋体" w:eastAsia="宋体" w:cs="宋体"/>
                <w:bCs/>
                <w:kern w:val="0"/>
                <w:sz w:val="22"/>
                <w:szCs w:val="22"/>
                <w:lang w:val="en-US" w:eastAsia="zh-CN"/>
              </w:rPr>
            </w:pPr>
            <w:r>
              <w:rPr>
                <w:rFonts w:hint="eastAsia" w:ascii="宋体" w:hAnsi="宋体" w:eastAsia="宋体" w:cs="宋体"/>
                <w:b w:val="0"/>
                <w:color w:val="auto"/>
                <w:spacing w:val="10"/>
                <w:kern w:val="2"/>
                <w:szCs w:val="28"/>
              </w:rPr>
              <w:t>＊</w:t>
            </w:r>
            <w:r>
              <w:rPr>
                <w:rFonts w:hint="eastAsia" w:ascii="仿宋" w:hAnsi="仿宋" w:eastAsia="仿宋"/>
                <w:b w:val="0"/>
                <w:color w:val="auto"/>
                <w:spacing w:val="10"/>
                <w:kern w:val="2"/>
                <w:szCs w:val="28"/>
              </w:rPr>
              <w:t>体积密度</w:t>
            </w:r>
            <w:r>
              <w:rPr>
                <w:rFonts w:hint="eastAsia" w:ascii="仿宋" w:hAnsi="仿宋" w:eastAsia="仿宋"/>
                <w:b w:val="0"/>
                <w:color w:val="auto"/>
                <w:spacing w:val="10"/>
                <w:kern w:val="2"/>
                <w:szCs w:val="28"/>
                <w:lang w:val="en-US" w:eastAsia="zh-CN"/>
              </w:rPr>
              <w:t>(g/c</w:t>
            </w:r>
            <w:r>
              <w:rPr>
                <w:rFonts w:hint="eastAsia" w:ascii="微软雅黑" w:hAnsi="微软雅黑" w:eastAsia="微软雅黑" w:cs="微软雅黑"/>
                <w:b w:val="0"/>
                <w:color w:val="auto"/>
                <w:spacing w:val="10"/>
                <w:kern w:val="2"/>
                <w:szCs w:val="28"/>
                <w:lang w:val="en-US" w:eastAsia="zh-CN"/>
              </w:rPr>
              <w:t>㎥</w:t>
            </w:r>
            <w:r>
              <w:rPr>
                <w:rFonts w:hint="eastAsia" w:ascii="仿宋" w:hAnsi="仿宋" w:eastAsia="仿宋"/>
                <w:b w:val="0"/>
                <w:color w:val="auto"/>
                <w:spacing w:val="10"/>
                <w:kern w:val="2"/>
                <w:szCs w:val="28"/>
                <w:lang w:val="en-US" w:eastAsia="zh-CN"/>
              </w:rPr>
              <w:t>)</w:t>
            </w:r>
          </w:p>
        </w:tc>
        <w:tc>
          <w:tcPr>
            <w:tcW w:w="2424" w:type="dxa"/>
            <w:noWrap w:val="0"/>
            <w:vAlign w:val="center"/>
          </w:tcPr>
          <w:p w14:paraId="5349B1CB">
            <w:pPr>
              <w:widowControl/>
              <w:spacing w:line="360" w:lineRule="auto"/>
              <w:jc w:val="center"/>
              <w:rPr>
                <w:rFonts w:hint="eastAsia" w:ascii="宋体" w:hAnsi="宋体" w:eastAsia="宋体" w:cs="宋体"/>
                <w:kern w:val="0"/>
                <w:sz w:val="22"/>
                <w:szCs w:val="22"/>
                <w:lang w:val="en-US" w:eastAsia="zh-CN"/>
              </w:rPr>
            </w:pPr>
            <w:r>
              <w:rPr>
                <w:rFonts w:hint="default" w:ascii="Arial" w:hAnsi="Arial" w:eastAsia="仿宋" w:cs="Arial"/>
                <w:kern w:val="0"/>
                <w:sz w:val="24"/>
                <w:szCs w:val="24"/>
              </w:rPr>
              <w:t>≥</w:t>
            </w:r>
            <w:r>
              <w:rPr>
                <w:rFonts w:hint="eastAsia" w:ascii="仿宋" w:hAnsi="仿宋" w:eastAsia="仿宋"/>
                <w:kern w:val="0"/>
                <w:sz w:val="24"/>
                <w:szCs w:val="24"/>
                <w:lang w:val="en-US" w:eastAsia="zh-CN"/>
              </w:rPr>
              <w:t>1.78</w:t>
            </w:r>
          </w:p>
        </w:tc>
        <w:tc>
          <w:tcPr>
            <w:tcW w:w="3101" w:type="dxa"/>
            <w:shd w:val="clear" w:color="auto" w:fill="auto"/>
            <w:noWrap w:val="0"/>
            <w:vAlign w:val="center"/>
          </w:tcPr>
          <w:p w14:paraId="259EED5B">
            <w:pPr>
              <w:widowControl/>
              <w:spacing w:line="360" w:lineRule="auto"/>
              <w:ind w:firstLine="720" w:firstLineChars="300"/>
              <w:jc w:val="both"/>
              <w:rPr>
                <w:rFonts w:hint="default" w:ascii="仿宋" w:hAnsi="仿宋" w:eastAsia="仿宋" w:cs="Arial"/>
                <w:snapToGrid w:val="0"/>
                <w:color w:val="000000"/>
                <w:kern w:val="0"/>
                <w:sz w:val="24"/>
                <w:szCs w:val="24"/>
                <w:lang w:val="en-US" w:eastAsia="zh-CN" w:bidi="ar-SA"/>
              </w:rPr>
            </w:pPr>
            <w:r>
              <w:rPr>
                <w:rFonts w:hint="eastAsia" w:ascii="仿宋" w:hAnsi="仿宋" w:eastAsia="仿宋"/>
                <w:kern w:val="0"/>
                <w:sz w:val="24"/>
                <w:szCs w:val="24"/>
                <w:lang w:val="en-US" w:eastAsia="zh-CN"/>
              </w:rPr>
              <w:t>1.78~1.82</w:t>
            </w:r>
          </w:p>
        </w:tc>
      </w:tr>
      <w:tr w14:paraId="427BD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4" w:type="dxa"/>
            <w:noWrap w:val="0"/>
            <w:vAlign w:val="center"/>
          </w:tcPr>
          <w:p w14:paraId="26644002">
            <w:pPr>
              <w:widowControl/>
              <w:spacing w:line="360" w:lineRule="auto"/>
              <w:jc w:val="center"/>
              <w:rPr>
                <w:rFonts w:hint="eastAsia" w:ascii="宋体" w:hAnsi="宋体" w:eastAsia="宋体" w:cs="宋体"/>
                <w:bCs/>
                <w:kern w:val="0"/>
                <w:sz w:val="22"/>
                <w:szCs w:val="22"/>
                <w:lang w:val="en-US" w:eastAsia="zh-CN"/>
              </w:rPr>
            </w:pPr>
            <w:r>
              <w:rPr>
                <w:rFonts w:hint="eastAsia" w:ascii="宋体" w:hAnsi="宋体" w:eastAsia="宋体" w:cs="宋体"/>
                <w:bCs/>
                <w:kern w:val="0"/>
                <w:sz w:val="22"/>
                <w:szCs w:val="22"/>
                <w:lang w:val="en-US" w:eastAsia="zh-CN"/>
              </w:rPr>
              <w:t>3</w:t>
            </w:r>
          </w:p>
        </w:tc>
        <w:tc>
          <w:tcPr>
            <w:tcW w:w="2817" w:type="dxa"/>
            <w:noWrap w:val="0"/>
            <w:vAlign w:val="center"/>
          </w:tcPr>
          <w:p w14:paraId="236F8878">
            <w:pPr>
              <w:widowControl/>
              <w:spacing w:line="360" w:lineRule="auto"/>
              <w:jc w:val="center"/>
              <w:rPr>
                <w:rFonts w:hint="eastAsia" w:ascii="宋体" w:hAnsi="宋体" w:eastAsia="宋体" w:cs="宋体"/>
                <w:bCs/>
                <w:kern w:val="0"/>
                <w:sz w:val="22"/>
                <w:szCs w:val="22"/>
              </w:rPr>
            </w:pPr>
            <w:r>
              <w:rPr>
                <w:rFonts w:hint="eastAsia" w:ascii="仿宋" w:hAnsi="仿宋" w:eastAsia="仿宋"/>
                <w:b w:val="0"/>
                <w:color w:val="auto"/>
                <w:spacing w:val="10"/>
                <w:kern w:val="2"/>
                <w:szCs w:val="28"/>
              </w:rPr>
              <w:t>电阻率（μΩ-m）</w:t>
            </w:r>
          </w:p>
        </w:tc>
        <w:tc>
          <w:tcPr>
            <w:tcW w:w="2424" w:type="dxa"/>
            <w:noWrap w:val="0"/>
            <w:vAlign w:val="center"/>
          </w:tcPr>
          <w:p w14:paraId="3C206AE5">
            <w:pPr>
              <w:widowControl/>
              <w:spacing w:line="360" w:lineRule="auto"/>
              <w:jc w:val="center"/>
              <w:rPr>
                <w:rFonts w:hint="default" w:ascii="宋体" w:hAnsi="宋体" w:eastAsia="宋体" w:cs="宋体"/>
                <w:kern w:val="0"/>
                <w:sz w:val="22"/>
                <w:szCs w:val="22"/>
                <w:lang w:val="en-US" w:eastAsia="zh-CN"/>
              </w:rPr>
            </w:pPr>
            <w:r>
              <w:rPr>
                <w:rFonts w:hint="eastAsia" w:ascii="仿宋" w:hAnsi="仿宋" w:eastAsia="仿宋"/>
                <w:kern w:val="0"/>
                <w:sz w:val="24"/>
                <w:szCs w:val="24"/>
                <w:lang w:val="en-US" w:eastAsia="zh-CN"/>
              </w:rPr>
              <w:t>12~16</w:t>
            </w:r>
          </w:p>
        </w:tc>
        <w:tc>
          <w:tcPr>
            <w:tcW w:w="3101" w:type="dxa"/>
            <w:shd w:val="clear" w:color="auto" w:fill="auto"/>
            <w:noWrap w:val="0"/>
            <w:vAlign w:val="center"/>
          </w:tcPr>
          <w:p w14:paraId="52DDB75F">
            <w:pPr>
              <w:widowControl/>
              <w:spacing w:line="360" w:lineRule="auto"/>
              <w:jc w:val="center"/>
              <w:rPr>
                <w:rFonts w:hint="eastAsia" w:ascii="仿宋" w:hAnsi="仿宋" w:eastAsia="仿宋" w:cs="Arial"/>
                <w:snapToGrid w:val="0"/>
                <w:color w:val="000000"/>
                <w:kern w:val="0"/>
                <w:sz w:val="24"/>
                <w:szCs w:val="24"/>
                <w:lang w:val="en-US" w:eastAsia="zh-CN" w:bidi="ar-SA"/>
              </w:rPr>
            </w:pPr>
            <w:r>
              <w:rPr>
                <w:rFonts w:hint="eastAsia" w:ascii="仿宋" w:hAnsi="仿宋" w:eastAsia="仿宋"/>
                <w:kern w:val="0"/>
                <w:sz w:val="24"/>
                <w:szCs w:val="24"/>
                <w:lang w:val="en-US" w:eastAsia="zh-CN"/>
              </w:rPr>
              <w:t>必须满足</w:t>
            </w:r>
          </w:p>
        </w:tc>
      </w:tr>
      <w:tr w14:paraId="59BBD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4" w:type="dxa"/>
            <w:noWrap w:val="0"/>
            <w:vAlign w:val="center"/>
          </w:tcPr>
          <w:p w14:paraId="219078D5">
            <w:pPr>
              <w:widowControl/>
              <w:spacing w:line="360" w:lineRule="auto"/>
              <w:jc w:val="center"/>
              <w:rPr>
                <w:rFonts w:hint="eastAsia" w:ascii="宋体" w:hAnsi="宋体" w:eastAsia="宋体" w:cs="宋体"/>
                <w:bCs/>
                <w:kern w:val="0"/>
                <w:sz w:val="22"/>
                <w:szCs w:val="22"/>
                <w:lang w:val="en-US" w:eastAsia="zh-CN"/>
              </w:rPr>
            </w:pPr>
            <w:r>
              <w:rPr>
                <w:rFonts w:hint="eastAsia" w:ascii="宋体" w:hAnsi="宋体" w:eastAsia="宋体" w:cs="宋体"/>
                <w:bCs/>
                <w:kern w:val="0"/>
                <w:sz w:val="22"/>
                <w:szCs w:val="22"/>
                <w:lang w:val="en-US" w:eastAsia="zh-CN"/>
              </w:rPr>
              <w:t>4</w:t>
            </w:r>
          </w:p>
        </w:tc>
        <w:tc>
          <w:tcPr>
            <w:tcW w:w="2817" w:type="dxa"/>
            <w:noWrap w:val="0"/>
            <w:vAlign w:val="center"/>
          </w:tcPr>
          <w:p w14:paraId="1C163A62">
            <w:pPr>
              <w:widowControl/>
              <w:spacing w:line="360" w:lineRule="auto"/>
              <w:jc w:val="center"/>
              <w:rPr>
                <w:rFonts w:hint="eastAsia" w:ascii="宋体" w:hAnsi="宋体" w:eastAsia="宋体" w:cs="宋体"/>
                <w:bCs/>
                <w:kern w:val="0"/>
                <w:sz w:val="22"/>
                <w:szCs w:val="22"/>
              </w:rPr>
            </w:pPr>
            <w:r>
              <w:rPr>
                <w:rFonts w:hint="eastAsia" w:ascii="仿宋" w:hAnsi="仿宋" w:eastAsia="仿宋"/>
                <w:b w:val="0"/>
                <w:color w:val="auto"/>
                <w:spacing w:val="10"/>
                <w:kern w:val="2"/>
                <w:szCs w:val="28"/>
              </w:rPr>
              <w:t>灰份含量（PPM）</w:t>
            </w:r>
          </w:p>
        </w:tc>
        <w:tc>
          <w:tcPr>
            <w:tcW w:w="2424" w:type="dxa"/>
            <w:noWrap w:val="0"/>
            <w:vAlign w:val="center"/>
          </w:tcPr>
          <w:p w14:paraId="5593BDDB">
            <w:pPr>
              <w:widowControl/>
              <w:spacing w:line="360" w:lineRule="auto"/>
              <w:jc w:val="center"/>
              <w:rPr>
                <w:rFonts w:hint="default" w:ascii="宋体" w:hAnsi="宋体" w:eastAsia="宋体" w:cs="宋体"/>
                <w:kern w:val="0"/>
                <w:sz w:val="22"/>
                <w:szCs w:val="22"/>
                <w:lang w:val="en-US" w:eastAsia="zh-CN"/>
              </w:rPr>
            </w:pPr>
            <w:r>
              <w:rPr>
                <w:rFonts w:hint="eastAsia" w:ascii="仿宋" w:hAnsi="仿宋" w:eastAsia="仿宋"/>
                <w:kern w:val="0"/>
                <w:sz w:val="24"/>
                <w:szCs w:val="24"/>
              </w:rPr>
              <w:t>≤</w:t>
            </w:r>
            <w:r>
              <w:rPr>
                <w:rFonts w:hint="eastAsia" w:ascii="仿宋" w:hAnsi="仿宋" w:eastAsia="仿宋"/>
                <w:kern w:val="0"/>
                <w:sz w:val="24"/>
                <w:szCs w:val="24"/>
                <w:lang w:val="en-US" w:eastAsia="zh-CN"/>
              </w:rPr>
              <w:t>500</w:t>
            </w:r>
          </w:p>
        </w:tc>
        <w:tc>
          <w:tcPr>
            <w:tcW w:w="3101" w:type="dxa"/>
            <w:shd w:val="clear" w:color="auto" w:fill="auto"/>
            <w:noWrap w:val="0"/>
            <w:vAlign w:val="center"/>
          </w:tcPr>
          <w:p w14:paraId="52CB9FE4">
            <w:pPr>
              <w:widowControl/>
              <w:spacing w:line="360" w:lineRule="auto"/>
              <w:jc w:val="center"/>
              <w:rPr>
                <w:rFonts w:hint="eastAsia" w:ascii="仿宋" w:hAnsi="仿宋" w:eastAsia="仿宋" w:cs="Arial"/>
                <w:snapToGrid w:val="0"/>
                <w:color w:val="000000"/>
                <w:kern w:val="0"/>
                <w:sz w:val="24"/>
                <w:szCs w:val="24"/>
                <w:lang w:val="en-US" w:eastAsia="zh-CN" w:bidi="ar-SA"/>
              </w:rPr>
            </w:pPr>
            <w:r>
              <w:rPr>
                <w:rFonts w:hint="eastAsia" w:ascii="仿宋" w:hAnsi="仿宋" w:eastAsia="仿宋"/>
                <w:kern w:val="0"/>
                <w:sz w:val="24"/>
                <w:szCs w:val="24"/>
                <w:lang w:val="en-US" w:eastAsia="zh-CN"/>
              </w:rPr>
              <w:t>必须满足</w:t>
            </w:r>
          </w:p>
        </w:tc>
      </w:tr>
      <w:tr w14:paraId="3E405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4" w:type="dxa"/>
            <w:noWrap w:val="0"/>
            <w:vAlign w:val="center"/>
          </w:tcPr>
          <w:p w14:paraId="7899D044">
            <w:pPr>
              <w:widowControl/>
              <w:spacing w:line="360" w:lineRule="auto"/>
              <w:jc w:val="center"/>
              <w:rPr>
                <w:rFonts w:hint="eastAsia" w:ascii="宋体" w:hAnsi="宋体" w:eastAsia="宋体" w:cs="宋体"/>
                <w:bCs/>
                <w:kern w:val="0"/>
                <w:sz w:val="22"/>
                <w:szCs w:val="22"/>
                <w:lang w:val="en-US" w:eastAsia="zh-CN"/>
              </w:rPr>
            </w:pPr>
            <w:r>
              <w:rPr>
                <w:rFonts w:hint="eastAsia" w:ascii="宋体" w:hAnsi="宋体" w:eastAsia="宋体" w:cs="宋体"/>
                <w:bCs/>
                <w:kern w:val="0"/>
                <w:sz w:val="22"/>
                <w:szCs w:val="22"/>
                <w:lang w:val="en-US" w:eastAsia="zh-CN"/>
              </w:rPr>
              <w:t>5</w:t>
            </w:r>
          </w:p>
        </w:tc>
        <w:tc>
          <w:tcPr>
            <w:tcW w:w="2817" w:type="dxa"/>
            <w:noWrap w:val="0"/>
            <w:vAlign w:val="center"/>
          </w:tcPr>
          <w:p w14:paraId="275F7A89">
            <w:pPr>
              <w:widowControl/>
              <w:spacing w:line="360" w:lineRule="auto"/>
              <w:jc w:val="center"/>
              <w:rPr>
                <w:rFonts w:hint="eastAsia" w:ascii="宋体" w:hAnsi="宋体" w:eastAsia="宋体" w:cs="宋体"/>
                <w:bCs/>
                <w:kern w:val="0"/>
                <w:sz w:val="22"/>
                <w:szCs w:val="22"/>
              </w:rPr>
            </w:pPr>
            <w:r>
              <w:rPr>
                <w:rFonts w:hint="eastAsia" w:ascii="仿宋" w:hAnsi="仿宋" w:eastAsia="仿宋"/>
                <w:b w:val="0"/>
                <w:color w:val="auto"/>
                <w:spacing w:val="10"/>
                <w:kern w:val="2"/>
                <w:szCs w:val="28"/>
              </w:rPr>
              <w:t>抗压强度（Mpa）</w:t>
            </w:r>
          </w:p>
        </w:tc>
        <w:tc>
          <w:tcPr>
            <w:tcW w:w="2424" w:type="dxa"/>
            <w:noWrap w:val="0"/>
            <w:vAlign w:val="center"/>
          </w:tcPr>
          <w:p w14:paraId="38E60313">
            <w:pPr>
              <w:widowControl/>
              <w:spacing w:line="360" w:lineRule="auto"/>
              <w:jc w:val="center"/>
              <w:rPr>
                <w:rFonts w:hint="default" w:ascii="宋体" w:hAnsi="宋体" w:eastAsia="宋体" w:cs="宋体"/>
                <w:kern w:val="0"/>
                <w:sz w:val="22"/>
                <w:szCs w:val="22"/>
                <w:lang w:val="en-US" w:eastAsia="zh-CN"/>
              </w:rPr>
            </w:pPr>
            <w:r>
              <w:rPr>
                <w:rFonts w:hint="eastAsia" w:ascii="仿宋" w:hAnsi="仿宋" w:eastAsia="仿宋"/>
                <w:b w:val="0"/>
                <w:color w:val="auto"/>
                <w:spacing w:val="10"/>
                <w:kern w:val="2"/>
                <w:szCs w:val="28"/>
              </w:rPr>
              <w:t>≥</w:t>
            </w:r>
            <w:r>
              <w:rPr>
                <w:rFonts w:hint="eastAsia" w:ascii="仿宋" w:hAnsi="仿宋" w:eastAsia="仿宋"/>
                <w:b w:val="0"/>
                <w:color w:val="auto"/>
                <w:spacing w:val="10"/>
                <w:kern w:val="2"/>
                <w:szCs w:val="28"/>
                <w:lang w:val="en-US" w:eastAsia="zh-CN"/>
              </w:rPr>
              <w:t>75</w:t>
            </w:r>
          </w:p>
        </w:tc>
        <w:tc>
          <w:tcPr>
            <w:tcW w:w="3101" w:type="dxa"/>
            <w:shd w:val="clear" w:color="auto" w:fill="auto"/>
            <w:noWrap w:val="0"/>
            <w:vAlign w:val="center"/>
          </w:tcPr>
          <w:p w14:paraId="5C6146B7">
            <w:pPr>
              <w:widowControl/>
              <w:spacing w:line="360" w:lineRule="auto"/>
              <w:jc w:val="center"/>
              <w:rPr>
                <w:rFonts w:hint="eastAsia" w:ascii="仿宋" w:hAnsi="仿宋" w:eastAsia="仿宋" w:cs="Arial"/>
                <w:snapToGrid w:val="0"/>
                <w:color w:val="000000"/>
                <w:kern w:val="0"/>
                <w:sz w:val="24"/>
                <w:szCs w:val="24"/>
                <w:lang w:val="en-US" w:eastAsia="zh-CN" w:bidi="ar-SA"/>
              </w:rPr>
            </w:pPr>
            <w:r>
              <w:rPr>
                <w:rFonts w:hint="eastAsia" w:ascii="仿宋" w:hAnsi="仿宋" w:eastAsia="仿宋"/>
                <w:kern w:val="0"/>
                <w:sz w:val="24"/>
                <w:szCs w:val="24"/>
                <w:lang w:val="en-US" w:eastAsia="zh-CN"/>
              </w:rPr>
              <w:t>75~90</w:t>
            </w:r>
          </w:p>
        </w:tc>
      </w:tr>
      <w:tr w14:paraId="6A0BA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4" w:type="dxa"/>
            <w:noWrap w:val="0"/>
            <w:vAlign w:val="center"/>
          </w:tcPr>
          <w:p w14:paraId="1B764CE1">
            <w:pPr>
              <w:widowControl/>
              <w:spacing w:line="360" w:lineRule="auto"/>
              <w:jc w:val="center"/>
              <w:rPr>
                <w:rFonts w:hint="eastAsia" w:ascii="宋体" w:hAnsi="宋体" w:eastAsia="宋体" w:cs="宋体"/>
                <w:bCs/>
                <w:kern w:val="0"/>
                <w:sz w:val="22"/>
                <w:szCs w:val="22"/>
                <w:lang w:val="en-US" w:eastAsia="zh-CN"/>
              </w:rPr>
            </w:pPr>
            <w:r>
              <w:rPr>
                <w:rFonts w:hint="eastAsia" w:ascii="宋体" w:hAnsi="宋体" w:eastAsia="宋体" w:cs="宋体"/>
                <w:bCs/>
                <w:kern w:val="0"/>
                <w:sz w:val="22"/>
                <w:szCs w:val="22"/>
                <w:lang w:val="en-US" w:eastAsia="zh-CN"/>
              </w:rPr>
              <w:t>6</w:t>
            </w:r>
          </w:p>
        </w:tc>
        <w:tc>
          <w:tcPr>
            <w:tcW w:w="2817" w:type="dxa"/>
            <w:noWrap w:val="0"/>
            <w:vAlign w:val="center"/>
          </w:tcPr>
          <w:p w14:paraId="5E00D836">
            <w:pPr>
              <w:widowControl/>
              <w:spacing w:line="360" w:lineRule="auto"/>
              <w:jc w:val="center"/>
              <w:rPr>
                <w:rFonts w:hint="eastAsia" w:ascii="宋体" w:hAnsi="宋体" w:eastAsia="宋体" w:cs="宋体"/>
                <w:bCs/>
                <w:kern w:val="0"/>
                <w:sz w:val="22"/>
                <w:szCs w:val="22"/>
              </w:rPr>
            </w:pPr>
            <w:r>
              <w:rPr>
                <w:rFonts w:hint="eastAsia" w:ascii="仿宋" w:hAnsi="仿宋" w:eastAsia="仿宋"/>
                <w:b w:val="0"/>
                <w:color w:val="auto"/>
                <w:spacing w:val="10"/>
                <w:kern w:val="2"/>
                <w:szCs w:val="28"/>
              </w:rPr>
              <w:t>抗折强度（Mpa）</w:t>
            </w:r>
          </w:p>
        </w:tc>
        <w:tc>
          <w:tcPr>
            <w:tcW w:w="2424" w:type="dxa"/>
            <w:noWrap w:val="0"/>
            <w:vAlign w:val="center"/>
          </w:tcPr>
          <w:p w14:paraId="31817E86">
            <w:pPr>
              <w:widowControl/>
              <w:spacing w:line="360" w:lineRule="auto"/>
              <w:jc w:val="center"/>
              <w:rPr>
                <w:rFonts w:hint="default" w:ascii="宋体" w:hAnsi="宋体" w:eastAsia="宋体" w:cs="宋体"/>
                <w:kern w:val="0"/>
                <w:sz w:val="22"/>
                <w:szCs w:val="22"/>
                <w:lang w:val="en-US" w:eastAsia="zh-CN"/>
              </w:rPr>
            </w:pPr>
            <w:r>
              <w:rPr>
                <w:rFonts w:hint="eastAsia" w:ascii="仿宋" w:hAnsi="仿宋" w:eastAsia="仿宋"/>
                <w:b w:val="0"/>
                <w:color w:val="auto"/>
                <w:spacing w:val="10"/>
                <w:kern w:val="2"/>
                <w:szCs w:val="28"/>
              </w:rPr>
              <w:t>≥</w:t>
            </w:r>
            <w:r>
              <w:rPr>
                <w:rFonts w:hint="eastAsia" w:ascii="仿宋" w:hAnsi="仿宋" w:eastAsia="仿宋"/>
                <w:b w:val="0"/>
                <w:color w:val="auto"/>
                <w:spacing w:val="10"/>
                <w:kern w:val="2"/>
                <w:szCs w:val="28"/>
                <w:lang w:val="en-US" w:eastAsia="zh-CN"/>
              </w:rPr>
              <w:t>35</w:t>
            </w:r>
          </w:p>
        </w:tc>
        <w:tc>
          <w:tcPr>
            <w:tcW w:w="3101" w:type="dxa"/>
            <w:shd w:val="clear" w:color="auto" w:fill="auto"/>
            <w:noWrap w:val="0"/>
            <w:vAlign w:val="center"/>
          </w:tcPr>
          <w:p w14:paraId="45E0EF71">
            <w:pPr>
              <w:widowControl/>
              <w:spacing w:line="360" w:lineRule="auto"/>
              <w:jc w:val="center"/>
              <w:rPr>
                <w:rFonts w:hint="eastAsia" w:ascii="仿宋" w:hAnsi="仿宋" w:eastAsia="仿宋" w:cs="Arial"/>
                <w:snapToGrid w:val="0"/>
                <w:color w:val="000000"/>
                <w:kern w:val="0"/>
                <w:sz w:val="24"/>
                <w:szCs w:val="24"/>
                <w:lang w:val="en-US" w:eastAsia="zh-CN" w:bidi="ar-SA"/>
              </w:rPr>
            </w:pPr>
            <w:r>
              <w:rPr>
                <w:rFonts w:hint="eastAsia" w:ascii="仿宋" w:hAnsi="仿宋" w:eastAsia="仿宋"/>
                <w:kern w:val="0"/>
                <w:sz w:val="24"/>
                <w:szCs w:val="24"/>
                <w:lang w:val="en-US" w:eastAsia="zh-CN"/>
              </w:rPr>
              <w:t>35~50</w:t>
            </w:r>
          </w:p>
        </w:tc>
      </w:tr>
      <w:tr w14:paraId="5FEB5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4" w:type="dxa"/>
            <w:shd w:val="clear" w:color="auto" w:fill="auto"/>
            <w:noWrap w:val="0"/>
            <w:vAlign w:val="center"/>
          </w:tcPr>
          <w:p w14:paraId="5162CAD1">
            <w:pPr>
              <w:widowControl/>
              <w:spacing w:line="360" w:lineRule="auto"/>
              <w:jc w:val="center"/>
              <w:rPr>
                <w:rFonts w:hint="eastAsia" w:ascii="宋体" w:hAnsi="宋体" w:eastAsia="宋体" w:cs="宋体"/>
                <w:bCs/>
                <w:snapToGrid w:val="0"/>
                <w:color w:val="000000"/>
                <w:kern w:val="0"/>
                <w:sz w:val="22"/>
                <w:szCs w:val="22"/>
                <w:lang w:val="en-US" w:eastAsia="zh-CN" w:bidi="ar-SA"/>
              </w:rPr>
            </w:pPr>
            <w:r>
              <w:rPr>
                <w:rFonts w:hint="eastAsia" w:ascii="宋体" w:hAnsi="宋体" w:eastAsia="宋体" w:cs="宋体"/>
                <w:bCs/>
                <w:kern w:val="0"/>
                <w:sz w:val="22"/>
                <w:szCs w:val="22"/>
                <w:lang w:val="en-US" w:eastAsia="zh-CN"/>
              </w:rPr>
              <w:t>7</w:t>
            </w:r>
          </w:p>
        </w:tc>
        <w:tc>
          <w:tcPr>
            <w:tcW w:w="2817" w:type="dxa"/>
            <w:shd w:val="clear" w:color="auto" w:fill="auto"/>
            <w:noWrap w:val="0"/>
            <w:vAlign w:val="center"/>
          </w:tcPr>
          <w:p w14:paraId="53504301">
            <w:pPr>
              <w:widowControl/>
              <w:spacing w:line="360" w:lineRule="auto"/>
              <w:jc w:val="center"/>
              <w:rPr>
                <w:rFonts w:hint="eastAsia" w:ascii="宋体" w:hAnsi="宋体" w:eastAsia="宋体" w:cs="宋体"/>
                <w:bCs/>
                <w:snapToGrid w:val="0"/>
                <w:color w:val="000000"/>
                <w:kern w:val="0"/>
                <w:sz w:val="22"/>
                <w:szCs w:val="22"/>
                <w:lang w:val="en-US" w:eastAsia="zh-CN" w:bidi="ar-SA"/>
              </w:rPr>
            </w:pPr>
            <w:r>
              <w:rPr>
                <w:rFonts w:hint="eastAsia" w:ascii="仿宋" w:hAnsi="仿宋" w:eastAsia="仿宋"/>
                <w:b w:val="0"/>
                <w:color w:val="auto"/>
                <w:spacing w:val="10"/>
                <w:kern w:val="2"/>
                <w:szCs w:val="28"/>
              </w:rPr>
              <w:t>硬度（肖氏</w:t>
            </w:r>
            <w:r>
              <w:rPr>
                <w:rFonts w:hint="eastAsia" w:ascii="仿宋" w:hAnsi="仿宋" w:eastAsia="仿宋"/>
                <w:b w:val="0"/>
                <w:color w:val="auto"/>
                <w:spacing w:val="10"/>
                <w:kern w:val="2"/>
                <w:szCs w:val="28"/>
                <w:lang w:val="en-US" w:eastAsia="zh-CN"/>
              </w:rPr>
              <w:t>HSD</w:t>
            </w:r>
            <w:r>
              <w:rPr>
                <w:rFonts w:hint="eastAsia" w:ascii="仿宋" w:hAnsi="仿宋" w:eastAsia="仿宋"/>
                <w:b w:val="0"/>
                <w:color w:val="auto"/>
                <w:spacing w:val="10"/>
                <w:kern w:val="2"/>
                <w:szCs w:val="28"/>
              </w:rPr>
              <w:t>）</w:t>
            </w:r>
          </w:p>
        </w:tc>
        <w:tc>
          <w:tcPr>
            <w:tcW w:w="2424" w:type="dxa"/>
            <w:shd w:val="clear" w:color="auto" w:fill="auto"/>
            <w:noWrap w:val="0"/>
            <w:vAlign w:val="center"/>
          </w:tcPr>
          <w:p w14:paraId="36AC90A3">
            <w:pPr>
              <w:widowControl/>
              <w:spacing w:line="360" w:lineRule="auto"/>
              <w:jc w:val="center"/>
              <w:rPr>
                <w:rFonts w:hint="eastAsia" w:ascii="宋体" w:hAnsi="宋体" w:eastAsia="宋体" w:cs="宋体"/>
                <w:snapToGrid w:val="0"/>
                <w:color w:val="000000"/>
                <w:kern w:val="0"/>
                <w:sz w:val="22"/>
                <w:szCs w:val="22"/>
                <w:lang w:val="en-US" w:eastAsia="zh-CN" w:bidi="ar-SA"/>
              </w:rPr>
            </w:pPr>
            <w:r>
              <w:rPr>
                <w:rFonts w:hint="eastAsia" w:ascii="仿宋" w:hAnsi="仿宋" w:eastAsia="仿宋"/>
                <w:b w:val="0"/>
                <w:color w:val="auto"/>
                <w:spacing w:val="10"/>
                <w:kern w:val="2"/>
                <w:szCs w:val="28"/>
              </w:rPr>
              <w:t>≥</w:t>
            </w:r>
            <w:r>
              <w:rPr>
                <w:rFonts w:hint="eastAsia" w:ascii="仿宋" w:hAnsi="仿宋" w:eastAsia="仿宋"/>
                <w:b w:val="0"/>
                <w:color w:val="auto"/>
                <w:spacing w:val="10"/>
                <w:kern w:val="2"/>
                <w:szCs w:val="28"/>
                <w:lang w:val="en-US" w:eastAsia="zh-CN"/>
              </w:rPr>
              <w:t>55</w:t>
            </w:r>
          </w:p>
        </w:tc>
        <w:tc>
          <w:tcPr>
            <w:tcW w:w="3101" w:type="dxa"/>
            <w:shd w:val="clear" w:color="auto" w:fill="auto"/>
            <w:noWrap w:val="0"/>
            <w:vAlign w:val="center"/>
          </w:tcPr>
          <w:p w14:paraId="35055FDD">
            <w:pPr>
              <w:widowControl/>
              <w:spacing w:line="360" w:lineRule="auto"/>
              <w:jc w:val="center"/>
              <w:rPr>
                <w:rFonts w:hint="eastAsia" w:ascii="仿宋" w:hAnsi="仿宋" w:eastAsia="仿宋" w:cs="Arial"/>
                <w:snapToGrid w:val="0"/>
                <w:color w:val="000000"/>
                <w:kern w:val="0"/>
                <w:sz w:val="24"/>
                <w:szCs w:val="24"/>
                <w:lang w:val="en-US" w:eastAsia="zh-CN" w:bidi="ar-SA"/>
              </w:rPr>
            </w:pPr>
            <w:r>
              <w:rPr>
                <w:rFonts w:hint="eastAsia" w:ascii="仿宋" w:hAnsi="仿宋" w:eastAsia="仿宋"/>
                <w:kern w:val="0"/>
                <w:sz w:val="24"/>
                <w:szCs w:val="24"/>
                <w:lang w:val="en-US" w:eastAsia="zh-CN"/>
              </w:rPr>
              <w:t>55~70</w:t>
            </w:r>
          </w:p>
        </w:tc>
      </w:tr>
      <w:tr w14:paraId="69169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86" w:type="dxa"/>
            <w:gridSpan w:val="4"/>
            <w:noWrap w:val="0"/>
            <w:vAlign w:val="center"/>
          </w:tcPr>
          <w:p w14:paraId="517C9B52">
            <w:pPr>
              <w:adjustRightInd w:val="0"/>
              <w:snapToGrid w:val="0"/>
              <w:spacing w:line="360" w:lineRule="auto"/>
              <w:jc w:val="center"/>
              <w:rPr>
                <w:rFonts w:hint="eastAsia" w:ascii="宋体" w:hAnsi="宋体" w:eastAsia="宋体" w:cs="宋体"/>
                <w:sz w:val="22"/>
                <w:szCs w:val="22"/>
              </w:rPr>
            </w:pPr>
            <w:r>
              <w:rPr>
                <w:rFonts w:hint="eastAsia" w:ascii="宋体" w:hAnsi="宋体" w:eastAsia="宋体" w:cs="宋体"/>
                <w:sz w:val="22"/>
                <w:szCs w:val="22"/>
              </w:rPr>
              <w:t>其他独特方案请自行罗列，行数不够可自行添加</w:t>
            </w:r>
          </w:p>
        </w:tc>
      </w:tr>
      <w:tr w14:paraId="4094D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86" w:type="dxa"/>
            <w:gridSpan w:val="4"/>
            <w:noWrap w:val="0"/>
            <w:vAlign w:val="center"/>
          </w:tcPr>
          <w:p w14:paraId="0FFD6C83">
            <w:pPr>
              <w:adjustRightInd w:val="0"/>
              <w:snapToGrid w:val="0"/>
              <w:spacing w:line="360" w:lineRule="auto"/>
              <w:jc w:val="center"/>
              <w:rPr>
                <w:rFonts w:hint="eastAsia" w:ascii="宋体" w:hAnsi="宋体" w:eastAsia="宋体" w:cs="宋体"/>
                <w:b/>
                <w:sz w:val="22"/>
                <w:szCs w:val="22"/>
              </w:rPr>
            </w:pPr>
            <w:r>
              <w:rPr>
                <w:rFonts w:hint="eastAsia" w:ascii="宋体" w:hAnsi="宋体" w:eastAsia="宋体" w:cs="宋体"/>
                <w:b/>
                <w:sz w:val="22"/>
                <w:szCs w:val="22"/>
              </w:rPr>
              <w:t>以上所提供的参数必须真实，如实际运行过程中存在偏差，产生的费用将由投标方承担。</w:t>
            </w:r>
          </w:p>
        </w:tc>
      </w:tr>
    </w:tbl>
    <w:p w14:paraId="5153F80D">
      <w:pPr>
        <w:pStyle w:val="8"/>
        <w:numPr>
          <w:ilvl w:val="0"/>
          <w:numId w:val="0"/>
        </w:numPr>
        <w:kinsoku w:val="0"/>
        <w:autoSpaceDE w:val="0"/>
        <w:autoSpaceDN w:val="0"/>
        <w:adjustRightInd w:val="0"/>
        <w:snapToGrid w:val="0"/>
        <w:spacing w:line="360" w:lineRule="auto"/>
        <w:textAlignment w:val="baseline"/>
        <w:rPr>
          <w:rFonts w:hint="eastAsia" w:ascii="宋体" w:hAnsi="宋体" w:eastAsia="宋体" w:cs="宋体"/>
          <w:b/>
          <w:bCs/>
          <w:color w:val="auto"/>
          <w:lang w:val="en-US" w:eastAsia="zh-CN"/>
        </w:rPr>
      </w:pPr>
    </w:p>
    <w:p w14:paraId="20055AEA">
      <w:pPr>
        <w:pStyle w:val="8"/>
        <w:numPr>
          <w:ilvl w:val="0"/>
          <w:numId w:val="0"/>
        </w:numPr>
        <w:kinsoku w:val="0"/>
        <w:autoSpaceDE w:val="0"/>
        <w:autoSpaceDN w:val="0"/>
        <w:adjustRightInd w:val="0"/>
        <w:snapToGrid w:val="0"/>
        <w:spacing w:line="360" w:lineRule="auto"/>
        <w:textAlignment w:val="baseline"/>
        <w:rPr>
          <w:rFonts w:hint="eastAsia" w:ascii="宋体" w:hAnsi="宋体" w:eastAsia="宋体" w:cs="宋体"/>
          <w:color w:val="0000FF"/>
        </w:rPr>
      </w:pPr>
    </w:p>
    <w:p w14:paraId="1A21389C">
      <w:pPr>
        <w:pStyle w:val="8"/>
        <w:numPr>
          <w:ilvl w:val="0"/>
          <w:numId w:val="0"/>
        </w:numPr>
        <w:kinsoku w:val="0"/>
        <w:autoSpaceDE w:val="0"/>
        <w:autoSpaceDN w:val="0"/>
        <w:adjustRightInd w:val="0"/>
        <w:snapToGrid w:val="0"/>
        <w:spacing w:line="360" w:lineRule="auto"/>
        <w:textAlignment w:val="baseline"/>
        <w:rPr>
          <w:rFonts w:hint="eastAsia" w:ascii="宋体" w:hAnsi="宋体" w:eastAsia="宋体" w:cs="宋体"/>
          <w:color w:val="0000FF"/>
        </w:rPr>
      </w:pPr>
    </w:p>
    <w:p w14:paraId="692AA06E">
      <w:pPr>
        <w:pStyle w:val="8"/>
        <w:numPr>
          <w:ilvl w:val="0"/>
          <w:numId w:val="0"/>
        </w:numPr>
        <w:kinsoku w:val="0"/>
        <w:autoSpaceDE w:val="0"/>
        <w:autoSpaceDN w:val="0"/>
        <w:adjustRightInd w:val="0"/>
        <w:snapToGrid w:val="0"/>
        <w:spacing w:line="360" w:lineRule="auto"/>
        <w:textAlignment w:val="baseline"/>
        <w:rPr>
          <w:rFonts w:hint="eastAsia" w:ascii="宋体" w:hAnsi="宋体" w:eastAsia="宋体" w:cs="宋体"/>
          <w:color w:val="0000FF"/>
        </w:rPr>
      </w:pPr>
    </w:p>
    <w:p w14:paraId="26CBD21F">
      <w:pPr>
        <w:pStyle w:val="8"/>
        <w:numPr>
          <w:ilvl w:val="0"/>
          <w:numId w:val="0"/>
        </w:numPr>
        <w:kinsoku w:val="0"/>
        <w:autoSpaceDE w:val="0"/>
        <w:autoSpaceDN w:val="0"/>
        <w:adjustRightInd w:val="0"/>
        <w:snapToGrid w:val="0"/>
        <w:spacing w:line="360" w:lineRule="auto"/>
        <w:textAlignment w:val="baseline"/>
        <w:rPr>
          <w:rFonts w:hint="eastAsia" w:ascii="宋体" w:hAnsi="宋体" w:eastAsia="宋体" w:cs="宋体"/>
          <w:color w:val="0000FF"/>
        </w:rPr>
      </w:pPr>
    </w:p>
    <w:p w14:paraId="0CFA48AB">
      <w:pPr>
        <w:pStyle w:val="8"/>
        <w:numPr>
          <w:ilvl w:val="0"/>
          <w:numId w:val="0"/>
        </w:numPr>
        <w:kinsoku w:val="0"/>
        <w:autoSpaceDE w:val="0"/>
        <w:autoSpaceDN w:val="0"/>
        <w:adjustRightInd w:val="0"/>
        <w:snapToGrid w:val="0"/>
        <w:spacing w:line="360" w:lineRule="auto"/>
        <w:textAlignment w:val="baseline"/>
        <w:rPr>
          <w:rFonts w:hint="eastAsia" w:ascii="宋体" w:hAnsi="宋体" w:eastAsia="宋体" w:cs="宋体"/>
          <w:color w:val="0000FF"/>
        </w:rPr>
      </w:pPr>
    </w:p>
    <w:p w14:paraId="00599694">
      <w:pPr>
        <w:pStyle w:val="8"/>
        <w:spacing w:before="3" w:after="156" w:afterLines="50" w:line="360" w:lineRule="auto"/>
        <w:jc w:val="center"/>
        <w:outlineLvl w:val="9"/>
        <w:rPr>
          <w:rFonts w:hint="eastAsia" w:ascii="宋体" w:hAnsi="宋体" w:eastAsia="宋体" w:cs="宋体"/>
          <w:b/>
          <w:bCs/>
          <w:color w:val="auto"/>
          <w:sz w:val="36"/>
          <w:szCs w:val="36"/>
          <w:lang w:val="en-US" w:eastAsia="zh-CN"/>
        </w:rPr>
        <w:sectPr>
          <w:headerReference r:id="rId7" w:type="default"/>
          <w:footerReference r:id="rId8" w:type="default"/>
          <w:pgSz w:w="11905" w:h="16838"/>
          <w:pgMar w:top="1440" w:right="1080" w:bottom="1440" w:left="1080" w:header="851" w:footer="1020" w:gutter="0"/>
          <w:pgNumType w:fmt="decimal"/>
          <w:cols w:space="0" w:num="1"/>
          <w:docGrid w:linePitch="312" w:charSpace="0"/>
        </w:sectPr>
      </w:pPr>
    </w:p>
    <w:p w14:paraId="077AE59B">
      <w:pPr>
        <w:spacing w:before="240" w:beforeLines="100" w:after="120" w:afterLines="50" w:line="360" w:lineRule="auto"/>
        <w:jc w:val="center"/>
        <w:outlineLvl w:val="0"/>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pPr>
      <w:bookmarkStart w:id="98" w:name="_Toc30455"/>
      <w:bookmarkStart w:id="99" w:name="_Toc31981"/>
      <w:bookmarkStart w:id="100" w:name="_Toc1084"/>
      <w:r>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t>六、采购合同（模版）</w:t>
      </w:r>
      <w:bookmarkEnd w:id="98"/>
      <w:bookmarkEnd w:id="99"/>
      <w:bookmarkEnd w:id="100"/>
    </w:p>
    <w:p w14:paraId="0DEE57AA">
      <w:pPr>
        <w:keepNext w:val="0"/>
        <w:keepLines w:val="0"/>
        <w:pageBreakBefore w:val="0"/>
        <w:shd w:val="clear" w:color="auto" w:fill="FFFFFF"/>
        <w:kinsoku/>
        <w:wordWrap/>
        <w:overflowPunct/>
        <w:topLinePunct w:val="0"/>
        <w:autoSpaceDE w:val="0"/>
        <w:autoSpaceDN w:val="0"/>
        <w:bidi w:val="0"/>
        <w:adjustRightInd w:val="0"/>
        <w:snapToGrid w:val="0"/>
        <w:spacing w:before="156" w:beforeLines="50" w:line="360" w:lineRule="auto"/>
        <w:ind w:right="420"/>
        <w:rPr>
          <w:rFonts w:hint="eastAsia" w:ascii="仿宋" w:hAnsi="仿宋" w:eastAsia="仿宋" w:cs="仿宋"/>
          <w:b/>
          <w:bCs/>
          <w:sz w:val="24"/>
          <w:szCs w:val="24"/>
          <w:lang w:eastAsia="zh-CN"/>
        </w:rPr>
      </w:pPr>
      <w:r>
        <w:rPr>
          <w:rFonts w:hint="eastAsia" w:ascii="仿宋" w:hAnsi="仿宋" w:eastAsia="仿宋" w:cs="仿宋"/>
          <w:sz w:val="24"/>
          <w:szCs w:val="24"/>
        </w:rPr>
        <w:t>合同编号：</w:t>
      </w: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rPr>
        <w:t xml:space="preserve">         </w:t>
      </w:r>
    </w:p>
    <w:p w14:paraId="0F99F943">
      <w:pPr>
        <w:keepNext w:val="0"/>
        <w:keepLines w:val="0"/>
        <w:pageBreakBefore w:val="0"/>
        <w:kinsoku/>
        <w:wordWrap/>
        <w:overflowPunct/>
        <w:topLinePunct w:val="0"/>
        <w:autoSpaceDE w:val="0"/>
        <w:autoSpaceDN w:val="0"/>
        <w:bidi w:val="0"/>
        <w:adjustRightInd w:val="0"/>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甲方</w:t>
      </w:r>
      <w:r>
        <w:rPr>
          <w:rFonts w:hint="eastAsia" w:ascii="仿宋" w:hAnsi="仿宋" w:eastAsia="仿宋" w:cs="仿宋"/>
          <w:sz w:val="24"/>
          <w:szCs w:val="24"/>
        </w:rPr>
        <w:t>（</w:t>
      </w:r>
      <w:r>
        <w:rPr>
          <w:rFonts w:hint="eastAsia" w:ascii="仿宋" w:hAnsi="仿宋" w:eastAsia="仿宋" w:cs="仿宋"/>
          <w:sz w:val="24"/>
          <w:szCs w:val="24"/>
          <w:lang w:val="en-US" w:eastAsia="zh-CN"/>
        </w:rPr>
        <w:t>买</w:t>
      </w:r>
      <w:r>
        <w:rPr>
          <w:rFonts w:hint="eastAsia" w:ascii="仿宋" w:hAnsi="仿宋" w:eastAsia="仿宋" w:cs="仿宋"/>
          <w:sz w:val="24"/>
          <w:szCs w:val="24"/>
          <w:lang w:eastAsia="zh-CN"/>
        </w:rPr>
        <w:t>方</w:t>
      </w:r>
      <w:r>
        <w:rPr>
          <w:rFonts w:hint="eastAsia" w:ascii="仿宋" w:hAnsi="仿宋" w:eastAsia="仿宋" w:cs="仿宋"/>
          <w:sz w:val="24"/>
          <w:szCs w:val="24"/>
        </w:rPr>
        <w:t xml:space="preserve">）：中国机械总院集团海西（福建）分院有限公司 </w:t>
      </w:r>
    </w:p>
    <w:p w14:paraId="4A7F1ADD">
      <w:pPr>
        <w:keepNext w:val="0"/>
        <w:keepLines w:val="0"/>
        <w:pageBreakBefore w:val="0"/>
        <w:kinsoku/>
        <w:wordWrap/>
        <w:overflowPunct/>
        <w:topLinePunct w:val="0"/>
        <w:autoSpaceDE w:val="0"/>
        <w:autoSpaceDN w:val="0"/>
        <w:bidi w:val="0"/>
        <w:adjustRightInd w:val="0"/>
        <w:spacing w:line="360" w:lineRule="auto"/>
        <w:ind w:firstLine="6240" w:firstLineChars="2600"/>
        <w:rPr>
          <w:rFonts w:hint="eastAsia" w:ascii="仿宋" w:hAnsi="仿宋" w:eastAsia="仿宋" w:cs="仿宋"/>
          <w:color w:val="0000FF"/>
          <w:sz w:val="24"/>
          <w:szCs w:val="24"/>
        </w:rPr>
      </w:pPr>
      <w:r>
        <w:rPr>
          <w:rFonts w:hint="eastAsia" w:ascii="仿宋" w:hAnsi="仿宋" w:eastAsia="仿宋" w:cs="仿宋"/>
          <w:sz w:val="24"/>
          <w:szCs w:val="24"/>
        </w:rPr>
        <w:t>签订地点：</w:t>
      </w:r>
      <w:r>
        <w:rPr>
          <w:rFonts w:hint="eastAsia" w:ascii="仿宋" w:hAnsi="仿宋" w:eastAsia="仿宋" w:cs="仿宋"/>
          <w:sz w:val="24"/>
          <w:szCs w:val="24"/>
          <w:lang w:val="en-US" w:eastAsia="zh-CN"/>
        </w:rPr>
        <w:t>福建省三明市沙县区</w:t>
      </w:r>
      <w:r>
        <w:rPr>
          <w:rFonts w:hint="eastAsia" w:ascii="仿宋" w:hAnsi="仿宋" w:eastAsia="仿宋" w:cs="仿宋"/>
          <w:sz w:val="24"/>
          <w:szCs w:val="24"/>
          <w:shd w:val="clear" w:color="auto" w:fill="FFFFFF"/>
        </w:rPr>
        <w:t xml:space="preserve"> </w:t>
      </w:r>
    </w:p>
    <w:p w14:paraId="1A3B22E4">
      <w:pPr>
        <w:keepNext w:val="0"/>
        <w:keepLines w:val="0"/>
        <w:pageBreakBefore w:val="0"/>
        <w:kinsoku/>
        <w:wordWrap/>
        <w:overflowPunct/>
        <w:topLinePunct w:val="0"/>
        <w:autoSpaceDE w:val="0"/>
        <w:autoSpaceDN w:val="0"/>
        <w:bidi w:val="0"/>
        <w:adjustRightInd w:val="0"/>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乙方</w:t>
      </w:r>
      <w:r>
        <w:rPr>
          <w:rFonts w:hint="eastAsia" w:ascii="仿宋" w:hAnsi="仿宋" w:eastAsia="仿宋" w:cs="仿宋"/>
          <w:sz w:val="24"/>
          <w:szCs w:val="24"/>
        </w:rPr>
        <w:t>（</w:t>
      </w:r>
      <w:r>
        <w:rPr>
          <w:rFonts w:hint="eastAsia" w:ascii="仿宋" w:hAnsi="仿宋" w:eastAsia="仿宋" w:cs="仿宋"/>
          <w:sz w:val="24"/>
          <w:szCs w:val="24"/>
          <w:lang w:val="en-US" w:eastAsia="zh-CN"/>
        </w:rPr>
        <w:t>卖</w:t>
      </w:r>
      <w:r>
        <w:rPr>
          <w:rFonts w:hint="eastAsia" w:ascii="仿宋" w:hAnsi="仿宋" w:eastAsia="仿宋" w:cs="仿宋"/>
          <w:sz w:val="24"/>
          <w:szCs w:val="24"/>
          <w:lang w:eastAsia="zh-CN"/>
        </w:rPr>
        <w:t>方</w:t>
      </w:r>
      <w:r>
        <w:rPr>
          <w:rFonts w:hint="eastAsia" w:ascii="仿宋" w:hAnsi="仿宋" w:eastAsia="仿宋" w:cs="仿宋"/>
          <w:sz w:val="24"/>
          <w:szCs w:val="24"/>
        </w:rPr>
        <w:t>）：</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签订日期：</w:t>
      </w:r>
      <w:r>
        <w:rPr>
          <w:rFonts w:hint="eastAsia" w:ascii="仿宋" w:hAnsi="仿宋" w:eastAsia="仿宋" w:cs="仿宋"/>
          <w:sz w:val="24"/>
          <w:szCs w:val="24"/>
          <w:lang w:val="en-US" w:eastAsia="zh-CN"/>
        </w:rPr>
        <w:t>2025</w:t>
      </w:r>
      <w:r>
        <w:rPr>
          <w:rFonts w:hint="eastAsia" w:ascii="仿宋" w:hAnsi="仿宋" w:eastAsia="仿宋" w:cs="仿宋"/>
          <w:sz w:val="24"/>
          <w:szCs w:val="24"/>
        </w:rPr>
        <w:t>年</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日    </w:t>
      </w:r>
    </w:p>
    <w:p w14:paraId="3D997419">
      <w:pPr>
        <w:pStyle w:val="31"/>
        <w:keepNext w:val="0"/>
        <w:keepLines w:val="0"/>
        <w:pageBreakBefore w:val="0"/>
        <w:kinsoku/>
        <w:wordWrap/>
        <w:overflowPunct/>
        <w:topLinePunct w:val="0"/>
        <w:autoSpaceDE w:val="0"/>
        <w:autoSpaceDN w:val="0"/>
        <w:bidi w:val="0"/>
        <w:adjustRightInd w:val="0"/>
        <w:spacing w:line="360" w:lineRule="auto"/>
        <w:outlineLvl w:val="0"/>
        <w:rPr>
          <w:rFonts w:hint="eastAsia" w:ascii="仿宋" w:hAnsi="仿宋" w:eastAsia="仿宋" w:cs="仿宋"/>
          <w:sz w:val="24"/>
          <w:szCs w:val="24"/>
        </w:rPr>
      </w:pPr>
      <w:r>
        <w:rPr>
          <w:rFonts w:hint="eastAsia" w:ascii="仿宋" w:hAnsi="仿宋" w:eastAsia="仿宋" w:cs="仿宋"/>
          <w:sz w:val="24"/>
          <w:szCs w:val="24"/>
        </w:rPr>
        <w:t xml:space="preserve">      </w:t>
      </w:r>
      <w:bookmarkStart w:id="101" w:name="_Toc23106"/>
      <w:bookmarkStart w:id="102" w:name="_Toc8403"/>
      <w:bookmarkStart w:id="103" w:name="_Toc9911"/>
      <w:bookmarkStart w:id="104" w:name="_Toc26450"/>
      <w:bookmarkStart w:id="105" w:name="_Toc23327"/>
      <w:r>
        <w:rPr>
          <w:rFonts w:hint="eastAsia" w:ascii="仿宋" w:hAnsi="仿宋" w:eastAsia="仿宋" w:cs="仿宋"/>
          <w:sz w:val="24"/>
          <w:szCs w:val="24"/>
        </w:rPr>
        <w:t>《中华人民共和国民法典》，并经甲乙双方友好协商，就以下事项达成一致并签订本合同：</w:t>
      </w:r>
      <w:bookmarkEnd w:id="101"/>
      <w:bookmarkEnd w:id="102"/>
      <w:bookmarkEnd w:id="103"/>
      <w:bookmarkEnd w:id="104"/>
      <w:bookmarkEnd w:id="105"/>
    </w:p>
    <w:p w14:paraId="5AD8451D">
      <w:pPr>
        <w:keepNext w:val="0"/>
        <w:keepLines w:val="0"/>
        <w:pageBreakBefore w:val="0"/>
        <w:shd w:val="clear" w:color="auto" w:fill="FFFFFF"/>
        <w:kinsoku/>
        <w:wordWrap/>
        <w:overflowPunct/>
        <w:topLinePunct w:val="0"/>
        <w:autoSpaceDE w:val="0"/>
        <w:autoSpaceDN w:val="0"/>
        <w:bidi w:val="0"/>
        <w:adjustRightInd w:val="0"/>
        <w:snapToGrid w:val="0"/>
        <w:spacing w:line="360" w:lineRule="auto"/>
        <w:ind w:firstLine="360" w:firstLineChars="150"/>
        <w:outlineLvl w:val="0"/>
        <w:rPr>
          <w:rFonts w:hint="eastAsia" w:ascii="仿宋" w:hAnsi="仿宋" w:eastAsia="仿宋" w:cs="仿宋"/>
          <w:sz w:val="24"/>
          <w:szCs w:val="24"/>
        </w:rPr>
      </w:pPr>
      <w:bookmarkStart w:id="106" w:name="_Toc4585"/>
      <w:bookmarkStart w:id="107" w:name="_Toc13700"/>
      <w:bookmarkStart w:id="108" w:name="_Toc16223"/>
      <w:bookmarkStart w:id="109" w:name="_Toc10341"/>
      <w:bookmarkStart w:id="110" w:name="_Toc2497"/>
      <w:r>
        <w:rPr>
          <w:rFonts w:hint="eastAsia" w:ascii="仿宋" w:hAnsi="仿宋" w:eastAsia="仿宋" w:cs="仿宋"/>
          <w:sz w:val="24"/>
          <w:szCs w:val="24"/>
        </w:rPr>
        <w:t>一、品种、型号、数量</w:t>
      </w:r>
      <w:bookmarkEnd w:id="106"/>
      <w:bookmarkEnd w:id="107"/>
      <w:bookmarkEnd w:id="108"/>
      <w:bookmarkEnd w:id="109"/>
      <w:bookmarkEnd w:id="110"/>
    </w:p>
    <w:p w14:paraId="77F9FDB8">
      <w:pPr>
        <w:keepNext w:val="0"/>
        <w:keepLines w:val="0"/>
        <w:pageBreakBefore w:val="0"/>
        <w:shd w:val="clear" w:color="auto" w:fill="FFFFFF"/>
        <w:kinsoku/>
        <w:wordWrap/>
        <w:overflowPunct/>
        <w:topLinePunct w:val="0"/>
        <w:autoSpaceDE w:val="0"/>
        <w:autoSpaceDN w:val="0"/>
        <w:bidi w:val="0"/>
        <w:adjustRightInd w:val="0"/>
        <w:snapToGrid w:val="0"/>
        <w:spacing w:line="360" w:lineRule="auto"/>
        <w:ind w:firstLine="360" w:firstLineChars="150"/>
        <w:rPr>
          <w:rFonts w:hint="eastAsia" w:ascii="仿宋" w:hAnsi="仿宋" w:eastAsia="仿宋" w:cs="仿宋"/>
          <w:sz w:val="24"/>
          <w:szCs w:val="24"/>
        </w:rPr>
      </w:pPr>
      <w:r>
        <w:rPr>
          <w:rFonts w:hint="eastAsia" w:ascii="仿宋" w:hAnsi="仿宋" w:eastAsia="仿宋" w:cs="仿宋"/>
          <w:sz w:val="24"/>
          <w:szCs w:val="24"/>
        </w:rPr>
        <w:t xml:space="preserve">1、该项目供应的材料按照设计预算规格、数量具体如下： </w:t>
      </w:r>
    </w:p>
    <w:tbl>
      <w:tblPr>
        <w:tblStyle w:val="16"/>
        <w:tblpPr w:leftFromText="180" w:rightFromText="180" w:vertAnchor="text" w:horzAnchor="page" w:tblpX="1480" w:tblpY="107"/>
        <w:tblOverlap w:val="never"/>
        <w:tblW w:w="93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19"/>
        <w:gridCol w:w="2313"/>
        <w:gridCol w:w="742"/>
        <w:gridCol w:w="1091"/>
        <w:gridCol w:w="1295"/>
        <w:gridCol w:w="1768"/>
      </w:tblGrid>
      <w:tr w14:paraId="1E687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119" w:type="dxa"/>
            <w:tcBorders>
              <w:top w:val="single" w:color="000000" w:sz="4" w:space="0"/>
              <w:left w:val="single" w:color="000000" w:sz="4" w:space="0"/>
              <w:bottom w:val="single" w:color="000000" w:sz="4" w:space="0"/>
              <w:right w:val="single" w:color="000000" w:sz="4" w:space="0"/>
            </w:tcBorders>
            <w:noWrap/>
            <w:vAlign w:val="center"/>
          </w:tcPr>
          <w:p w14:paraId="6CDAF304">
            <w:pPr>
              <w:keepNext w:val="0"/>
              <w:keepLines w:val="0"/>
              <w:pageBreakBefore w:val="0"/>
              <w:widowControl/>
              <w:suppressLineNumbers w:val="0"/>
              <w:kinsoku/>
              <w:wordWrap/>
              <w:overflowPunct/>
              <w:topLinePunct w:val="0"/>
              <w:autoSpaceDE w:val="0"/>
              <w:autoSpaceDN w:val="0"/>
              <w:bidi w:val="0"/>
              <w:adjustRightIn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名称</w:t>
            </w:r>
          </w:p>
        </w:tc>
        <w:tc>
          <w:tcPr>
            <w:tcW w:w="2313" w:type="dxa"/>
            <w:tcBorders>
              <w:top w:val="single" w:color="000000" w:sz="4" w:space="0"/>
              <w:left w:val="single" w:color="000000" w:sz="4" w:space="0"/>
              <w:bottom w:val="single" w:color="000000" w:sz="4" w:space="0"/>
              <w:right w:val="single" w:color="000000" w:sz="4" w:space="0"/>
            </w:tcBorders>
            <w:noWrap/>
            <w:vAlign w:val="center"/>
          </w:tcPr>
          <w:p w14:paraId="3B65AC38">
            <w:pPr>
              <w:keepNext w:val="0"/>
              <w:keepLines w:val="0"/>
              <w:pageBreakBefore w:val="0"/>
              <w:widowControl/>
              <w:suppressLineNumbers w:val="0"/>
              <w:kinsoku/>
              <w:wordWrap/>
              <w:overflowPunct/>
              <w:topLinePunct w:val="0"/>
              <w:autoSpaceDE w:val="0"/>
              <w:autoSpaceDN w:val="0"/>
              <w:bidi w:val="0"/>
              <w:adjustRightIn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材料规格</w:t>
            </w: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3C415ED5">
            <w:pPr>
              <w:keepNext w:val="0"/>
              <w:keepLines w:val="0"/>
              <w:pageBreakBefore w:val="0"/>
              <w:widowControl/>
              <w:suppressLineNumbers w:val="0"/>
              <w:kinsoku/>
              <w:wordWrap/>
              <w:overflowPunct/>
              <w:topLinePunct w:val="0"/>
              <w:autoSpaceDE w:val="0"/>
              <w:autoSpaceDN w:val="0"/>
              <w:bidi w:val="0"/>
              <w:adjustRightIn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3DA7D3F1">
            <w:pPr>
              <w:keepNext w:val="0"/>
              <w:keepLines w:val="0"/>
              <w:pageBreakBefore w:val="0"/>
              <w:widowControl/>
              <w:suppressLineNumbers w:val="0"/>
              <w:kinsoku/>
              <w:wordWrap/>
              <w:overflowPunct/>
              <w:topLinePunct w:val="0"/>
              <w:autoSpaceDE w:val="0"/>
              <w:autoSpaceDN w:val="0"/>
              <w:bidi w:val="0"/>
              <w:adjustRightIn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c>
          <w:tcPr>
            <w:tcW w:w="1295" w:type="dxa"/>
            <w:tcBorders>
              <w:top w:val="single" w:color="000000" w:sz="4" w:space="0"/>
              <w:left w:val="single" w:color="000000" w:sz="4" w:space="0"/>
              <w:bottom w:val="single" w:color="000000" w:sz="4" w:space="0"/>
              <w:right w:val="single" w:color="000000" w:sz="4" w:space="0"/>
            </w:tcBorders>
            <w:noWrap/>
            <w:vAlign w:val="center"/>
          </w:tcPr>
          <w:p w14:paraId="7C1AC7A6">
            <w:pPr>
              <w:keepNext w:val="0"/>
              <w:keepLines w:val="0"/>
              <w:pageBreakBefore w:val="0"/>
              <w:widowControl/>
              <w:suppressLineNumbers w:val="0"/>
              <w:kinsoku/>
              <w:wordWrap/>
              <w:overflowPunct/>
              <w:topLinePunct w:val="0"/>
              <w:autoSpaceDE w:val="0"/>
              <w:autoSpaceDN w:val="0"/>
              <w:bidi w:val="0"/>
              <w:adjustRightIn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单价（元）</w:t>
            </w:r>
          </w:p>
        </w:tc>
        <w:tc>
          <w:tcPr>
            <w:tcW w:w="1768" w:type="dxa"/>
            <w:tcBorders>
              <w:top w:val="single" w:color="000000" w:sz="4" w:space="0"/>
              <w:left w:val="single" w:color="000000" w:sz="4" w:space="0"/>
              <w:bottom w:val="single" w:color="000000" w:sz="4" w:space="0"/>
              <w:right w:val="single" w:color="000000" w:sz="4" w:space="0"/>
            </w:tcBorders>
            <w:noWrap/>
            <w:vAlign w:val="center"/>
          </w:tcPr>
          <w:p w14:paraId="1A046EB0">
            <w:pPr>
              <w:keepNext w:val="0"/>
              <w:keepLines w:val="0"/>
              <w:pageBreakBefore w:val="0"/>
              <w:widowControl/>
              <w:suppressLineNumbers w:val="0"/>
              <w:kinsoku/>
              <w:wordWrap/>
              <w:overflowPunct/>
              <w:topLinePunct w:val="0"/>
              <w:autoSpaceDE w:val="0"/>
              <w:autoSpaceDN w:val="0"/>
              <w:bidi w:val="0"/>
              <w:adjustRightIn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总价（元）</w:t>
            </w:r>
          </w:p>
        </w:tc>
      </w:tr>
      <w:tr w14:paraId="6D8C5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2119" w:type="dxa"/>
            <w:tcBorders>
              <w:top w:val="single" w:color="000000" w:sz="4" w:space="0"/>
              <w:left w:val="single" w:color="000000" w:sz="4" w:space="0"/>
              <w:bottom w:val="single" w:color="000000" w:sz="4" w:space="0"/>
              <w:right w:val="single" w:color="000000" w:sz="4" w:space="0"/>
            </w:tcBorders>
            <w:noWrap w:val="0"/>
            <w:vAlign w:val="center"/>
          </w:tcPr>
          <w:p w14:paraId="367222E5">
            <w:pPr>
              <w:keepNext w:val="0"/>
              <w:keepLines w:val="0"/>
              <w:pageBreakBefore w:val="0"/>
              <w:widowControl/>
              <w:suppressLineNumbers w:val="0"/>
              <w:wordWrap/>
              <w:overflowPunct/>
              <w:topLinePunct w:val="0"/>
              <w:autoSpaceDE w:val="0"/>
              <w:autoSpaceDN w:val="0"/>
              <w:bidi w:val="0"/>
              <w:adjustRightInd w:val="0"/>
              <w:spacing w:line="360" w:lineRule="auto"/>
              <w:jc w:val="center"/>
              <w:textAlignment w:val="center"/>
              <w:rPr>
                <w:rFonts w:hint="eastAsia" w:ascii="仿宋" w:hAnsi="仿宋" w:eastAsia="仿宋" w:cs="仿宋"/>
                <w:i w:val="0"/>
                <w:iCs w:val="0"/>
                <w:color w:val="000000"/>
                <w:sz w:val="24"/>
                <w:szCs w:val="24"/>
                <w:u w:val="none"/>
                <w:lang w:val="en-US" w:eastAsia="zh-CN"/>
              </w:rPr>
            </w:pPr>
          </w:p>
        </w:tc>
        <w:tc>
          <w:tcPr>
            <w:tcW w:w="2313" w:type="dxa"/>
            <w:tcBorders>
              <w:top w:val="single" w:color="000000" w:sz="4" w:space="0"/>
              <w:left w:val="single" w:color="000000" w:sz="4" w:space="0"/>
              <w:bottom w:val="single" w:color="000000" w:sz="4" w:space="0"/>
              <w:right w:val="single" w:color="000000" w:sz="4" w:space="0"/>
            </w:tcBorders>
            <w:noWrap w:val="0"/>
            <w:vAlign w:val="center"/>
          </w:tcPr>
          <w:p w14:paraId="2DC05651">
            <w:pPr>
              <w:keepNext w:val="0"/>
              <w:keepLines w:val="0"/>
              <w:pageBreakBefore w:val="0"/>
              <w:widowControl/>
              <w:suppressLineNumbers w:val="0"/>
              <w:wordWrap/>
              <w:overflowPunct/>
              <w:topLinePunct w:val="0"/>
              <w:autoSpaceDE w:val="0"/>
              <w:autoSpaceDN w:val="0"/>
              <w:bidi w:val="0"/>
              <w:adjustRightInd w:val="0"/>
              <w:spacing w:line="360" w:lineRule="auto"/>
              <w:jc w:val="center"/>
              <w:textAlignment w:val="center"/>
              <w:rPr>
                <w:rFonts w:hint="eastAsia" w:ascii="仿宋" w:hAnsi="仿宋" w:eastAsia="仿宋" w:cs="仿宋"/>
                <w:sz w:val="24"/>
                <w:szCs w:val="24"/>
                <w:lang w:val="en-US" w:eastAsia="zh-CN"/>
              </w:rPr>
            </w:pP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7B3BD2D7">
            <w:pPr>
              <w:keepNext w:val="0"/>
              <w:keepLines w:val="0"/>
              <w:pageBreakBefore w:val="0"/>
              <w:widowControl/>
              <w:suppressLineNumbers w:val="0"/>
              <w:kinsoku/>
              <w:wordWrap/>
              <w:overflowPunct/>
              <w:topLinePunct w:val="0"/>
              <w:autoSpaceDE w:val="0"/>
              <w:autoSpaceDN w:val="0"/>
              <w:bidi w:val="0"/>
              <w:adjustRightInd w:val="0"/>
              <w:spacing w:line="360" w:lineRule="auto"/>
              <w:jc w:val="center"/>
              <w:textAlignment w:val="center"/>
              <w:rPr>
                <w:rFonts w:hint="eastAsia" w:ascii="仿宋" w:hAnsi="仿宋" w:eastAsia="仿宋" w:cs="仿宋"/>
                <w:i w:val="0"/>
                <w:iCs w:val="0"/>
                <w:color w:val="000000"/>
                <w:sz w:val="24"/>
                <w:szCs w:val="24"/>
                <w:u w:val="none"/>
                <w:lang w:val="en-US" w:eastAsia="zh-CN"/>
              </w:rPr>
            </w:pP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2324ECAE">
            <w:pPr>
              <w:keepNext w:val="0"/>
              <w:keepLines w:val="0"/>
              <w:pageBreakBefore w:val="0"/>
              <w:widowControl/>
              <w:suppressLineNumbers w:val="0"/>
              <w:kinsoku/>
              <w:wordWrap/>
              <w:overflowPunct/>
              <w:topLinePunct w:val="0"/>
              <w:autoSpaceDE w:val="0"/>
              <w:autoSpaceDN w:val="0"/>
              <w:bidi w:val="0"/>
              <w:adjustRightInd w:val="0"/>
              <w:spacing w:line="360" w:lineRule="auto"/>
              <w:jc w:val="center"/>
              <w:textAlignment w:val="center"/>
              <w:rPr>
                <w:rFonts w:hint="eastAsia" w:ascii="仿宋" w:hAnsi="仿宋" w:eastAsia="仿宋" w:cs="仿宋"/>
                <w:i w:val="0"/>
                <w:iCs w:val="0"/>
                <w:color w:val="000000"/>
                <w:sz w:val="24"/>
                <w:szCs w:val="24"/>
                <w:u w:val="none"/>
                <w:lang w:val="en-US" w:eastAsia="zh-CN"/>
              </w:rPr>
            </w:pPr>
          </w:p>
        </w:tc>
        <w:tc>
          <w:tcPr>
            <w:tcW w:w="1295" w:type="dxa"/>
            <w:tcBorders>
              <w:top w:val="single" w:color="000000" w:sz="4" w:space="0"/>
              <w:left w:val="single" w:color="000000" w:sz="4" w:space="0"/>
              <w:bottom w:val="single" w:color="000000" w:sz="4" w:space="0"/>
              <w:right w:val="single" w:color="000000" w:sz="4" w:space="0"/>
            </w:tcBorders>
            <w:noWrap/>
            <w:vAlign w:val="center"/>
          </w:tcPr>
          <w:p w14:paraId="5F6829AE">
            <w:pPr>
              <w:keepNext w:val="0"/>
              <w:keepLines w:val="0"/>
              <w:pageBreakBefore w:val="0"/>
              <w:widowControl/>
              <w:suppressLineNumbers w:val="0"/>
              <w:kinsoku/>
              <w:wordWrap/>
              <w:overflowPunct/>
              <w:topLinePunct w:val="0"/>
              <w:autoSpaceDE w:val="0"/>
              <w:autoSpaceDN w:val="0"/>
              <w:bidi w:val="0"/>
              <w:adjustRightInd w:val="0"/>
              <w:spacing w:line="360" w:lineRule="auto"/>
              <w:jc w:val="center"/>
              <w:textAlignment w:val="center"/>
              <w:rPr>
                <w:rFonts w:hint="eastAsia" w:ascii="仿宋" w:hAnsi="仿宋" w:eastAsia="仿宋" w:cs="仿宋"/>
                <w:i w:val="0"/>
                <w:iCs w:val="0"/>
                <w:color w:val="000000"/>
                <w:sz w:val="24"/>
                <w:szCs w:val="24"/>
                <w:u w:val="none"/>
                <w:lang w:val="en-US"/>
              </w:rPr>
            </w:pPr>
          </w:p>
        </w:tc>
        <w:tc>
          <w:tcPr>
            <w:tcW w:w="1768" w:type="dxa"/>
            <w:tcBorders>
              <w:top w:val="single" w:color="000000" w:sz="4" w:space="0"/>
              <w:left w:val="single" w:color="000000" w:sz="4" w:space="0"/>
              <w:bottom w:val="single" w:color="000000" w:sz="4" w:space="0"/>
              <w:right w:val="single" w:color="000000" w:sz="4" w:space="0"/>
            </w:tcBorders>
            <w:noWrap/>
            <w:vAlign w:val="center"/>
          </w:tcPr>
          <w:p w14:paraId="66ACC9A0">
            <w:pPr>
              <w:keepNext w:val="0"/>
              <w:keepLines w:val="0"/>
              <w:pageBreakBefore w:val="0"/>
              <w:widowControl/>
              <w:suppressLineNumbers w:val="0"/>
              <w:kinsoku/>
              <w:wordWrap/>
              <w:overflowPunct/>
              <w:topLinePunct w:val="0"/>
              <w:autoSpaceDE w:val="0"/>
              <w:autoSpaceDN w:val="0"/>
              <w:bidi w:val="0"/>
              <w:adjustRightInd w:val="0"/>
              <w:spacing w:line="360" w:lineRule="auto"/>
              <w:jc w:val="center"/>
              <w:textAlignment w:val="center"/>
              <w:rPr>
                <w:rFonts w:hint="eastAsia" w:ascii="仿宋" w:hAnsi="仿宋" w:eastAsia="仿宋" w:cs="仿宋"/>
                <w:sz w:val="24"/>
                <w:szCs w:val="24"/>
                <w:lang w:val="en-US" w:eastAsia="zh-CN"/>
              </w:rPr>
            </w:pPr>
          </w:p>
        </w:tc>
      </w:tr>
      <w:tr w14:paraId="1D097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432" w:type="dxa"/>
            <w:gridSpan w:val="2"/>
            <w:tcBorders>
              <w:top w:val="single" w:color="000000" w:sz="4" w:space="0"/>
              <w:left w:val="single" w:color="000000" w:sz="4" w:space="0"/>
              <w:bottom w:val="single" w:color="000000" w:sz="4" w:space="0"/>
              <w:right w:val="single" w:color="000000" w:sz="4" w:space="0"/>
            </w:tcBorders>
            <w:noWrap/>
            <w:vAlign w:val="center"/>
          </w:tcPr>
          <w:p w14:paraId="557B48CC">
            <w:pPr>
              <w:keepNext w:val="0"/>
              <w:keepLines w:val="0"/>
              <w:pageBreakBefore w:val="0"/>
              <w:widowControl/>
              <w:suppressLineNumbers w:val="0"/>
              <w:kinsoku/>
              <w:wordWrap/>
              <w:overflowPunct/>
              <w:topLinePunct w:val="0"/>
              <w:autoSpaceDE w:val="0"/>
              <w:autoSpaceDN w:val="0"/>
              <w:bidi w:val="0"/>
              <w:adjustRightInd w:val="0"/>
              <w:spacing w:line="360" w:lineRule="auto"/>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小写金额：</w:t>
            </w:r>
          </w:p>
        </w:tc>
        <w:tc>
          <w:tcPr>
            <w:tcW w:w="4896" w:type="dxa"/>
            <w:gridSpan w:val="4"/>
            <w:tcBorders>
              <w:top w:val="single" w:color="000000" w:sz="4" w:space="0"/>
              <w:left w:val="single" w:color="000000" w:sz="4" w:space="0"/>
              <w:bottom w:val="single" w:color="000000" w:sz="4" w:space="0"/>
              <w:right w:val="single" w:color="000000" w:sz="4" w:space="0"/>
            </w:tcBorders>
            <w:noWrap/>
            <w:vAlign w:val="center"/>
          </w:tcPr>
          <w:p w14:paraId="43E250F2">
            <w:pPr>
              <w:keepNext w:val="0"/>
              <w:keepLines w:val="0"/>
              <w:pageBreakBefore w:val="0"/>
              <w:widowControl/>
              <w:suppressLineNumbers w:val="0"/>
              <w:kinsoku/>
              <w:wordWrap/>
              <w:overflowPunct/>
              <w:topLinePunct w:val="0"/>
              <w:autoSpaceDE w:val="0"/>
              <w:autoSpaceDN w:val="0"/>
              <w:bidi w:val="0"/>
              <w:adjustRightInd w:val="0"/>
              <w:spacing w:line="360" w:lineRule="auto"/>
              <w:jc w:val="center"/>
              <w:textAlignment w:val="center"/>
              <w:rPr>
                <w:rFonts w:hint="eastAsia" w:ascii="仿宋" w:hAnsi="仿宋" w:eastAsia="仿宋" w:cs="仿宋"/>
                <w:i w:val="0"/>
                <w:iCs w:val="0"/>
                <w:color w:val="000000"/>
                <w:sz w:val="24"/>
                <w:szCs w:val="24"/>
                <w:u w:val="none"/>
                <w:lang w:val="en-US" w:eastAsia="zh-CN"/>
              </w:rPr>
            </w:pPr>
          </w:p>
        </w:tc>
      </w:tr>
      <w:tr w14:paraId="099B4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432" w:type="dxa"/>
            <w:gridSpan w:val="2"/>
            <w:tcBorders>
              <w:top w:val="single" w:color="000000" w:sz="4" w:space="0"/>
              <w:left w:val="single" w:color="000000" w:sz="4" w:space="0"/>
              <w:bottom w:val="single" w:color="000000" w:sz="4" w:space="0"/>
              <w:right w:val="single" w:color="000000" w:sz="4" w:space="0"/>
            </w:tcBorders>
            <w:noWrap/>
            <w:vAlign w:val="center"/>
          </w:tcPr>
          <w:p w14:paraId="3B59D289">
            <w:pPr>
              <w:keepNext w:val="0"/>
              <w:keepLines w:val="0"/>
              <w:pageBreakBefore w:val="0"/>
              <w:widowControl/>
              <w:suppressLineNumbers w:val="0"/>
              <w:kinsoku/>
              <w:wordWrap/>
              <w:overflowPunct/>
              <w:topLinePunct w:val="0"/>
              <w:autoSpaceDE w:val="0"/>
              <w:autoSpaceDN w:val="0"/>
              <w:bidi w:val="0"/>
              <w:adjustRightInd w:val="0"/>
              <w:spacing w:line="360" w:lineRule="auto"/>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人民币大写：               元整</w:t>
            </w:r>
          </w:p>
        </w:tc>
        <w:tc>
          <w:tcPr>
            <w:tcW w:w="4896" w:type="dxa"/>
            <w:gridSpan w:val="4"/>
            <w:tcBorders>
              <w:top w:val="single" w:color="000000" w:sz="4" w:space="0"/>
              <w:left w:val="single" w:color="000000" w:sz="4" w:space="0"/>
              <w:bottom w:val="single" w:color="000000" w:sz="4" w:space="0"/>
              <w:right w:val="single" w:color="000000" w:sz="4" w:space="0"/>
            </w:tcBorders>
            <w:noWrap/>
            <w:vAlign w:val="center"/>
          </w:tcPr>
          <w:p w14:paraId="6142E08A">
            <w:pPr>
              <w:keepNext w:val="0"/>
              <w:keepLines w:val="0"/>
              <w:pageBreakBefore w:val="0"/>
              <w:widowControl/>
              <w:suppressLineNumbers w:val="0"/>
              <w:kinsoku/>
              <w:wordWrap/>
              <w:overflowPunct/>
              <w:topLinePunct w:val="0"/>
              <w:autoSpaceDE w:val="0"/>
              <w:autoSpaceDN w:val="0"/>
              <w:bidi w:val="0"/>
              <w:adjustRightIn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含13%增值税票</w:t>
            </w:r>
          </w:p>
        </w:tc>
      </w:tr>
    </w:tbl>
    <w:p w14:paraId="5A44B1DD">
      <w:pPr>
        <w:keepNext w:val="0"/>
        <w:keepLines w:val="0"/>
        <w:pageBreakBefore w:val="0"/>
        <w:kinsoku/>
        <w:wordWrap/>
        <w:overflowPunct/>
        <w:topLinePunct w:val="0"/>
        <w:autoSpaceDE w:val="0"/>
        <w:autoSpaceDN w:val="0"/>
        <w:bidi w:val="0"/>
        <w:adjustRightInd w:val="0"/>
        <w:spacing w:line="360" w:lineRule="auto"/>
        <w:ind w:firstLine="480" w:firstLineChars="20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以上货物价格为固定单价，采购货物的实际数量以</w:t>
      </w:r>
      <w:r>
        <w:rPr>
          <w:rFonts w:hint="eastAsia" w:ascii="仿宋" w:hAnsi="仿宋" w:eastAsia="仿宋" w:cs="仿宋"/>
          <w:sz w:val="24"/>
          <w:szCs w:val="24"/>
          <w:lang w:val="en-US" w:eastAsia="zh-CN"/>
        </w:rPr>
        <w:t>最终以实际过磅重量结算。</w:t>
      </w:r>
      <w:r>
        <w:rPr>
          <w:rFonts w:hint="eastAsia" w:ascii="仿宋" w:hAnsi="仿宋" w:eastAsia="仿宋" w:cs="仿宋"/>
          <w:sz w:val="24"/>
          <w:szCs w:val="24"/>
          <w:lang w:val="zh-CN"/>
        </w:rPr>
        <w:t>（</w:t>
      </w:r>
      <w:r>
        <w:rPr>
          <w:rFonts w:hint="eastAsia" w:ascii="仿宋" w:hAnsi="仿宋" w:eastAsia="仿宋" w:cs="仿宋"/>
          <w:sz w:val="24"/>
          <w:szCs w:val="24"/>
        </w:rPr>
        <w:t>如采购总金额有超过5%-10％范围内需签订补充协议</w:t>
      </w:r>
      <w:r>
        <w:rPr>
          <w:rFonts w:hint="eastAsia" w:ascii="仿宋" w:hAnsi="仿宋" w:eastAsia="仿宋" w:cs="仿宋"/>
          <w:kern w:val="0"/>
          <w:sz w:val="24"/>
          <w:szCs w:val="24"/>
        </w:rPr>
        <w:t>）</w:t>
      </w:r>
      <w:r>
        <w:rPr>
          <w:rFonts w:hint="eastAsia" w:ascii="仿宋" w:hAnsi="仿宋" w:eastAsia="仿宋" w:cs="仿宋"/>
          <w:kern w:val="0"/>
          <w:sz w:val="24"/>
          <w:szCs w:val="24"/>
          <w:lang w:val="zh-CN"/>
        </w:rPr>
        <w:t>，货物价格包括产品制造、损耗、售后服务、税收｛</w:t>
      </w:r>
      <w:r>
        <w:rPr>
          <w:rFonts w:hint="eastAsia" w:ascii="仿宋" w:hAnsi="仿宋" w:eastAsia="仿宋" w:cs="仿宋"/>
          <w:kern w:val="0"/>
          <w:sz w:val="24"/>
          <w:szCs w:val="24"/>
        </w:rPr>
        <w:t>乙方</w:t>
      </w:r>
      <w:r>
        <w:rPr>
          <w:rFonts w:hint="eastAsia" w:ascii="仿宋" w:hAnsi="仿宋" w:eastAsia="仿宋" w:cs="仿宋"/>
          <w:kern w:val="0"/>
          <w:sz w:val="24"/>
          <w:szCs w:val="24"/>
          <w:lang w:val="zh-CN"/>
        </w:rPr>
        <w:t xml:space="preserve">提供13%的增值税专用发票（若国家政策法规另有规定的，按新规定执行, 价格调整以不含税价为基准）以及相关规定须交纳的其它费用等。  </w:t>
      </w:r>
    </w:p>
    <w:p w14:paraId="75952CBF">
      <w:pPr>
        <w:keepNext w:val="0"/>
        <w:keepLines w:val="0"/>
        <w:pageBreakBefore w:val="0"/>
        <w:kinsoku/>
        <w:wordWrap/>
        <w:overflowPunct/>
        <w:topLinePunct w:val="0"/>
        <w:autoSpaceDE w:val="0"/>
        <w:autoSpaceDN w:val="0"/>
        <w:bidi w:val="0"/>
        <w:adjustRightInd w:val="0"/>
        <w:spacing w:line="360" w:lineRule="auto"/>
        <w:ind w:firstLine="48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二、质量要求、技术标准：按照甲方要求组织生产，</w:t>
      </w:r>
      <w:r>
        <w:rPr>
          <w:rFonts w:hint="eastAsia" w:ascii="仿宋" w:hAnsi="仿宋" w:eastAsia="仿宋" w:cs="仿宋"/>
          <w:color w:val="auto"/>
          <w:kern w:val="0"/>
          <w:sz w:val="24"/>
          <w:szCs w:val="24"/>
          <w:highlight w:val="none"/>
          <w:lang w:val="zh-CN"/>
        </w:rPr>
        <w:t xml:space="preserve">产品符合标准编号为 </w:t>
      </w:r>
      <w:r>
        <w:rPr>
          <w:rFonts w:hint="eastAsia" w:ascii="仿宋" w:hAnsi="仿宋" w:eastAsia="仿宋" w:cs="仿宋"/>
          <w:color w:val="auto"/>
          <w:kern w:val="0"/>
          <w:sz w:val="24"/>
          <w:szCs w:val="24"/>
          <w:highlight w:val="none"/>
          <w:u w:val="single"/>
          <w:lang w:val="en-US" w:eastAsia="zh-CN"/>
        </w:rPr>
        <w:t xml:space="preserve"> DCBA</w:t>
      </w:r>
      <w:r>
        <w:rPr>
          <w:rFonts w:hint="eastAsia" w:ascii="仿宋" w:hAnsi="仿宋" w:eastAsia="仿宋" w:cs="仿宋"/>
          <w:color w:val="auto"/>
          <w:kern w:val="0"/>
          <w:sz w:val="24"/>
          <w:szCs w:val="24"/>
          <w:highlight w:val="none"/>
          <w:lang w:val="zh-CN"/>
        </w:rPr>
        <w:t>（A、国家标准；B、行业标准；C、出卖方企业标准；D、双方协议标准）</w:t>
      </w:r>
      <w:r>
        <w:rPr>
          <w:rFonts w:hint="eastAsia" w:ascii="仿宋" w:hAnsi="仿宋" w:eastAsia="仿宋" w:cs="仿宋"/>
          <w:kern w:val="0"/>
          <w:sz w:val="24"/>
          <w:szCs w:val="24"/>
          <w:lang w:val="zh-CN"/>
        </w:rPr>
        <w:t>。</w:t>
      </w:r>
    </w:p>
    <w:p w14:paraId="321E81EC">
      <w:pPr>
        <w:keepNext w:val="0"/>
        <w:keepLines w:val="0"/>
        <w:pageBreakBefore w:val="0"/>
        <w:kinsoku/>
        <w:wordWrap/>
        <w:overflowPunct/>
        <w:topLinePunct w:val="0"/>
        <w:autoSpaceDE w:val="0"/>
        <w:autoSpaceDN w:val="0"/>
        <w:bidi w:val="0"/>
        <w:adjustRightInd w:val="0"/>
        <w:spacing w:line="360" w:lineRule="auto"/>
        <w:ind w:firstLine="480"/>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 xml:space="preserve">    1、理化指标：</w:t>
      </w:r>
    </w:p>
    <w:tbl>
      <w:tblPr>
        <w:tblStyle w:val="16"/>
        <w:tblW w:w="95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12"/>
        <w:gridCol w:w="1128"/>
        <w:gridCol w:w="1080"/>
        <w:gridCol w:w="1104"/>
        <w:gridCol w:w="1145"/>
        <w:gridCol w:w="943"/>
        <w:gridCol w:w="1308"/>
        <w:gridCol w:w="1337"/>
      </w:tblGrid>
      <w:tr w14:paraId="7A714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512" w:type="dxa"/>
            <w:tcBorders>
              <w:top w:val="single" w:color="000000" w:sz="4" w:space="0"/>
              <w:left w:val="single" w:color="000000" w:sz="4" w:space="0"/>
              <w:bottom w:val="single" w:color="000000" w:sz="4" w:space="0"/>
              <w:right w:val="single" w:color="000000" w:sz="4" w:space="0"/>
            </w:tcBorders>
            <w:noWrap/>
            <w:vAlign w:val="center"/>
          </w:tcPr>
          <w:p w14:paraId="0C14802D">
            <w:pPr>
              <w:keepNext w:val="0"/>
              <w:keepLines w:val="0"/>
              <w:pageBreakBefore w:val="0"/>
              <w:widowControl/>
              <w:suppressLineNumbers w:val="0"/>
              <w:wordWrap/>
              <w:overflowPunct/>
              <w:topLinePunct w:val="0"/>
              <w:autoSpaceDE w:val="0"/>
              <w:autoSpaceDN w:val="0"/>
              <w:bidi w:val="0"/>
              <w:adjustRightIn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5284B0C3">
            <w:pPr>
              <w:keepNext w:val="0"/>
              <w:keepLines w:val="0"/>
              <w:pageBreakBefore w:val="0"/>
              <w:widowControl/>
              <w:suppressLineNumbers w:val="0"/>
              <w:wordWrap/>
              <w:overflowPunct/>
              <w:topLinePunct w:val="0"/>
              <w:autoSpaceDE w:val="0"/>
              <w:autoSpaceDN w:val="0"/>
              <w:bidi w:val="0"/>
              <w:adjustRightIn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体积密度</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214638AC">
            <w:pPr>
              <w:keepNext w:val="0"/>
              <w:keepLines w:val="0"/>
              <w:pageBreakBefore w:val="0"/>
              <w:widowControl/>
              <w:suppressLineNumbers w:val="0"/>
              <w:wordWrap/>
              <w:overflowPunct/>
              <w:topLinePunct w:val="0"/>
              <w:autoSpaceDE w:val="0"/>
              <w:autoSpaceDN w:val="0"/>
              <w:bidi w:val="0"/>
              <w:adjustRightIn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电阻率</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71E8452C">
            <w:pPr>
              <w:keepNext w:val="0"/>
              <w:keepLines w:val="0"/>
              <w:pageBreakBefore w:val="0"/>
              <w:widowControl/>
              <w:suppressLineNumbers w:val="0"/>
              <w:wordWrap/>
              <w:overflowPunct/>
              <w:topLinePunct w:val="0"/>
              <w:autoSpaceDE w:val="0"/>
              <w:autoSpaceDN w:val="0"/>
              <w:bidi w:val="0"/>
              <w:adjustRightIn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抗折强度</w:t>
            </w:r>
          </w:p>
        </w:tc>
        <w:tc>
          <w:tcPr>
            <w:tcW w:w="1145" w:type="dxa"/>
            <w:tcBorders>
              <w:top w:val="single" w:color="000000" w:sz="4" w:space="0"/>
              <w:left w:val="single" w:color="000000" w:sz="4" w:space="0"/>
              <w:bottom w:val="single" w:color="000000" w:sz="4" w:space="0"/>
              <w:right w:val="single" w:color="000000" w:sz="4" w:space="0"/>
            </w:tcBorders>
            <w:noWrap/>
            <w:vAlign w:val="center"/>
          </w:tcPr>
          <w:p w14:paraId="56438655">
            <w:pPr>
              <w:keepNext w:val="0"/>
              <w:keepLines w:val="0"/>
              <w:pageBreakBefore w:val="0"/>
              <w:widowControl/>
              <w:suppressLineNumbers w:val="0"/>
              <w:wordWrap/>
              <w:overflowPunct/>
              <w:topLinePunct w:val="0"/>
              <w:autoSpaceDE w:val="0"/>
              <w:autoSpaceDN w:val="0"/>
              <w:bidi w:val="0"/>
              <w:adjustRightIn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抗压强度</w:t>
            </w:r>
          </w:p>
        </w:tc>
        <w:tc>
          <w:tcPr>
            <w:tcW w:w="943" w:type="dxa"/>
            <w:tcBorders>
              <w:top w:val="single" w:color="000000" w:sz="4" w:space="0"/>
              <w:left w:val="single" w:color="000000" w:sz="4" w:space="0"/>
              <w:bottom w:val="single" w:color="000000" w:sz="4" w:space="0"/>
              <w:right w:val="single" w:color="000000" w:sz="4" w:space="0"/>
            </w:tcBorders>
            <w:noWrap/>
            <w:vAlign w:val="center"/>
          </w:tcPr>
          <w:p w14:paraId="5B7DE2AD">
            <w:pPr>
              <w:keepNext w:val="0"/>
              <w:keepLines w:val="0"/>
              <w:pageBreakBefore w:val="0"/>
              <w:widowControl/>
              <w:suppressLineNumbers w:val="0"/>
              <w:wordWrap/>
              <w:overflowPunct/>
              <w:topLinePunct w:val="0"/>
              <w:autoSpaceDE w:val="0"/>
              <w:autoSpaceDN w:val="0"/>
              <w:bidi w:val="0"/>
              <w:adjustRightIn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灰分</w:t>
            </w: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3511D6B5">
            <w:pPr>
              <w:keepNext w:val="0"/>
              <w:keepLines w:val="0"/>
              <w:pageBreakBefore w:val="0"/>
              <w:widowControl/>
              <w:suppressLineNumbers w:val="0"/>
              <w:wordWrap/>
              <w:overflowPunct/>
              <w:topLinePunct w:val="0"/>
              <w:autoSpaceDE w:val="0"/>
              <w:autoSpaceDN w:val="0"/>
              <w:bidi w:val="0"/>
              <w:adjustRightIn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气孔率</w:t>
            </w:r>
          </w:p>
        </w:tc>
        <w:tc>
          <w:tcPr>
            <w:tcW w:w="1337" w:type="dxa"/>
            <w:tcBorders>
              <w:top w:val="single" w:color="000000" w:sz="4" w:space="0"/>
              <w:left w:val="single" w:color="000000" w:sz="4" w:space="0"/>
              <w:bottom w:val="single" w:color="000000" w:sz="4" w:space="0"/>
              <w:right w:val="single" w:color="000000" w:sz="4" w:space="0"/>
            </w:tcBorders>
            <w:noWrap/>
            <w:vAlign w:val="center"/>
          </w:tcPr>
          <w:p w14:paraId="7C76135B">
            <w:pPr>
              <w:keepNext w:val="0"/>
              <w:keepLines w:val="0"/>
              <w:pageBreakBefore w:val="0"/>
              <w:widowControl/>
              <w:suppressLineNumbers w:val="0"/>
              <w:wordWrap/>
              <w:overflowPunct/>
              <w:topLinePunct w:val="0"/>
              <w:autoSpaceDE w:val="0"/>
              <w:autoSpaceDN w:val="0"/>
              <w:bidi w:val="0"/>
              <w:adjustRightIn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氧化性</w:t>
            </w:r>
          </w:p>
        </w:tc>
      </w:tr>
      <w:tr w14:paraId="22451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512" w:type="dxa"/>
            <w:tcBorders>
              <w:top w:val="single" w:color="000000" w:sz="4" w:space="0"/>
              <w:left w:val="single" w:color="000000" w:sz="4" w:space="0"/>
              <w:bottom w:val="single" w:color="000000" w:sz="4" w:space="0"/>
              <w:right w:val="single" w:color="000000" w:sz="4" w:space="0"/>
            </w:tcBorders>
            <w:noWrap/>
            <w:vAlign w:val="center"/>
          </w:tcPr>
          <w:p w14:paraId="5C41D497">
            <w:pPr>
              <w:keepNext w:val="0"/>
              <w:keepLines w:val="0"/>
              <w:pageBreakBefore w:val="0"/>
              <w:widowControl/>
              <w:suppressLineNumbers w:val="0"/>
              <w:wordWrap/>
              <w:overflowPunct/>
              <w:topLinePunct w:val="0"/>
              <w:autoSpaceDE w:val="0"/>
              <w:autoSpaceDN w:val="0"/>
              <w:bidi w:val="0"/>
              <w:adjustRightIn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77727839">
            <w:pPr>
              <w:keepNext w:val="0"/>
              <w:keepLines w:val="0"/>
              <w:pageBreakBefore w:val="0"/>
              <w:widowControl/>
              <w:suppressLineNumbers w:val="0"/>
              <w:wordWrap/>
              <w:overflowPunct/>
              <w:topLinePunct w:val="0"/>
              <w:autoSpaceDE w:val="0"/>
              <w:autoSpaceDN w:val="0"/>
              <w:bidi w:val="0"/>
              <w:adjustRightIn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g/cm³</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7AE303D1">
            <w:pPr>
              <w:keepNext w:val="0"/>
              <w:keepLines w:val="0"/>
              <w:pageBreakBefore w:val="0"/>
              <w:widowControl/>
              <w:suppressLineNumbers w:val="0"/>
              <w:wordWrap/>
              <w:overflowPunct/>
              <w:topLinePunct w:val="0"/>
              <w:autoSpaceDE w:val="0"/>
              <w:autoSpaceDN w:val="0"/>
              <w:bidi w:val="0"/>
              <w:adjustRightIn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μΩm</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1062A0AE">
            <w:pPr>
              <w:keepNext w:val="0"/>
              <w:keepLines w:val="0"/>
              <w:pageBreakBefore w:val="0"/>
              <w:widowControl/>
              <w:suppressLineNumbers w:val="0"/>
              <w:wordWrap/>
              <w:overflowPunct/>
              <w:topLinePunct w:val="0"/>
              <w:autoSpaceDE w:val="0"/>
              <w:autoSpaceDN w:val="0"/>
              <w:bidi w:val="0"/>
              <w:adjustRightIn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Mpa</w:t>
            </w:r>
          </w:p>
        </w:tc>
        <w:tc>
          <w:tcPr>
            <w:tcW w:w="1145" w:type="dxa"/>
            <w:tcBorders>
              <w:top w:val="single" w:color="000000" w:sz="4" w:space="0"/>
              <w:left w:val="single" w:color="000000" w:sz="4" w:space="0"/>
              <w:bottom w:val="single" w:color="000000" w:sz="4" w:space="0"/>
              <w:right w:val="single" w:color="000000" w:sz="4" w:space="0"/>
            </w:tcBorders>
            <w:noWrap/>
            <w:vAlign w:val="center"/>
          </w:tcPr>
          <w:p w14:paraId="6B84AA7C">
            <w:pPr>
              <w:keepNext w:val="0"/>
              <w:keepLines w:val="0"/>
              <w:pageBreakBefore w:val="0"/>
              <w:widowControl/>
              <w:suppressLineNumbers w:val="0"/>
              <w:wordWrap/>
              <w:overflowPunct/>
              <w:topLinePunct w:val="0"/>
              <w:autoSpaceDE w:val="0"/>
              <w:autoSpaceDN w:val="0"/>
              <w:bidi w:val="0"/>
              <w:adjustRightIn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Mpa</w:t>
            </w:r>
          </w:p>
        </w:tc>
        <w:tc>
          <w:tcPr>
            <w:tcW w:w="943" w:type="dxa"/>
            <w:tcBorders>
              <w:top w:val="single" w:color="000000" w:sz="4" w:space="0"/>
              <w:left w:val="single" w:color="000000" w:sz="4" w:space="0"/>
              <w:bottom w:val="single" w:color="000000" w:sz="4" w:space="0"/>
              <w:right w:val="single" w:color="000000" w:sz="4" w:space="0"/>
            </w:tcBorders>
            <w:noWrap/>
            <w:vAlign w:val="center"/>
          </w:tcPr>
          <w:p w14:paraId="109935B0">
            <w:pPr>
              <w:keepNext w:val="0"/>
              <w:keepLines w:val="0"/>
              <w:pageBreakBefore w:val="0"/>
              <w:widowControl/>
              <w:suppressLineNumbers w:val="0"/>
              <w:wordWrap/>
              <w:overflowPunct/>
              <w:topLinePunct w:val="0"/>
              <w:autoSpaceDE w:val="0"/>
              <w:autoSpaceDN w:val="0"/>
              <w:bidi w:val="0"/>
              <w:adjustRightIn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PPM</w:t>
            </w: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25F1F271">
            <w:pPr>
              <w:keepNext w:val="0"/>
              <w:keepLines w:val="0"/>
              <w:pageBreakBefore w:val="0"/>
              <w:widowControl/>
              <w:suppressLineNumbers w:val="0"/>
              <w:wordWrap/>
              <w:overflowPunct/>
              <w:topLinePunct w:val="0"/>
              <w:autoSpaceDE w:val="0"/>
              <w:autoSpaceDN w:val="0"/>
              <w:bidi w:val="0"/>
              <w:adjustRightIn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noWrap/>
            <w:vAlign w:val="center"/>
          </w:tcPr>
          <w:p w14:paraId="147BFF32">
            <w:pPr>
              <w:keepNext w:val="0"/>
              <w:keepLines w:val="0"/>
              <w:pageBreakBefore w:val="0"/>
              <w:widowControl/>
              <w:suppressLineNumbers w:val="0"/>
              <w:wordWrap/>
              <w:overflowPunct/>
              <w:topLinePunct w:val="0"/>
              <w:autoSpaceDE w:val="0"/>
              <w:autoSpaceDN w:val="0"/>
              <w:bidi w:val="0"/>
              <w:adjustRightIn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mg/(g.h)</w:t>
            </w:r>
          </w:p>
        </w:tc>
      </w:tr>
      <w:tr w14:paraId="22B4E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512" w:type="dxa"/>
            <w:tcBorders>
              <w:top w:val="single" w:color="000000" w:sz="4" w:space="0"/>
              <w:left w:val="single" w:color="000000" w:sz="4" w:space="0"/>
              <w:bottom w:val="single" w:color="000000" w:sz="4" w:space="0"/>
              <w:right w:val="single" w:color="000000" w:sz="4" w:space="0"/>
            </w:tcBorders>
            <w:noWrap/>
            <w:vAlign w:val="center"/>
          </w:tcPr>
          <w:p w14:paraId="206BB1BC">
            <w:pPr>
              <w:keepNext w:val="0"/>
              <w:keepLines w:val="0"/>
              <w:pageBreakBefore w:val="0"/>
              <w:widowControl/>
              <w:suppressLineNumbers w:val="0"/>
              <w:wordWrap/>
              <w:overflowPunct/>
              <w:topLinePunct w:val="0"/>
              <w:autoSpaceDE w:val="0"/>
              <w:autoSpaceDN w:val="0"/>
              <w:bidi w:val="0"/>
              <w:adjustRightInd w:val="0"/>
              <w:spacing w:line="36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数值</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60027315">
            <w:pPr>
              <w:keepNext w:val="0"/>
              <w:keepLines w:val="0"/>
              <w:pageBreakBefore w:val="0"/>
              <w:widowControl/>
              <w:suppressLineNumbers w:val="0"/>
              <w:wordWrap/>
              <w:overflowPunct/>
              <w:topLinePunct w:val="0"/>
              <w:autoSpaceDE w:val="0"/>
              <w:autoSpaceDN w:val="0"/>
              <w:bidi w:val="0"/>
              <w:adjustRightInd w:val="0"/>
              <w:spacing w:line="360" w:lineRule="auto"/>
              <w:jc w:val="center"/>
              <w:textAlignment w:val="center"/>
              <w:rPr>
                <w:rFonts w:hint="eastAsia" w:ascii="仿宋" w:hAnsi="仿宋" w:eastAsia="仿宋" w:cs="仿宋"/>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1FDF81B">
            <w:pPr>
              <w:keepNext w:val="0"/>
              <w:keepLines w:val="0"/>
              <w:pageBreakBefore w:val="0"/>
              <w:widowControl/>
              <w:suppressLineNumbers w:val="0"/>
              <w:wordWrap/>
              <w:overflowPunct/>
              <w:topLinePunct w:val="0"/>
              <w:autoSpaceDE w:val="0"/>
              <w:autoSpaceDN w:val="0"/>
              <w:bidi w:val="0"/>
              <w:adjustRightInd w:val="0"/>
              <w:spacing w:line="36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41BD2E15">
            <w:pPr>
              <w:keepNext w:val="0"/>
              <w:keepLines w:val="0"/>
              <w:pageBreakBefore w:val="0"/>
              <w:widowControl/>
              <w:suppressLineNumbers w:val="0"/>
              <w:wordWrap/>
              <w:overflowPunct/>
              <w:topLinePunct w:val="0"/>
              <w:autoSpaceDE w:val="0"/>
              <w:autoSpaceDN w:val="0"/>
              <w:bidi w:val="0"/>
              <w:adjustRightInd w:val="0"/>
              <w:spacing w:line="360" w:lineRule="auto"/>
              <w:jc w:val="center"/>
              <w:textAlignment w:val="center"/>
              <w:rPr>
                <w:rFonts w:hint="eastAsia" w:ascii="仿宋" w:hAnsi="仿宋" w:eastAsia="仿宋" w:cs="仿宋"/>
                <w:i w:val="0"/>
                <w:iCs w:val="0"/>
                <w:color w:val="000000"/>
                <w:sz w:val="24"/>
                <w:szCs w:val="24"/>
                <w:u w:val="none"/>
              </w:rPr>
            </w:pPr>
          </w:p>
        </w:tc>
        <w:tc>
          <w:tcPr>
            <w:tcW w:w="1145" w:type="dxa"/>
            <w:tcBorders>
              <w:top w:val="single" w:color="000000" w:sz="4" w:space="0"/>
              <w:left w:val="single" w:color="000000" w:sz="4" w:space="0"/>
              <w:bottom w:val="single" w:color="000000" w:sz="4" w:space="0"/>
              <w:right w:val="single" w:color="000000" w:sz="4" w:space="0"/>
            </w:tcBorders>
            <w:noWrap/>
            <w:vAlign w:val="center"/>
          </w:tcPr>
          <w:p w14:paraId="33835E1B">
            <w:pPr>
              <w:keepNext w:val="0"/>
              <w:keepLines w:val="0"/>
              <w:pageBreakBefore w:val="0"/>
              <w:widowControl/>
              <w:suppressLineNumbers w:val="0"/>
              <w:wordWrap/>
              <w:overflowPunct/>
              <w:topLinePunct w:val="0"/>
              <w:autoSpaceDE w:val="0"/>
              <w:autoSpaceDN w:val="0"/>
              <w:bidi w:val="0"/>
              <w:adjustRightInd w:val="0"/>
              <w:spacing w:line="360" w:lineRule="auto"/>
              <w:jc w:val="center"/>
              <w:textAlignment w:val="center"/>
              <w:rPr>
                <w:rFonts w:hint="eastAsia" w:ascii="仿宋" w:hAnsi="仿宋" w:eastAsia="仿宋" w:cs="仿宋"/>
                <w:i w:val="0"/>
                <w:iCs w:val="0"/>
                <w:color w:val="000000"/>
                <w:sz w:val="24"/>
                <w:szCs w:val="24"/>
                <w:u w:val="none"/>
              </w:rPr>
            </w:pPr>
          </w:p>
        </w:tc>
        <w:tc>
          <w:tcPr>
            <w:tcW w:w="943" w:type="dxa"/>
            <w:tcBorders>
              <w:top w:val="single" w:color="000000" w:sz="4" w:space="0"/>
              <w:left w:val="single" w:color="000000" w:sz="4" w:space="0"/>
              <w:bottom w:val="single" w:color="000000" w:sz="4" w:space="0"/>
              <w:right w:val="single" w:color="000000" w:sz="4" w:space="0"/>
            </w:tcBorders>
            <w:noWrap/>
            <w:vAlign w:val="center"/>
          </w:tcPr>
          <w:p w14:paraId="5EF3901E">
            <w:pPr>
              <w:keepNext w:val="0"/>
              <w:keepLines w:val="0"/>
              <w:pageBreakBefore w:val="0"/>
              <w:widowControl/>
              <w:suppressLineNumbers w:val="0"/>
              <w:wordWrap/>
              <w:overflowPunct/>
              <w:topLinePunct w:val="0"/>
              <w:autoSpaceDE w:val="0"/>
              <w:autoSpaceDN w:val="0"/>
              <w:bidi w:val="0"/>
              <w:adjustRightInd w:val="0"/>
              <w:spacing w:line="360" w:lineRule="auto"/>
              <w:jc w:val="center"/>
              <w:textAlignment w:val="center"/>
              <w:rPr>
                <w:rFonts w:hint="eastAsia" w:ascii="仿宋" w:hAnsi="仿宋" w:eastAsia="仿宋" w:cs="仿宋"/>
                <w:i w:val="0"/>
                <w:iCs w:val="0"/>
                <w:color w:val="000000"/>
                <w:sz w:val="24"/>
                <w:szCs w:val="24"/>
                <w:u w:val="none"/>
              </w:rPr>
            </w:pP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10DC95CB">
            <w:pPr>
              <w:keepNext w:val="0"/>
              <w:keepLines w:val="0"/>
              <w:pageBreakBefore w:val="0"/>
              <w:widowControl/>
              <w:suppressLineNumbers w:val="0"/>
              <w:wordWrap/>
              <w:overflowPunct/>
              <w:topLinePunct w:val="0"/>
              <w:autoSpaceDE w:val="0"/>
              <w:autoSpaceDN w:val="0"/>
              <w:bidi w:val="0"/>
              <w:adjustRightInd w:val="0"/>
              <w:spacing w:line="360" w:lineRule="auto"/>
              <w:jc w:val="center"/>
              <w:textAlignment w:val="center"/>
              <w:rPr>
                <w:rFonts w:hint="eastAsia" w:ascii="仿宋" w:hAnsi="仿宋" w:eastAsia="仿宋" w:cs="仿宋"/>
                <w:i w:val="0"/>
                <w:iCs w:val="0"/>
                <w:color w:val="000000"/>
                <w:sz w:val="24"/>
                <w:szCs w:val="24"/>
                <w:u w:val="none"/>
              </w:rPr>
            </w:pPr>
          </w:p>
        </w:tc>
        <w:tc>
          <w:tcPr>
            <w:tcW w:w="1337" w:type="dxa"/>
            <w:tcBorders>
              <w:top w:val="single" w:color="000000" w:sz="4" w:space="0"/>
              <w:left w:val="single" w:color="000000" w:sz="4" w:space="0"/>
              <w:bottom w:val="single" w:color="000000" w:sz="4" w:space="0"/>
              <w:right w:val="single" w:color="000000" w:sz="4" w:space="0"/>
            </w:tcBorders>
            <w:noWrap/>
            <w:vAlign w:val="center"/>
          </w:tcPr>
          <w:p w14:paraId="66FD7CB9">
            <w:pPr>
              <w:keepNext w:val="0"/>
              <w:keepLines w:val="0"/>
              <w:pageBreakBefore w:val="0"/>
              <w:widowControl/>
              <w:suppressLineNumbers w:val="0"/>
              <w:wordWrap/>
              <w:overflowPunct/>
              <w:topLinePunct w:val="0"/>
              <w:autoSpaceDE w:val="0"/>
              <w:autoSpaceDN w:val="0"/>
              <w:bidi w:val="0"/>
              <w:adjustRightInd w:val="0"/>
              <w:spacing w:line="360" w:lineRule="auto"/>
              <w:jc w:val="center"/>
              <w:textAlignment w:val="center"/>
              <w:rPr>
                <w:rFonts w:hint="eastAsia" w:ascii="仿宋" w:hAnsi="仿宋" w:eastAsia="仿宋" w:cs="仿宋"/>
                <w:i w:val="0"/>
                <w:iCs w:val="0"/>
                <w:color w:val="000000"/>
                <w:sz w:val="24"/>
                <w:szCs w:val="24"/>
                <w:u w:val="none"/>
              </w:rPr>
            </w:pPr>
          </w:p>
        </w:tc>
      </w:tr>
    </w:tbl>
    <w:p w14:paraId="1F220F19">
      <w:pPr>
        <w:keepNext w:val="0"/>
        <w:keepLines w:val="0"/>
        <w:pageBreakBefore w:val="0"/>
        <w:kinsoku/>
        <w:wordWrap/>
        <w:overflowPunct/>
        <w:topLinePunct w:val="0"/>
        <w:autoSpaceDE w:val="0"/>
        <w:autoSpaceDN w:val="0"/>
        <w:bidi w:val="0"/>
        <w:adjustRightInd w:val="0"/>
        <w:spacing w:line="360" w:lineRule="auto"/>
        <w:ind w:firstLine="960" w:firstLineChars="40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2、若产品加工时出现裂纹、崩边、气孔、沙眼、麻裂、蜂窝裂等质量问题，</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lang w:val="zh-CN"/>
        </w:rPr>
        <w:t>方无条件退货，退货的往返运费均由</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lang w:val="zh-CN"/>
        </w:rPr>
        <w:t>方承担。</w:t>
      </w:r>
    </w:p>
    <w:p w14:paraId="5B4B4615">
      <w:pPr>
        <w:keepNext w:val="0"/>
        <w:keepLines w:val="0"/>
        <w:pageBreakBefore w:val="0"/>
        <w:kinsoku/>
        <w:wordWrap/>
        <w:overflowPunct/>
        <w:topLinePunct w:val="0"/>
        <w:autoSpaceDE w:val="0"/>
        <w:autoSpaceDN w:val="0"/>
        <w:bidi w:val="0"/>
        <w:adjustRightInd w:val="0"/>
        <w:spacing w:line="360" w:lineRule="auto"/>
        <w:ind w:left="479"/>
        <w:outlineLvl w:val="0"/>
        <w:rPr>
          <w:rFonts w:hint="eastAsia" w:ascii="仿宋" w:hAnsi="仿宋" w:eastAsia="仿宋" w:cs="仿宋"/>
          <w:kern w:val="0"/>
          <w:sz w:val="24"/>
          <w:szCs w:val="24"/>
          <w:lang w:val="zh-CN"/>
        </w:rPr>
      </w:pPr>
      <w:bookmarkStart w:id="111" w:name="_Toc27460"/>
      <w:bookmarkStart w:id="112" w:name="_Toc14603"/>
      <w:bookmarkStart w:id="113" w:name="_Toc3439"/>
      <w:bookmarkStart w:id="114" w:name="_Toc31312"/>
      <w:bookmarkStart w:id="115" w:name="_Toc11962"/>
      <w:r>
        <w:rPr>
          <w:rFonts w:hint="eastAsia" w:ascii="仿宋" w:hAnsi="仿宋" w:eastAsia="仿宋" w:cs="仿宋"/>
          <w:kern w:val="0"/>
          <w:sz w:val="24"/>
          <w:szCs w:val="24"/>
          <w:lang w:val="zh-CN"/>
        </w:rPr>
        <w:t>三、交货方式、交货地点、履行地点、接收单位：</w:t>
      </w:r>
      <w:bookmarkEnd w:id="111"/>
      <w:bookmarkEnd w:id="112"/>
      <w:bookmarkEnd w:id="113"/>
      <w:bookmarkEnd w:id="114"/>
      <w:bookmarkEnd w:id="115"/>
    </w:p>
    <w:p w14:paraId="4411FB42">
      <w:pPr>
        <w:keepNext w:val="0"/>
        <w:keepLines w:val="0"/>
        <w:pageBreakBefore w:val="0"/>
        <w:kinsoku/>
        <w:wordWrap/>
        <w:overflowPunct/>
        <w:topLinePunct w:val="0"/>
        <w:autoSpaceDE w:val="0"/>
        <w:autoSpaceDN w:val="0"/>
        <w:bidi w:val="0"/>
        <w:adjustRightInd w:val="0"/>
        <w:spacing w:line="360" w:lineRule="auto"/>
        <w:ind w:firstLine="480" w:firstLineChars="20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1、交货方式：由</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lang w:val="zh-CN"/>
        </w:rPr>
        <w:t>方代办托运至指定地点，运费、</w:t>
      </w:r>
      <w:r>
        <w:rPr>
          <w:rFonts w:hint="eastAsia" w:ascii="仿宋" w:hAnsi="仿宋" w:eastAsia="仿宋" w:cs="仿宋"/>
          <w:kern w:val="0"/>
          <w:sz w:val="24"/>
          <w:szCs w:val="24"/>
          <w:lang w:val="en-US" w:eastAsia="zh-CN"/>
        </w:rPr>
        <w:t>过磅</w:t>
      </w:r>
      <w:r>
        <w:rPr>
          <w:rFonts w:hint="eastAsia" w:ascii="仿宋" w:hAnsi="仿宋" w:eastAsia="仿宋" w:cs="仿宋"/>
          <w:kern w:val="0"/>
          <w:sz w:val="24"/>
          <w:szCs w:val="24"/>
          <w:lang w:val="zh-CN"/>
        </w:rPr>
        <w:t>费、和运输保险等费用由</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lang w:val="zh-CN"/>
        </w:rPr>
        <w:t>方承担。</w:t>
      </w:r>
    </w:p>
    <w:p w14:paraId="419D013F">
      <w:pPr>
        <w:keepNext w:val="0"/>
        <w:keepLines w:val="0"/>
        <w:pageBreakBefore w:val="0"/>
        <w:kinsoku/>
        <w:wordWrap/>
        <w:overflowPunct/>
        <w:topLinePunct w:val="0"/>
        <w:autoSpaceDE w:val="0"/>
        <w:autoSpaceDN w:val="0"/>
        <w:bidi w:val="0"/>
        <w:adjustRightInd w:val="0"/>
        <w:spacing w:line="360" w:lineRule="auto"/>
        <w:ind w:firstLine="480" w:firstLineChars="200"/>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zh-CN"/>
        </w:rPr>
        <w:t>2、交货地点：福建省三明市沙县区金沙园创新东路413号</w:t>
      </w:r>
      <w:r>
        <w:rPr>
          <w:rFonts w:hint="eastAsia" w:ascii="仿宋" w:hAnsi="仿宋" w:eastAsia="仿宋" w:cs="仿宋"/>
          <w:kern w:val="0"/>
          <w:sz w:val="24"/>
          <w:szCs w:val="24"/>
          <w:lang w:val="en-US" w:eastAsia="zh-CN"/>
        </w:rPr>
        <w:t>11</w:t>
      </w:r>
      <w:r>
        <w:rPr>
          <w:rFonts w:hint="eastAsia" w:ascii="仿宋" w:hAnsi="仿宋" w:eastAsia="仿宋" w:cs="仿宋"/>
          <w:kern w:val="0"/>
          <w:sz w:val="24"/>
          <w:szCs w:val="24"/>
          <w:lang w:val="zh-CN"/>
        </w:rPr>
        <w:t>#厂房</w:t>
      </w:r>
      <w:r>
        <w:rPr>
          <w:rFonts w:hint="eastAsia" w:ascii="仿宋" w:hAnsi="仿宋" w:eastAsia="仿宋" w:cs="仿宋"/>
          <w:kern w:val="0"/>
          <w:sz w:val="24"/>
          <w:szCs w:val="24"/>
          <w:lang w:val="en-US" w:eastAsia="zh-CN"/>
        </w:rPr>
        <w:t>,任国慧13375907372 。</w:t>
      </w:r>
    </w:p>
    <w:p w14:paraId="46080098">
      <w:pPr>
        <w:keepNext w:val="0"/>
        <w:keepLines w:val="0"/>
        <w:pageBreakBefore w:val="0"/>
        <w:kinsoku/>
        <w:wordWrap/>
        <w:overflowPunct/>
        <w:topLinePunct w:val="0"/>
        <w:autoSpaceDE w:val="0"/>
        <w:autoSpaceDN w:val="0"/>
        <w:bidi w:val="0"/>
        <w:adjustRightInd w:val="0"/>
        <w:spacing w:line="360" w:lineRule="auto"/>
        <w:ind w:firstLine="480" w:firstLineChars="20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3、履行地点：</w:t>
      </w:r>
      <w:r>
        <w:rPr>
          <w:rFonts w:hint="eastAsia" w:ascii="仿宋" w:hAnsi="仿宋" w:eastAsia="仿宋" w:cs="仿宋"/>
          <w:kern w:val="0"/>
          <w:sz w:val="24"/>
          <w:szCs w:val="24"/>
          <w:lang w:val="en-US" w:eastAsia="zh-CN"/>
        </w:rPr>
        <w:t xml:space="preserve">福建省三明市沙县区 </w:t>
      </w:r>
      <w:r>
        <w:rPr>
          <w:rFonts w:hint="eastAsia" w:ascii="仿宋" w:hAnsi="仿宋" w:eastAsia="仿宋" w:cs="仿宋"/>
          <w:kern w:val="0"/>
          <w:sz w:val="24"/>
          <w:szCs w:val="24"/>
          <w:lang w:val="zh-CN"/>
        </w:rPr>
        <w:t xml:space="preserve"> </w:t>
      </w:r>
    </w:p>
    <w:p w14:paraId="6E8FCD4C">
      <w:pPr>
        <w:keepNext w:val="0"/>
        <w:keepLines w:val="0"/>
        <w:pageBreakBefore w:val="0"/>
        <w:kinsoku/>
        <w:wordWrap/>
        <w:overflowPunct/>
        <w:topLinePunct w:val="0"/>
        <w:autoSpaceDE w:val="0"/>
        <w:autoSpaceDN w:val="0"/>
        <w:bidi w:val="0"/>
        <w:adjustRightInd w:val="0"/>
        <w:spacing w:line="360" w:lineRule="auto"/>
        <w:ind w:firstLine="480" w:firstLineChars="200"/>
        <w:rPr>
          <w:rFonts w:hint="eastAsia" w:ascii="仿宋" w:hAnsi="仿宋" w:eastAsia="仿宋" w:cs="仿宋"/>
          <w:kern w:val="0"/>
          <w:sz w:val="24"/>
          <w:szCs w:val="24"/>
          <w:lang w:val="zh-CN"/>
        </w:rPr>
      </w:pPr>
      <w:r>
        <w:rPr>
          <w:rFonts w:hint="eastAsia" w:ascii="仿宋" w:hAnsi="仿宋" w:eastAsia="仿宋" w:cs="仿宋"/>
          <w:kern w:val="0"/>
          <w:sz w:val="24"/>
          <w:szCs w:val="24"/>
          <w:highlight w:val="none"/>
          <w:lang w:val="zh-CN"/>
        </w:rPr>
        <w:t>4.供货清单：</w:t>
      </w:r>
      <w:r>
        <w:rPr>
          <w:rFonts w:hint="eastAsia" w:ascii="仿宋" w:hAnsi="仿宋" w:eastAsia="仿宋" w:cs="仿宋"/>
          <w:kern w:val="0"/>
          <w:sz w:val="24"/>
          <w:szCs w:val="24"/>
          <w:highlight w:val="none"/>
          <w:lang w:val="en-US" w:eastAsia="zh-CN"/>
        </w:rPr>
        <w:t>送货单、过磅单</w:t>
      </w:r>
      <w:r>
        <w:rPr>
          <w:rFonts w:hint="eastAsia" w:ascii="仿宋" w:hAnsi="仿宋" w:eastAsia="仿宋" w:cs="仿宋"/>
          <w:kern w:val="0"/>
          <w:sz w:val="24"/>
          <w:szCs w:val="24"/>
          <w:lang w:val="zh-CN"/>
        </w:rPr>
        <w:t>。</w:t>
      </w:r>
    </w:p>
    <w:p w14:paraId="4030DBA6">
      <w:pPr>
        <w:keepNext w:val="0"/>
        <w:keepLines w:val="0"/>
        <w:pageBreakBefore w:val="0"/>
        <w:kinsoku/>
        <w:wordWrap/>
        <w:overflowPunct/>
        <w:topLinePunct w:val="0"/>
        <w:autoSpaceDE w:val="0"/>
        <w:autoSpaceDN w:val="0"/>
        <w:bidi w:val="0"/>
        <w:adjustRightInd w:val="0"/>
        <w:spacing w:line="360" w:lineRule="auto"/>
        <w:ind w:firstLine="480"/>
        <w:outlineLvl w:val="0"/>
        <w:rPr>
          <w:rFonts w:hint="eastAsia" w:ascii="仿宋" w:hAnsi="仿宋" w:eastAsia="仿宋" w:cs="仿宋"/>
          <w:kern w:val="0"/>
          <w:sz w:val="24"/>
          <w:szCs w:val="24"/>
          <w:lang w:val="en-US" w:eastAsia="zh-CN"/>
        </w:rPr>
      </w:pPr>
      <w:bookmarkStart w:id="116" w:name="_Toc27088"/>
      <w:bookmarkStart w:id="117" w:name="_Toc1247"/>
      <w:bookmarkStart w:id="118" w:name="_Toc905"/>
      <w:bookmarkStart w:id="119" w:name="_Toc25410"/>
      <w:bookmarkStart w:id="120" w:name="_Toc9492"/>
      <w:r>
        <w:rPr>
          <w:rFonts w:hint="eastAsia" w:ascii="仿宋" w:hAnsi="仿宋" w:eastAsia="仿宋" w:cs="仿宋"/>
          <w:kern w:val="0"/>
          <w:sz w:val="24"/>
          <w:szCs w:val="24"/>
          <w:lang w:val="zh-CN"/>
        </w:rPr>
        <w:t>四、交货日期：</w:t>
      </w:r>
      <w:r>
        <w:rPr>
          <w:rFonts w:hint="eastAsia" w:ascii="仿宋" w:hAnsi="仿宋" w:eastAsia="仿宋" w:cs="仿宋"/>
          <w:kern w:val="0"/>
          <w:sz w:val="24"/>
          <w:szCs w:val="24"/>
          <w:lang w:val="en-US" w:eastAsia="zh-CN"/>
        </w:rPr>
        <w:t>合同签订后3天内发出。</w:t>
      </w:r>
      <w:bookmarkEnd w:id="116"/>
      <w:bookmarkEnd w:id="117"/>
      <w:bookmarkEnd w:id="118"/>
      <w:bookmarkEnd w:id="119"/>
      <w:bookmarkEnd w:id="120"/>
    </w:p>
    <w:p w14:paraId="38F68A57">
      <w:pPr>
        <w:keepNext w:val="0"/>
        <w:keepLines w:val="0"/>
        <w:pageBreakBefore w:val="0"/>
        <w:kinsoku/>
        <w:wordWrap/>
        <w:overflowPunct/>
        <w:topLinePunct w:val="0"/>
        <w:autoSpaceDE w:val="0"/>
        <w:autoSpaceDN w:val="0"/>
        <w:bidi w:val="0"/>
        <w:adjustRightInd w:val="0"/>
        <w:spacing w:line="360" w:lineRule="auto"/>
        <w:ind w:left="479"/>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五、包装标准与回收方法：满足运输及甲方要求的包装方式，乙方负责包装并承担包装费用。</w:t>
      </w:r>
    </w:p>
    <w:p w14:paraId="38EFA98A">
      <w:pPr>
        <w:keepNext w:val="0"/>
        <w:keepLines w:val="0"/>
        <w:pageBreakBefore w:val="0"/>
        <w:tabs>
          <w:tab w:val="left" w:pos="1200"/>
        </w:tabs>
        <w:kinsoku/>
        <w:wordWrap/>
        <w:overflowPunct/>
        <w:topLinePunct w:val="0"/>
        <w:autoSpaceDE w:val="0"/>
        <w:autoSpaceDN w:val="0"/>
        <w:bidi w:val="0"/>
        <w:adjustRightInd w:val="0"/>
        <w:spacing w:line="360" w:lineRule="auto"/>
        <w:ind w:firstLine="48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六、验收标准及方法：产品按本合同第二条约定的质量标准进行验收，由甲方和乙方共同完成。乙方在验收前必须向甲方提供产品</w:t>
      </w:r>
      <w:r>
        <w:rPr>
          <w:rFonts w:hint="eastAsia" w:ascii="仿宋" w:hAnsi="仿宋" w:eastAsia="仿宋" w:cs="仿宋"/>
          <w:kern w:val="0"/>
          <w:sz w:val="24"/>
          <w:szCs w:val="24"/>
          <w:lang w:val="en-US" w:eastAsia="zh-CN"/>
        </w:rPr>
        <w:t>送货单、过磅单</w:t>
      </w:r>
      <w:r>
        <w:rPr>
          <w:rFonts w:hint="eastAsia" w:ascii="仿宋" w:hAnsi="仿宋" w:eastAsia="仿宋" w:cs="仿宋"/>
          <w:kern w:val="0"/>
          <w:sz w:val="24"/>
          <w:szCs w:val="24"/>
          <w:lang w:val="zh-CN"/>
        </w:rPr>
        <w:t>等资料。</w:t>
      </w:r>
    </w:p>
    <w:p w14:paraId="3700536A">
      <w:pPr>
        <w:keepNext w:val="0"/>
        <w:keepLines w:val="0"/>
        <w:pageBreakBefore w:val="0"/>
        <w:kinsoku/>
        <w:wordWrap/>
        <w:overflowPunct/>
        <w:topLinePunct w:val="0"/>
        <w:autoSpaceDE w:val="0"/>
        <w:autoSpaceDN w:val="0"/>
        <w:bidi w:val="0"/>
        <w:adjustRightInd w:val="0"/>
        <w:spacing w:line="360" w:lineRule="auto"/>
        <w:ind w:left="54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验收规则</w:t>
      </w:r>
    </w:p>
    <w:p w14:paraId="4E3AC0DE">
      <w:pPr>
        <w:keepNext w:val="0"/>
        <w:keepLines w:val="0"/>
        <w:pageBreakBefore w:val="0"/>
        <w:kinsoku/>
        <w:wordWrap/>
        <w:overflowPunct/>
        <w:topLinePunct w:val="0"/>
        <w:autoSpaceDE w:val="0"/>
        <w:autoSpaceDN w:val="0"/>
        <w:bidi w:val="0"/>
        <w:adjustRightInd w:val="0"/>
        <w:spacing w:line="360" w:lineRule="auto"/>
        <w:ind w:firstLine="48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1、验收标准：所有产品均按国家及行业标准的相关规定、本采购文件、谈判文件及投标样品相关内容进行验收。</w:t>
      </w:r>
    </w:p>
    <w:p w14:paraId="0E82A71E">
      <w:pPr>
        <w:keepNext w:val="0"/>
        <w:keepLines w:val="0"/>
        <w:pageBreakBefore w:val="0"/>
        <w:tabs>
          <w:tab w:val="left" w:pos="0"/>
        </w:tabs>
        <w:kinsoku/>
        <w:wordWrap/>
        <w:overflowPunct/>
        <w:topLinePunct w:val="0"/>
        <w:autoSpaceDE w:val="0"/>
        <w:autoSpaceDN w:val="0"/>
        <w:bidi w:val="0"/>
        <w:adjustRightInd w:val="0"/>
        <w:spacing w:line="360" w:lineRule="auto"/>
        <w:ind w:firstLine="48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2、验收程序如下：</w:t>
      </w:r>
    </w:p>
    <w:p w14:paraId="69BCE702">
      <w:pPr>
        <w:keepNext w:val="0"/>
        <w:keepLines w:val="0"/>
        <w:pageBreakBefore w:val="0"/>
        <w:tabs>
          <w:tab w:val="left" w:pos="0"/>
        </w:tabs>
        <w:kinsoku/>
        <w:wordWrap/>
        <w:overflowPunct/>
        <w:topLinePunct w:val="0"/>
        <w:autoSpaceDE w:val="0"/>
        <w:autoSpaceDN w:val="0"/>
        <w:bidi w:val="0"/>
        <w:adjustRightInd w:val="0"/>
        <w:spacing w:line="360" w:lineRule="auto"/>
        <w:ind w:firstLine="48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(1)出厂检验：乙方在产品出厂前，应按产品技术标准规定的检验项目和试验方法进行全面检验。乙方应随同产品出具原产地证书、出厂检验报告及产品质量合格证等，结果必须符合前款验收标准的要求。</w:t>
      </w:r>
    </w:p>
    <w:p w14:paraId="0FCB3584">
      <w:pPr>
        <w:keepNext w:val="0"/>
        <w:keepLines w:val="0"/>
        <w:pageBreakBefore w:val="0"/>
        <w:kinsoku/>
        <w:wordWrap/>
        <w:overflowPunct/>
        <w:topLinePunct w:val="0"/>
        <w:autoSpaceDE w:val="0"/>
        <w:autoSpaceDN w:val="0"/>
        <w:bidi w:val="0"/>
        <w:adjustRightInd w:val="0"/>
        <w:spacing w:line="360" w:lineRule="auto"/>
        <w:ind w:firstLine="480" w:firstLineChars="20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(2）</w:t>
      </w:r>
      <w:r>
        <w:rPr>
          <w:rFonts w:hint="eastAsia" w:ascii="仿宋" w:hAnsi="仿宋" w:eastAsia="仿宋" w:cs="仿宋"/>
          <w:kern w:val="0"/>
          <w:sz w:val="24"/>
          <w:szCs w:val="24"/>
        </w:rPr>
        <w:t>最终验收：</w:t>
      </w:r>
      <w:r>
        <w:rPr>
          <w:rFonts w:hint="eastAsia" w:ascii="仿宋" w:hAnsi="仿宋" w:eastAsia="仿宋" w:cs="仿宋"/>
          <w:kern w:val="0"/>
          <w:sz w:val="24"/>
          <w:szCs w:val="24"/>
          <w:lang w:val="zh-CN"/>
        </w:rPr>
        <w:t>验收时，乙方所供到场货物与本合同约定的质量标准或样品（产品经双方确认后封样各自保存，出现偏差时以样品为准）不相符，甲方可要求退货，退货的往返运费均由乙方承担。</w:t>
      </w:r>
      <w:r>
        <w:rPr>
          <w:rFonts w:hint="eastAsia" w:ascii="仿宋" w:hAnsi="仿宋" w:eastAsia="仿宋" w:cs="仿宋"/>
          <w:kern w:val="0"/>
          <w:sz w:val="24"/>
          <w:szCs w:val="24"/>
          <w:lang w:val="en-US" w:eastAsia="zh-CN"/>
        </w:rPr>
        <w:t>甲</w:t>
      </w:r>
      <w:r>
        <w:rPr>
          <w:rFonts w:hint="eastAsia" w:ascii="仿宋" w:hAnsi="仿宋" w:eastAsia="仿宋" w:cs="仿宋"/>
          <w:kern w:val="0"/>
          <w:sz w:val="24"/>
          <w:szCs w:val="24"/>
          <w:lang w:val="zh-CN"/>
        </w:rPr>
        <w:t>方验收人：王海冰 电话：13606353440。</w:t>
      </w:r>
    </w:p>
    <w:p w14:paraId="1482E6F6">
      <w:pPr>
        <w:keepNext w:val="0"/>
        <w:keepLines w:val="0"/>
        <w:pageBreakBefore w:val="0"/>
        <w:kinsoku/>
        <w:wordWrap/>
        <w:overflowPunct/>
        <w:topLinePunct w:val="0"/>
        <w:autoSpaceDE w:val="0"/>
        <w:autoSpaceDN w:val="0"/>
        <w:bidi w:val="0"/>
        <w:adjustRightInd w:val="0"/>
        <w:spacing w:line="360" w:lineRule="auto"/>
        <w:ind w:firstLine="480"/>
        <w:outlineLvl w:val="0"/>
        <w:rPr>
          <w:rFonts w:hint="eastAsia" w:ascii="仿宋" w:hAnsi="仿宋" w:eastAsia="仿宋" w:cs="仿宋"/>
          <w:kern w:val="0"/>
          <w:sz w:val="24"/>
          <w:szCs w:val="24"/>
          <w:lang w:val="zh-CN"/>
        </w:rPr>
      </w:pPr>
      <w:bookmarkStart w:id="121" w:name="_Toc14045"/>
      <w:bookmarkStart w:id="122" w:name="_Toc15806"/>
      <w:bookmarkStart w:id="123" w:name="_Toc4452"/>
      <w:bookmarkStart w:id="124" w:name="_Toc25848"/>
      <w:bookmarkStart w:id="125" w:name="_Toc12507"/>
      <w:r>
        <w:rPr>
          <w:rFonts w:hint="eastAsia" w:ascii="仿宋" w:hAnsi="仿宋" w:eastAsia="仿宋" w:cs="仿宋"/>
          <w:kern w:val="0"/>
          <w:sz w:val="24"/>
          <w:szCs w:val="24"/>
          <w:lang w:val="zh-CN"/>
        </w:rPr>
        <w:t>七、结算</w:t>
      </w:r>
      <w:r>
        <w:rPr>
          <w:rFonts w:hint="eastAsia" w:ascii="仿宋" w:hAnsi="仿宋" w:eastAsia="仿宋" w:cs="仿宋"/>
          <w:kern w:val="0"/>
          <w:sz w:val="24"/>
          <w:szCs w:val="24"/>
        </w:rPr>
        <w:t>条件与</w:t>
      </w:r>
      <w:r>
        <w:rPr>
          <w:rFonts w:hint="eastAsia" w:ascii="仿宋" w:hAnsi="仿宋" w:eastAsia="仿宋" w:cs="仿宋"/>
          <w:kern w:val="0"/>
          <w:sz w:val="24"/>
          <w:szCs w:val="24"/>
          <w:lang w:val="zh-CN"/>
        </w:rPr>
        <w:t>方式：</w:t>
      </w:r>
      <w:bookmarkEnd w:id="121"/>
      <w:bookmarkEnd w:id="122"/>
      <w:bookmarkEnd w:id="123"/>
      <w:bookmarkEnd w:id="124"/>
      <w:bookmarkEnd w:id="125"/>
    </w:p>
    <w:p w14:paraId="6023147F">
      <w:pPr>
        <w:pStyle w:val="2"/>
        <w:keepNext w:val="0"/>
        <w:keepLines w:val="0"/>
        <w:pageBreakBefore w:val="0"/>
        <w:kinsoku/>
        <w:wordWrap/>
        <w:overflowPunct/>
        <w:topLinePunct w:val="0"/>
        <w:autoSpaceDE w:val="0"/>
        <w:autoSpaceDN w:val="0"/>
        <w:bidi w:val="0"/>
        <w:adjustRightInd w:val="0"/>
        <w:spacing w:line="360" w:lineRule="auto"/>
        <w:ind w:left="0" w:leftChars="0" w:firstLine="48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w:t>
      </w:r>
      <w:r>
        <w:rPr>
          <w:rFonts w:hint="eastAsia" w:ascii="仿宋" w:hAnsi="仿宋" w:eastAsia="仿宋" w:cs="仿宋"/>
          <w:sz w:val="24"/>
          <w:szCs w:val="24"/>
        </w:rPr>
        <w:t>结算条件</w:t>
      </w:r>
    </w:p>
    <w:p w14:paraId="3697C685">
      <w:pPr>
        <w:pStyle w:val="2"/>
        <w:keepNext w:val="0"/>
        <w:keepLines w:val="0"/>
        <w:pageBreakBefore w:val="0"/>
        <w:kinsoku/>
        <w:wordWrap/>
        <w:overflowPunct/>
        <w:topLinePunct w:val="0"/>
        <w:autoSpaceDE w:val="0"/>
        <w:autoSpaceDN w:val="0"/>
        <w:bidi w:val="0"/>
        <w:adjustRightInd w:val="0"/>
        <w:spacing w:line="360" w:lineRule="auto"/>
        <w:ind w:left="0" w:leftChars="0"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货到甲方指定工厂</w:t>
      </w:r>
      <w:r>
        <w:rPr>
          <w:rFonts w:hint="eastAsia" w:ascii="仿宋" w:hAnsi="仿宋" w:eastAsia="仿宋" w:cs="仿宋"/>
          <w:sz w:val="24"/>
          <w:szCs w:val="24"/>
        </w:rPr>
        <w:t>，要求</w:t>
      </w:r>
      <w:r>
        <w:rPr>
          <w:rFonts w:hint="eastAsia" w:ascii="仿宋" w:hAnsi="仿宋" w:eastAsia="仿宋" w:cs="仿宋"/>
          <w:sz w:val="24"/>
          <w:szCs w:val="24"/>
          <w:lang w:val="en-US" w:eastAsia="zh-CN"/>
        </w:rPr>
        <w:t>乙方提供</w:t>
      </w:r>
      <w:r>
        <w:rPr>
          <w:rFonts w:hint="eastAsia" w:ascii="仿宋" w:hAnsi="仿宋" w:eastAsia="仿宋" w:cs="仿宋"/>
          <w:sz w:val="24"/>
          <w:szCs w:val="24"/>
        </w:rPr>
        <w:t>提交下列单证和文件。</w:t>
      </w:r>
    </w:p>
    <w:p w14:paraId="2106E781">
      <w:pPr>
        <w:keepNext w:val="0"/>
        <w:keepLines w:val="0"/>
        <w:pageBreakBefore w:val="0"/>
        <w:kinsoku/>
        <w:wordWrap/>
        <w:overflowPunct/>
        <w:topLinePunct w:val="0"/>
        <w:autoSpaceDE w:val="0"/>
        <w:autoSpaceDN w:val="0"/>
        <w:bidi w:val="0"/>
        <w:adjustRightIn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a.乙方开具合同等额的正式发票。</w:t>
      </w:r>
    </w:p>
    <w:p w14:paraId="316417F6">
      <w:pPr>
        <w:keepNext w:val="0"/>
        <w:keepLines w:val="0"/>
        <w:pageBreakBefore w:val="0"/>
        <w:kinsoku/>
        <w:wordWrap/>
        <w:overflowPunct/>
        <w:topLinePunct w:val="0"/>
        <w:autoSpaceDE w:val="0"/>
        <w:autoSpaceDN w:val="0"/>
        <w:bidi w:val="0"/>
        <w:adjustRightIn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2 </w:t>
      </w:r>
      <w:r>
        <w:rPr>
          <w:rFonts w:hint="eastAsia" w:ascii="仿宋" w:hAnsi="仿宋" w:eastAsia="仿宋" w:cs="仿宋"/>
          <w:sz w:val="24"/>
          <w:szCs w:val="24"/>
          <w:lang w:eastAsia="zh-CN"/>
        </w:rPr>
        <w:t>、</w:t>
      </w:r>
      <w:r>
        <w:rPr>
          <w:rFonts w:hint="eastAsia" w:ascii="仿宋" w:hAnsi="仿宋" w:eastAsia="仿宋" w:cs="仿宋"/>
          <w:sz w:val="24"/>
          <w:szCs w:val="24"/>
        </w:rPr>
        <w:t>结算方式：</w:t>
      </w:r>
      <w:r>
        <w:rPr>
          <w:rFonts w:hint="eastAsia" w:ascii="仿宋" w:hAnsi="仿宋" w:eastAsia="仿宋" w:cs="仿宋"/>
          <w:sz w:val="24"/>
          <w:szCs w:val="24"/>
          <w:lang w:val="en-US" w:eastAsia="zh-CN"/>
        </w:rPr>
        <w:t>货到、票到7个工作日内支付货款。</w:t>
      </w:r>
      <w:r>
        <w:rPr>
          <w:rFonts w:hint="eastAsia" w:ascii="仿宋" w:hAnsi="仿宋" w:eastAsia="仿宋" w:cs="仿宋"/>
          <w:sz w:val="24"/>
          <w:szCs w:val="24"/>
        </w:rPr>
        <w:t>支付方式：</w:t>
      </w:r>
      <w:r>
        <w:rPr>
          <w:rFonts w:hint="eastAsia" w:ascii="仿宋" w:hAnsi="仿宋" w:eastAsia="仿宋" w:cs="仿宋"/>
          <w:sz w:val="24"/>
          <w:szCs w:val="24"/>
          <w:lang w:val="en-US" w:eastAsia="zh-CN"/>
        </w:rPr>
        <w:t>银行承兑汇票。甲方</w:t>
      </w:r>
      <w:r>
        <w:rPr>
          <w:rFonts w:hint="eastAsia" w:ascii="仿宋" w:hAnsi="仿宋" w:eastAsia="仿宋" w:cs="仿宋"/>
          <w:sz w:val="24"/>
          <w:szCs w:val="24"/>
        </w:rPr>
        <w:t>收到货复磅后允许存在±0.3%的磅差，若超出磅差以</w:t>
      </w:r>
      <w:r>
        <w:rPr>
          <w:rFonts w:hint="eastAsia" w:ascii="仿宋" w:hAnsi="仿宋" w:eastAsia="仿宋" w:cs="仿宋"/>
          <w:sz w:val="24"/>
          <w:szCs w:val="24"/>
          <w:lang w:val="en-US" w:eastAsia="zh-CN"/>
        </w:rPr>
        <w:t>甲方</w:t>
      </w:r>
      <w:r>
        <w:rPr>
          <w:rFonts w:hint="eastAsia" w:ascii="仿宋" w:hAnsi="仿宋" w:eastAsia="仿宋" w:cs="仿宋"/>
          <w:sz w:val="24"/>
          <w:szCs w:val="24"/>
        </w:rPr>
        <w:t>实际过磅重量为准。多还少补。</w:t>
      </w:r>
    </w:p>
    <w:p w14:paraId="48735F0C">
      <w:pPr>
        <w:keepNext w:val="0"/>
        <w:keepLines w:val="0"/>
        <w:pageBreakBefore w:val="0"/>
        <w:kinsoku/>
        <w:wordWrap/>
        <w:overflowPunct/>
        <w:topLinePunct w:val="0"/>
        <w:autoSpaceDE w:val="0"/>
        <w:autoSpaceDN w:val="0"/>
        <w:bidi w:val="0"/>
        <w:adjustRightIn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、如</w:t>
      </w:r>
      <w:r>
        <w:rPr>
          <w:rFonts w:hint="eastAsia" w:ascii="仿宋" w:hAnsi="仿宋" w:eastAsia="仿宋" w:cs="仿宋"/>
          <w:sz w:val="24"/>
          <w:szCs w:val="24"/>
          <w:lang w:val="en-US" w:eastAsia="zh-CN"/>
        </w:rPr>
        <w:t>乙</w:t>
      </w:r>
      <w:r>
        <w:rPr>
          <w:rFonts w:hint="eastAsia" w:ascii="仿宋" w:hAnsi="仿宋" w:eastAsia="仿宋" w:cs="仿宋"/>
          <w:sz w:val="24"/>
          <w:szCs w:val="24"/>
        </w:rPr>
        <w:t>方不开具或开具不合格的发票，</w:t>
      </w:r>
      <w:r>
        <w:rPr>
          <w:rFonts w:hint="eastAsia" w:ascii="仿宋" w:hAnsi="仿宋" w:eastAsia="仿宋" w:cs="仿宋"/>
          <w:sz w:val="24"/>
          <w:szCs w:val="24"/>
          <w:lang w:val="en-US" w:eastAsia="zh-CN"/>
        </w:rPr>
        <w:t>甲</w:t>
      </w:r>
      <w:r>
        <w:rPr>
          <w:rFonts w:hint="eastAsia" w:ascii="仿宋" w:hAnsi="仿宋" w:eastAsia="仿宋" w:cs="仿宋"/>
          <w:sz w:val="24"/>
          <w:szCs w:val="24"/>
        </w:rPr>
        <w:t>方有权迟延支付应付款项直至乙方开具合格票据且不承担任何违约责任，且</w:t>
      </w:r>
      <w:r>
        <w:rPr>
          <w:rFonts w:hint="eastAsia" w:ascii="仿宋" w:hAnsi="仿宋" w:eastAsia="仿宋" w:cs="仿宋"/>
          <w:sz w:val="24"/>
          <w:szCs w:val="24"/>
          <w:lang w:val="en-US" w:eastAsia="zh-CN"/>
        </w:rPr>
        <w:t>乙</w:t>
      </w:r>
      <w:r>
        <w:rPr>
          <w:rFonts w:hint="eastAsia" w:ascii="仿宋" w:hAnsi="仿宋" w:eastAsia="仿宋" w:cs="仿宋"/>
          <w:sz w:val="24"/>
          <w:szCs w:val="24"/>
        </w:rPr>
        <w:t>方的各项合同义务仍应按合同约定履行。</w:t>
      </w:r>
    </w:p>
    <w:p w14:paraId="0814A813">
      <w:pPr>
        <w:keepNext w:val="0"/>
        <w:keepLines w:val="0"/>
        <w:pageBreakBefore w:val="0"/>
        <w:kinsoku/>
        <w:wordWrap/>
        <w:overflowPunct/>
        <w:topLinePunct w:val="0"/>
        <w:autoSpaceDE w:val="0"/>
        <w:autoSpaceDN w:val="0"/>
        <w:bidi w:val="0"/>
        <w:adjustRightIn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、由于</w:t>
      </w:r>
      <w:r>
        <w:rPr>
          <w:rFonts w:hint="eastAsia" w:ascii="仿宋" w:hAnsi="仿宋" w:eastAsia="仿宋" w:cs="仿宋"/>
          <w:sz w:val="24"/>
          <w:szCs w:val="24"/>
          <w:lang w:val="en-US" w:eastAsia="zh-CN"/>
        </w:rPr>
        <w:t>乙</w:t>
      </w:r>
      <w:r>
        <w:rPr>
          <w:rFonts w:hint="eastAsia" w:ascii="仿宋" w:hAnsi="仿宋" w:eastAsia="仿宋" w:cs="仿宋"/>
          <w:sz w:val="24"/>
          <w:szCs w:val="24"/>
        </w:rPr>
        <w:t>方开具发票不真实、不合格而引起的一切责任（包括商业责任和法律责任)和损失，由</w:t>
      </w:r>
      <w:r>
        <w:rPr>
          <w:rFonts w:hint="eastAsia" w:ascii="仿宋" w:hAnsi="仿宋" w:eastAsia="仿宋" w:cs="仿宋"/>
          <w:sz w:val="24"/>
          <w:szCs w:val="24"/>
          <w:lang w:val="en-US" w:eastAsia="zh-CN"/>
        </w:rPr>
        <w:t>乙</w:t>
      </w:r>
      <w:r>
        <w:rPr>
          <w:rFonts w:hint="eastAsia" w:ascii="仿宋" w:hAnsi="仿宋" w:eastAsia="仿宋" w:cs="仿宋"/>
          <w:sz w:val="24"/>
          <w:szCs w:val="24"/>
        </w:rPr>
        <w:t>方承担。</w:t>
      </w:r>
    </w:p>
    <w:p w14:paraId="08B832CA">
      <w:pPr>
        <w:keepNext w:val="0"/>
        <w:keepLines w:val="0"/>
        <w:pageBreakBefore w:val="0"/>
        <w:kinsoku/>
        <w:wordWrap/>
        <w:overflowPunct/>
        <w:topLinePunct w:val="0"/>
        <w:autoSpaceDE w:val="0"/>
        <w:autoSpaceDN w:val="0"/>
        <w:bidi w:val="0"/>
        <w:adjustRightInd w:val="0"/>
        <w:spacing w:line="360" w:lineRule="auto"/>
        <w:ind w:firstLine="480"/>
        <w:outlineLvl w:val="0"/>
        <w:rPr>
          <w:rFonts w:hint="eastAsia" w:ascii="仿宋" w:hAnsi="仿宋" w:eastAsia="仿宋" w:cs="仿宋"/>
          <w:kern w:val="0"/>
          <w:sz w:val="24"/>
          <w:szCs w:val="24"/>
          <w:lang w:val="zh-CN"/>
        </w:rPr>
      </w:pPr>
      <w:bookmarkStart w:id="126" w:name="_Toc9235"/>
      <w:bookmarkStart w:id="127" w:name="_Toc28267"/>
      <w:bookmarkStart w:id="128" w:name="_Toc28559"/>
      <w:bookmarkStart w:id="129" w:name="_Toc335"/>
      <w:bookmarkStart w:id="130" w:name="_Toc16798"/>
      <w:r>
        <w:rPr>
          <w:rFonts w:hint="eastAsia" w:ascii="仿宋" w:hAnsi="仿宋" w:eastAsia="仿宋" w:cs="仿宋"/>
          <w:kern w:val="0"/>
          <w:sz w:val="24"/>
          <w:szCs w:val="24"/>
          <w:lang w:val="zh-CN"/>
        </w:rPr>
        <w:t>八、质量保证期：</w:t>
      </w:r>
      <w:bookmarkEnd w:id="126"/>
      <w:bookmarkEnd w:id="127"/>
      <w:bookmarkEnd w:id="128"/>
      <w:bookmarkEnd w:id="129"/>
      <w:bookmarkEnd w:id="130"/>
    </w:p>
    <w:p w14:paraId="3DA7168A">
      <w:pPr>
        <w:keepNext w:val="0"/>
        <w:keepLines w:val="0"/>
        <w:pageBreakBefore w:val="0"/>
        <w:kinsoku/>
        <w:wordWrap/>
        <w:overflowPunct/>
        <w:topLinePunct w:val="0"/>
        <w:autoSpaceDE w:val="0"/>
        <w:autoSpaceDN w:val="0"/>
        <w:bidi w:val="0"/>
        <w:adjustRightInd w:val="0"/>
        <w:spacing w:line="360" w:lineRule="auto"/>
        <w:ind w:firstLine="48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1、质量保证期为：</w:t>
      </w:r>
      <w:r>
        <w:rPr>
          <w:rFonts w:hint="eastAsia" w:ascii="仿宋" w:hAnsi="仿宋" w:eastAsia="仿宋" w:cs="仿宋"/>
          <w:kern w:val="0"/>
          <w:sz w:val="24"/>
          <w:szCs w:val="24"/>
          <w:lang w:val="en-US" w:eastAsia="zh-CN"/>
        </w:rPr>
        <w:t>1</w:t>
      </w:r>
      <w:r>
        <w:rPr>
          <w:rFonts w:hint="eastAsia" w:ascii="仿宋" w:hAnsi="仿宋" w:eastAsia="仿宋" w:cs="仿宋"/>
          <w:kern w:val="0"/>
          <w:sz w:val="24"/>
          <w:szCs w:val="24"/>
          <w:lang w:val="zh-CN"/>
        </w:rPr>
        <w:t>年，从全部材料进场经签收之日起计算，在质保期内出现问题，乙方必须免费予以退换。</w:t>
      </w:r>
    </w:p>
    <w:p w14:paraId="5B413C6A">
      <w:pPr>
        <w:keepNext w:val="0"/>
        <w:keepLines w:val="0"/>
        <w:pageBreakBefore w:val="0"/>
        <w:kinsoku/>
        <w:wordWrap/>
        <w:overflowPunct/>
        <w:topLinePunct w:val="0"/>
        <w:autoSpaceDE w:val="0"/>
        <w:autoSpaceDN w:val="0"/>
        <w:bidi w:val="0"/>
        <w:adjustRightInd w:val="0"/>
        <w:spacing w:line="360" w:lineRule="auto"/>
        <w:ind w:firstLine="480"/>
        <w:outlineLvl w:val="0"/>
        <w:rPr>
          <w:rFonts w:hint="eastAsia" w:ascii="仿宋" w:hAnsi="仿宋" w:eastAsia="仿宋" w:cs="仿宋"/>
          <w:kern w:val="0"/>
          <w:sz w:val="24"/>
          <w:szCs w:val="24"/>
          <w:lang w:val="zh-CN"/>
        </w:rPr>
      </w:pPr>
      <w:bookmarkStart w:id="131" w:name="_Toc13737"/>
      <w:bookmarkStart w:id="132" w:name="_Toc19007"/>
      <w:bookmarkStart w:id="133" w:name="_Toc23506"/>
      <w:bookmarkStart w:id="134" w:name="_Toc19014"/>
      <w:bookmarkStart w:id="135" w:name="_Toc4244"/>
      <w:r>
        <w:rPr>
          <w:rFonts w:hint="eastAsia" w:ascii="仿宋" w:hAnsi="仿宋" w:eastAsia="仿宋" w:cs="仿宋"/>
          <w:kern w:val="0"/>
          <w:sz w:val="24"/>
          <w:szCs w:val="24"/>
          <w:lang w:val="zh-CN"/>
        </w:rPr>
        <w:t>九、产品交接：</w:t>
      </w:r>
      <w:bookmarkEnd w:id="131"/>
      <w:bookmarkEnd w:id="132"/>
      <w:bookmarkEnd w:id="133"/>
      <w:bookmarkEnd w:id="134"/>
      <w:bookmarkEnd w:id="135"/>
    </w:p>
    <w:p w14:paraId="4E02701B">
      <w:pPr>
        <w:keepNext w:val="0"/>
        <w:keepLines w:val="0"/>
        <w:pageBreakBefore w:val="0"/>
        <w:kinsoku/>
        <w:wordWrap/>
        <w:overflowPunct/>
        <w:topLinePunct w:val="0"/>
        <w:autoSpaceDE w:val="0"/>
        <w:autoSpaceDN w:val="0"/>
        <w:bidi w:val="0"/>
        <w:adjustRightInd w:val="0"/>
        <w:spacing w:line="360" w:lineRule="auto"/>
        <w:ind w:firstLine="48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甲方根据产品交接清单清点数量，检查产品外观质量。数量清点当场验收，质量验收以检测结果为准，如外观有明显破损、瑕疵、擦伤等，甲方有权要求退货，延误工期等损失由乙方承担。</w:t>
      </w:r>
    </w:p>
    <w:p w14:paraId="7286FD8F">
      <w:pPr>
        <w:keepNext w:val="0"/>
        <w:keepLines w:val="0"/>
        <w:pageBreakBefore w:val="0"/>
        <w:kinsoku/>
        <w:wordWrap/>
        <w:overflowPunct/>
        <w:topLinePunct w:val="0"/>
        <w:autoSpaceDE w:val="0"/>
        <w:autoSpaceDN w:val="0"/>
        <w:bidi w:val="0"/>
        <w:adjustRightInd w:val="0"/>
        <w:spacing w:line="360" w:lineRule="auto"/>
        <w:ind w:firstLine="480"/>
        <w:outlineLvl w:val="0"/>
        <w:rPr>
          <w:rFonts w:hint="eastAsia" w:ascii="仿宋" w:hAnsi="仿宋" w:eastAsia="仿宋" w:cs="仿宋"/>
          <w:kern w:val="0"/>
          <w:sz w:val="24"/>
          <w:szCs w:val="24"/>
        </w:rPr>
      </w:pPr>
      <w:bookmarkStart w:id="136" w:name="_Toc16217"/>
      <w:bookmarkStart w:id="137" w:name="_Toc32091"/>
      <w:bookmarkStart w:id="138" w:name="_Toc26325"/>
      <w:bookmarkStart w:id="139" w:name="_Toc18658"/>
      <w:bookmarkStart w:id="140" w:name="_Toc12884"/>
      <w:r>
        <w:rPr>
          <w:rFonts w:hint="eastAsia" w:ascii="仿宋" w:hAnsi="仿宋" w:eastAsia="仿宋" w:cs="仿宋"/>
          <w:kern w:val="0"/>
          <w:sz w:val="24"/>
          <w:szCs w:val="24"/>
          <w:lang w:val="zh-CN"/>
        </w:rPr>
        <w:t>十、违</w:t>
      </w:r>
      <w:r>
        <w:rPr>
          <w:rFonts w:hint="eastAsia" w:ascii="仿宋" w:hAnsi="仿宋" w:eastAsia="仿宋" w:cs="仿宋"/>
          <w:kern w:val="0"/>
          <w:sz w:val="24"/>
          <w:szCs w:val="24"/>
        </w:rPr>
        <w:t>约责任：</w:t>
      </w:r>
      <w:bookmarkEnd w:id="136"/>
      <w:bookmarkEnd w:id="137"/>
      <w:bookmarkEnd w:id="138"/>
      <w:bookmarkEnd w:id="139"/>
      <w:bookmarkEnd w:id="140"/>
    </w:p>
    <w:p w14:paraId="17F8837C">
      <w:pPr>
        <w:keepNext w:val="0"/>
        <w:keepLines w:val="0"/>
        <w:pageBreakBefore w:val="0"/>
        <w:kinsoku/>
        <w:wordWrap/>
        <w:overflowPunct/>
        <w:topLinePunct w:val="0"/>
        <w:autoSpaceDE w:val="0"/>
        <w:autoSpaceDN w:val="0"/>
        <w:bidi w:val="0"/>
        <w:adjustRightInd w:val="0"/>
        <w:spacing w:line="360" w:lineRule="auto"/>
        <w:ind w:firstLine="480"/>
        <w:rPr>
          <w:rFonts w:hint="eastAsia" w:ascii="仿宋" w:hAnsi="仿宋" w:eastAsia="仿宋" w:cs="仿宋"/>
          <w:kern w:val="0"/>
          <w:sz w:val="24"/>
          <w:szCs w:val="24"/>
        </w:rPr>
      </w:pPr>
      <w:r>
        <w:rPr>
          <w:rFonts w:hint="eastAsia" w:ascii="仿宋" w:hAnsi="仿宋" w:eastAsia="仿宋" w:cs="仿宋"/>
          <w:kern w:val="0"/>
          <w:sz w:val="24"/>
          <w:szCs w:val="24"/>
        </w:rPr>
        <w:t>1、如果乙方未能按合同规定的时间或双方另行确定的延期交货期按时足额交货的（不可抗力除外），每逾期1天，乙方应按迟交货物金额的1%向甲方支付逾期交货的违约金。若乙方逾期交货达30天（含30天）以上的，甲方有权单方解除本合同，乙方仍应按上述约定支付延期交货违约金。若因此给甲方造成损失的，还应赔偿甲方所受的损失。</w:t>
      </w:r>
    </w:p>
    <w:p w14:paraId="5D8DCE5E">
      <w:pPr>
        <w:keepNext w:val="0"/>
        <w:keepLines w:val="0"/>
        <w:pageBreakBefore w:val="0"/>
        <w:kinsoku/>
        <w:wordWrap/>
        <w:overflowPunct/>
        <w:topLinePunct w:val="0"/>
        <w:autoSpaceDE w:val="0"/>
        <w:autoSpaceDN w:val="0"/>
        <w:bidi w:val="0"/>
        <w:adjustRightInd w:val="0"/>
        <w:spacing w:line="360" w:lineRule="auto"/>
        <w:ind w:firstLine="48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2.若乙方不能交货的（逾期15个工作日视为不能交货，因不可抗拒的因素除外）或交货不合格从而影响甲方正常使用的，乙方应向甲方偿付</w:t>
      </w:r>
      <w:r>
        <w:rPr>
          <w:rFonts w:hint="eastAsia" w:ascii="仿宋" w:hAnsi="仿宋" w:eastAsia="仿宋" w:cs="仿宋"/>
          <w:kern w:val="0"/>
          <w:sz w:val="24"/>
          <w:szCs w:val="24"/>
          <w:highlight w:val="none"/>
          <w:lang w:val="en-US" w:eastAsia="zh-CN"/>
        </w:rPr>
        <w:t>合同总额</w:t>
      </w:r>
      <w:r>
        <w:rPr>
          <w:rFonts w:hint="eastAsia" w:ascii="仿宋" w:hAnsi="仿宋" w:eastAsia="仿宋" w:cs="仿宋"/>
          <w:kern w:val="0"/>
          <w:sz w:val="24"/>
          <w:szCs w:val="24"/>
          <w:highlight w:val="none"/>
        </w:rPr>
        <w:t>10%的违约金。违约金不足以补偿损失的，甲方有权要求乙方赔偿损失。</w:t>
      </w:r>
    </w:p>
    <w:p w14:paraId="1C82F278">
      <w:pPr>
        <w:pStyle w:val="2"/>
        <w:keepNext w:val="0"/>
        <w:keepLines w:val="0"/>
        <w:pageBreakBefore w:val="0"/>
        <w:wordWrap/>
        <w:overflowPunct/>
        <w:topLinePunct w:val="0"/>
        <w:autoSpaceDE w:val="0"/>
        <w:autoSpaceDN w:val="0"/>
        <w:bidi w:val="0"/>
        <w:adjustRightInd w:val="0"/>
        <w:spacing w:line="360" w:lineRule="auto"/>
        <w:ind w:left="0" w:leftChars="0" w:firstLine="480" w:firstLineChars="200"/>
        <w:rPr>
          <w:rFonts w:hint="eastAsia" w:ascii="仿宋" w:hAnsi="仿宋" w:eastAsia="仿宋" w:cs="仿宋"/>
          <w:sz w:val="24"/>
          <w:szCs w:val="24"/>
          <w:highlight w:val="none"/>
          <w:lang w:val="en-US" w:eastAsia="zh-CN"/>
        </w:rPr>
      </w:pPr>
      <w:r>
        <w:rPr>
          <w:rFonts w:hint="eastAsia" w:ascii="仿宋" w:hAnsi="仿宋" w:eastAsia="仿宋" w:cs="仿宋"/>
          <w:kern w:val="0"/>
          <w:sz w:val="24"/>
          <w:szCs w:val="24"/>
          <w:highlight w:val="none"/>
          <w:lang w:val="en-US" w:eastAsia="zh-CN"/>
        </w:rPr>
        <w:t>3、若乙方交付的货物经甲方验收合格后但在质保期内，在甲方在使用过程中发现货物质量不合格，则乙方应向甲方赔偿合同总金额10%的违约金。</w:t>
      </w:r>
    </w:p>
    <w:p w14:paraId="63642786">
      <w:pPr>
        <w:keepNext w:val="0"/>
        <w:keepLines w:val="0"/>
        <w:pageBreakBefore w:val="0"/>
        <w:kinsoku/>
        <w:wordWrap/>
        <w:overflowPunct/>
        <w:topLinePunct w:val="0"/>
        <w:autoSpaceDE w:val="0"/>
        <w:autoSpaceDN w:val="0"/>
        <w:bidi w:val="0"/>
        <w:adjustRightInd w:val="0"/>
        <w:spacing w:line="360" w:lineRule="auto"/>
        <w:ind w:firstLine="480"/>
        <w:outlineLvl w:val="0"/>
        <w:rPr>
          <w:rFonts w:hint="eastAsia" w:ascii="仿宋" w:hAnsi="仿宋" w:eastAsia="仿宋" w:cs="仿宋"/>
          <w:kern w:val="0"/>
          <w:sz w:val="24"/>
          <w:szCs w:val="24"/>
        </w:rPr>
      </w:pPr>
      <w:bookmarkStart w:id="141" w:name="_Toc27259"/>
      <w:bookmarkStart w:id="142" w:name="_Toc1304"/>
      <w:bookmarkStart w:id="143" w:name="_Toc10678"/>
      <w:bookmarkStart w:id="144" w:name="_Toc13162"/>
      <w:bookmarkStart w:id="145" w:name="_Toc5658"/>
      <w:r>
        <w:rPr>
          <w:rFonts w:hint="eastAsia" w:ascii="仿宋" w:hAnsi="仿宋" w:eastAsia="仿宋" w:cs="仿宋"/>
          <w:kern w:val="0"/>
          <w:sz w:val="24"/>
          <w:szCs w:val="24"/>
        </w:rPr>
        <w:t>十</w:t>
      </w:r>
      <w:r>
        <w:rPr>
          <w:rFonts w:hint="eastAsia" w:ascii="仿宋" w:hAnsi="仿宋" w:eastAsia="仿宋" w:cs="仿宋"/>
          <w:kern w:val="0"/>
          <w:sz w:val="24"/>
          <w:szCs w:val="24"/>
          <w:lang w:eastAsia="zh-CN"/>
        </w:rPr>
        <w:t>一</w:t>
      </w:r>
      <w:r>
        <w:rPr>
          <w:rFonts w:hint="eastAsia" w:ascii="仿宋" w:hAnsi="仿宋" w:eastAsia="仿宋" w:cs="仿宋"/>
          <w:kern w:val="0"/>
          <w:sz w:val="24"/>
          <w:szCs w:val="24"/>
        </w:rPr>
        <w:t>、违约终止合同</w:t>
      </w:r>
      <w:bookmarkEnd w:id="141"/>
      <w:bookmarkEnd w:id="142"/>
      <w:bookmarkEnd w:id="143"/>
      <w:bookmarkEnd w:id="144"/>
      <w:bookmarkEnd w:id="145"/>
    </w:p>
    <w:p w14:paraId="701DA015">
      <w:pPr>
        <w:keepNext w:val="0"/>
        <w:keepLines w:val="0"/>
        <w:pageBreakBefore w:val="0"/>
        <w:kinsoku/>
        <w:wordWrap/>
        <w:overflowPunct/>
        <w:topLinePunct w:val="0"/>
        <w:autoSpaceDE w:val="0"/>
        <w:autoSpaceDN w:val="0"/>
        <w:bidi w:val="0"/>
        <w:adjustRightInd w:val="0"/>
        <w:spacing w:line="360" w:lineRule="auto"/>
        <w:ind w:firstLine="480"/>
        <w:rPr>
          <w:rFonts w:hint="eastAsia" w:ascii="仿宋" w:hAnsi="仿宋" w:eastAsia="仿宋" w:cs="仿宋"/>
          <w:kern w:val="0"/>
          <w:sz w:val="24"/>
          <w:szCs w:val="24"/>
        </w:rPr>
      </w:pPr>
      <w:r>
        <w:rPr>
          <w:rFonts w:hint="eastAsia" w:ascii="仿宋" w:hAnsi="仿宋" w:eastAsia="仿宋" w:cs="仿宋"/>
          <w:kern w:val="0"/>
          <w:sz w:val="24"/>
          <w:szCs w:val="24"/>
        </w:rPr>
        <w:t>1</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在补救违约而采取的任何其他措施未能实现的情况下，即在甲方发出的违约通知后30天内（或经甲方书面确认的更长时间内）仍未纠正其下述任何一种违约行为，甲方有权向乙方发出书面违约通知，同时甲方有权单方解除本合同。</w:t>
      </w:r>
    </w:p>
    <w:p w14:paraId="7EBD75D1">
      <w:pPr>
        <w:keepNext w:val="0"/>
        <w:keepLines w:val="0"/>
        <w:pageBreakBefore w:val="0"/>
        <w:kinsoku/>
        <w:wordWrap/>
        <w:overflowPunct/>
        <w:topLinePunct w:val="0"/>
        <w:autoSpaceDE w:val="0"/>
        <w:autoSpaceDN w:val="0"/>
        <w:bidi w:val="0"/>
        <w:adjustRightInd w:val="0"/>
        <w:spacing w:line="360" w:lineRule="auto"/>
        <w:ind w:firstLine="480"/>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2、</w:t>
      </w:r>
      <w:r>
        <w:rPr>
          <w:rFonts w:hint="eastAsia" w:ascii="仿宋" w:hAnsi="仿宋" w:eastAsia="仿宋" w:cs="仿宋"/>
          <w:kern w:val="0"/>
          <w:sz w:val="24"/>
          <w:szCs w:val="24"/>
        </w:rPr>
        <w:t>如果乙方未能在合同规定的期限内或双方另行确定的延期交货时间内交付合同约定的货物。</w:t>
      </w:r>
    </w:p>
    <w:p w14:paraId="6A483101">
      <w:pPr>
        <w:keepNext w:val="0"/>
        <w:keepLines w:val="0"/>
        <w:pageBreakBefore w:val="0"/>
        <w:kinsoku/>
        <w:wordWrap/>
        <w:overflowPunct/>
        <w:topLinePunct w:val="0"/>
        <w:autoSpaceDE w:val="0"/>
        <w:autoSpaceDN w:val="0"/>
        <w:bidi w:val="0"/>
        <w:adjustRightInd w:val="0"/>
        <w:spacing w:line="360" w:lineRule="auto"/>
        <w:ind w:firstLine="480"/>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rPr>
        <w:t>乙方未能履行合同项下的任何其它义务。</w:t>
      </w:r>
    </w:p>
    <w:p w14:paraId="7B5B777A">
      <w:pPr>
        <w:keepNext w:val="0"/>
        <w:keepLines w:val="0"/>
        <w:pageBreakBefore w:val="0"/>
        <w:kinsoku/>
        <w:wordWrap/>
        <w:overflowPunct/>
        <w:topLinePunct w:val="0"/>
        <w:autoSpaceDE w:val="0"/>
        <w:autoSpaceDN w:val="0"/>
        <w:bidi w:val="0"/>
        <w:adjustRightInd w:val="0"/>
        <w:spacing w:line="360" w:lineRule="auto"/>
        <w:ind w:firstLine="480"/>
        <w:rPr>
          <w:rFonts w:hint="eastAsia" w:ascii="仿宋" w:hAnsi="仿宋" w:eastAsia="仿宋" w:cs="仿宋"/>
          <w:sz w:val="24"/>
          <w:szCs w:val="24"/>
          <w:lang w:val="en-US" w:eastAsia="zh-CN"/>
        </w:rPr>
      </w:pPr>
      <w:r>
        <w:rPr>
          <w:rFonts w:hint="eastAsia" w:ascii="仿宋" w:hAnsi="仿宋" w:eastAsia="仿宋" w:cs="仿宋"/>
          <w:kern w:val="0"/>
          <w:sz w:val="24"/>
          <w:szCs w:val="24"/>
          <w:lang w:val="en-US" w:eastAsia="zh-CN"/>
        </w:rPr>
        <w:t>4、</w:t>
      </w:r>
      <w:r>
        <w:rPr>
          <w:rFonts w:hint="eastAsia" w:ascii="仿宋" w:hAnsi="仿宋" w:eastAsia="仿宋" w:cs="仿宋"/>
          <w:kern w:val="0"/>
          <w:sz w:val="24"/>
          <w:szCs w:val="24"/>
          <w:lang w:val="zh-CN"/>
        </w:rPr>
        <w:t>因上述原因造成的合同解除，因</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lang w:val="zh-CN"/>
        </w:rPr>
        <w:t>方责任时应全额退还</w:t>
      </w:r>
      <w:r>
        <w:rPr>
          <w:rFonts w:hint="eastAsia" w:ascii="仿宋" w:hAnsi="仿宋" w:eastAsia="仿宋" w:cs="仿宋"/>
          <w:kern w:val="0"/>
          <w:sz w:val="24"/>
          <w:szCs w:val="24"/>
          <w:lang w:val="en-US" w:eastAsia="zh-CN"/>
        </w:rPr>
        <w:t>甲</w:t>
      </w:r>
      <w:r>
        <w:rPr>
          <w:rFonts w:hint="eastAsia" w:ascii="仿宋" w:hAnsi="仿宋" w:eastAsia="仿宋" w:cs="仿宋"/>
          <w:kern w:val="0"/>
          <w:sz w:val="24"/>
          <w:szCs w:val="24"/>
          <w:lang w:val="zh-CN"/>
        </w:rPr>
        <w:t>方已付货款，并双倍返还合同预付款。当只能提供部分货物时，视为</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lang w:val="zh-CN"/>
        </w:rPr>
        <w:t>方违约，</w:t>
      </w:r>
      <w:r>
        <w:rPr>
          <w:rFonts w:hint="eastAsia" w:ascii="仿宋" w:hAnsi="仿宋" w:eastAsia="仿宋" w:cs="仿宋"/>
          <w:kern w:val="0"/>
          <w:sz w:val="24"/>
          <w:szCs w:val="24"/>
          <w:lang w:val="en-US" w:eastAsia="zh-CN"/>
        </w:rPr>
        <w:t>甲</w:t>
      </w:r>
      <w:r>
        <w:rPr>
          <w:rFonts w:hint="eastAsia" w:ascii="仿宋" w:hAnsi="仿宋" w:eastAsia="仿宋" w:cs="仿宋"/>
          <w:kern w:val="0"/>
          <w:sz w:val="24"/>
          <w:szCs w:val="24"/>
          <w:lang w:val="zh-CN"/>
        </w:rPr>
        <w:t>方可另购其余部分</w:t>
      </w:r>
      <w:r>
        <w:rPr>
          <w:rFonts w:hint="eastAsia" w:ascii="仿宋" w:hAnsi="仿宋" w:eastAsia="仿宋" w:cs="仿宋"/>
          <w:kern w:val="0"/>
          <w:sz w:val="24"/>
          <w:szCs w:val="24"/>
          <w:lang w:val="en-US" w:eastAsia="zh-CN"/>
        </w:rPr>
        <w:t>材料</w:t>
      </w:r>
      <w:r>
        <w:rPr>
          <w:rFonts w:hint="eastAsia" w:ascii="仿宋" w:hAnsi="仿宋" w:eastAsia="仿宋" w:cs="仿宋"/>
          <w:kern w:val="0"/>
          <w:sz w:val="24"/>
          <w:szCs w:val="24"/>
          <w:lang w:val="zh-CN"/>
        </w:rPr>
        <w:t>，</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lang w:val="zh-CN"/>
        </w:rPr>
        <w:t>方应承担购置费用和给</w:t>
      </w:r>
      <w:r>
        <w:rPr>
          <w:rFonts w:hint="eastAsia" w:ascii="仿宋" w:hAnsi="仿宋" w:eastAsia="仿宋" w:cs="仿宋"/>
          <w:kern w:val="0"/>
          <w:sz w:val="24"/>
          <w:szCs w:val="24"/>
          <w:lang w:val="en-US" w:eastAsia="zh-CN"/>
        </w:rPr>
        <w:t>甲</w:t>
      </w:r>
      <w:r>
        <w:rPr>
          <w:rFonts w:hint="eastAsia" w:ascii="仿宋" w:hAnsi="仿宋" w:eastAsia="仿宋" w:cs="仿宋"/>
          <w:kern w:val="0"/>
          <w:sz w:val="24"/>
          <w:szCs w:val="24"/>
          <w:lang w:val="zh-CN"/>
        </w:rPr>
        <w:t>方带来的相关经济损失并按照合同约定向</w:t>
      </w:r>
      <w:r>
        <w:rPr>
          <w:rFonts w:hint="eastAsia" w:ascii="仿宋" w:hAnsi="仿宋" w:eastAsia="仿宋" w:cs="仿宋"/>
          <w:kern w:val="0"/>
          <w:sz w:val="24"/>
          <w:szCs w:val="24"/>
          <w:lang w:val="en-US" w:eastAsia="zh-CN"/>
        </w:rPr>
        <w:t>甲</w:t>
      </w:r>
      <w:r>
        <w:rPr>
          <w:rFonts w:hint="eastAsia" w:ascii="仿宋" w:hAnsi="仿宋" w:eastAsia="仿宋" w:cs="仿宋"/>
          <w:kern w:val="0"/>
          <w:sz w:val="24"/>
          <w:szCs w:val="24"/>
          <w:lang w:val="zh-CN"/>
        </w:rPr>
        <w:t>方支付违约金。</w:t>
      </w:r>
    </w:p>
    <w:p w14:paraId="5864FB3F">
      <w:pPr>
        <w:keepNext w:val="0"/>
        <w:keepLines w:val="0"/>
        <w:pageBreakBefore w:val="0"/>
        <w:kinsoku/>
        <w:wordWrap/>
        <w:overflowPunct/>
        <w:topLinePunct w:val="0"/>
        <w:autoSpaceDE w:val="0"/>
        <w:autoSpaceDN w:val="0"/>
        <w:bidi w:val="0"/>
        <w:adjustRightInd w:val="0"/>
        <w:spacing w:line="360" w:lineRule="auto"/>
        <w:ind w:firstLine="480"/>
        <w:outlineLvl w:val="0"/>
        <w:rPr>
          <w:rFonts w:hint="eastAsia" w:ascii="仿宋" w:hAnsi="仿宋" w:eastAsia="仿宋" w:cs="仿宋"/>
          <w:kern w:val="0"/>
          <w:sz w:val="24"/>
          <w:szCs w:val="24"/>
        </w:rPr>
      </w:pPr>
      <w:bookmarkStart w:id="146" w:name="_Toc21446"/>
      <w:bookmarkStart w:id="147" w:name="_Toc23293"/>
      <w:bookmarkStart w:id="148" w:name="_Toc8305"/>
      <w:bookmarkStart w:id="149" w:name="_Toc12356"/>
      <w:bookmarkStart w:id="150" w:name="_Toc18225"/>
      <w:r>
        <w:rPr>
          <w:rFonts w:hint="eastAsia" w:ascii="仿宋" w:hAnsi="仿宋" w:eastAsia="仿宋" w:cs="仿宋"/>
          <w:kern w:val="0"/>
          <w:sz w:val="24"/>
          <w:szCs w:val="24"/>
          <w:lang w:eastAsia="zh-CN"/>
        </w:rPr>
        <w:t>十二、</w:t>
      </w:r>
      <w:r>
        <w:rPr>
          <w:rFonts w:hint="eastAsia" w:ascii="仿宋" w:hAnsi="仿宋" w:eastAsia="仿宋" w:cs="仿宋"/>
          <w:kern w:val="0"/>
          <w:sz w:val="24"/>
          <w:szCs w:val="24"/>
        </w:rPr>
        <w:t>不可抗力</w:t>
      </w:r>
      <w:bookmarkEnd w:id="146"/>
      <w:bookmarkEnd w:id="147"/>
      <w:bookmarkEnd w:id="148"/>
      <w:bookmarkEnd w:id="149"/>
      <w:bookmarkEnd w:id="150"/>
    </w:p>
    <w:p w14:paraId="07396852">
      <w:pPr>
        <w:keepNext w:val="0"/>
        <w:keepLines w:val="0"/>
        <w:pageBreakBefore w:val="0"/>
        <w:kinsoku/>
        <w:wordWrap/>
        <w:overflowPunct/>
        <w:topLinePunct w:val="0"/>
        <w:autoSpaceDE w:val="0"/>
        <w:autoSpaceDN w:val="0"/>
        <w:bidi w:val="0"/>
        <w:adjustRightInd w:val="0"/>
        <w:spacing w:line="360" w:lineRule="auto"/>
        <w:ind w:firstLine="480"/>
        <w:rPr>
          <w:rFonts w:hint="eastAsia" w:ascii="仿宋" w:hAnsi="仿宋" w:eastAsia="仿宋" w:cs="仿宋"/>
          <w:kern w:val="0"/>
          <w:sz w:val="24"/>
          <w:szCs w:val="24"/>
        </w:rPr>
      </w:pPr>
      <w:r>
        <w:rPr>
          <w:rFonts w:hint="eastAsia" w:ascii="仿宋" w:hAnsi="仿宋" w:eastAsia="仿宋" w:cs="仿宋"/>
          <w:kern w:val="0"/>
          <w:sz w:val="24"/>
          <w:szCs w:val="24"/>
        </w:rPr>
        <w:t>因不可抗力造成违约的，遭受不可抗力一方应及时向对方通报不能履行或不能完全履行的理由，并在随后取得有关主管机关证明后的15日内向另一方提供不可抗力发生以及持续期间的充分证据。基本于以上行为，允许遭受不可抗力一方延期履行、部分履行或者不履行合同，并根据情况可部分或全部免于承担违约责任。</w:t>
      </w:r>
    </w:p>
    <w:p w14:paraId="6FA1FC62">
      <w:pPr>
        <w:keepNext w:val="0"/>
        <w:keepLines w:val="0"/>
        <w:pageBreakBefore w:val="0"/>
        <w:kinsoku/>
        <w:wordWrap/>
        <w:overflowPunct/>
        <w:topLinePunct w:val="0"/>
        <w:autoSpaceDE w:val="0"/>
        <w:autoSpaceDN w:val="0"/>
        <w:bidi w:val="0"/>
        <w:adjustRightInd w:val="0"/>
        <w:spacing w:line="360" w:lineRule="auto"/>
        <w:ind w:firstLine="480"/>
        <w:rPr>
          <w:rFonts w:hint="eastAsia" w:ascii="仿宋" w:hAnsi="仿宋" w:eastAsia="仿宋" w:cs="仿宋"/>
          <w:kern w:val="0"/>
          <w:sz w:val="24"/>
          <w:szCs w:val="24"/>
        </w:rPr>
      </w:pPr>
      <w:r>
        <w:rPr>
          <w:rFonts w:hint="eastAsia" w:ascii="仿宋" w:hAnsi="仿宋" w:eastAsia="仿宋" w:cs="仿宋"/>
          <w:kern w:val="0"/>
          <w:sz w:val="24"/>
          <w:szCs w:val="24"/>
        </w:rPr>
        <w:t>本合同中的不可抗力指不能预见、不能避免并不能克服的客观情况。包括但不限于：自然灾害如地震、台风、洪水、火灾；政府行为、法律规定或其适用的变化或者其他任何无法预见、避免或者控制的事件。</w:t>
      </w:r>
    </w:p>
    <w:p w14:paraId="07F8E3A1">
      <w:pPr>
        <w:keepNext w:val="0"/>
        <w:keepLines w:val="0"/>
        <w:pageBreakBefore w:val="0"/>
        <w:kinsoku/>
        <w:wordWrap/>
        <w:overflowPunct/>
        <w:topLinePunct w:val="0"/>
        <w:autoSpaceDE w:val="0"/>
        <w:autoSpaceDN w:val="0"/>
        <w:bidi w:val="0"/>
        <w:adjustRightInd w:val="0"/>
        <w:spacing w:line="360" w:lineRule="auto"/>
        <w:ind w:firstLine="480"/>
        <w:outlineLvl w:val="0"/>
        <w:rPr>
          <w:rFonts w:hint="eastAsia" w:ascii="仿宋" w:hAnsi="仿宋" w:eastAsia="仿宋" w:cs="仿宋"/>
          <w:kern w:val="0"/>
          <w:sz w:val="24"/>
          <w:szCs w:val="24"/>
        </w:rPr>
      </w:pPr>
      <w:bookmarkStart w:id="151" w:name="_Toc22964"/>
      <w:bookmarkStart w:id="152" w:name="_Toc18123"/>
      <w:bookmarkStart w:id="153" w:name="_Toc27170"/>
      <w:bookmarkStart w:id="154" w:name="_Toc8302"/>
      <w:bookmarkStart w:id="155" w:name="_Toc11998"/>
      <w:r>
        <w:rPr>
          <w:rFonts w:hint="eastAsia" w:ascii="仿宋" w:hAnsi="仿宋" w:eastAsia="仿宋" w:cs="仿宋"/>
          <w:kern w:val="0"/>
          <w:sz w:val="24"/>
          <w:szCs w:val="24"/>
          <w:lang w:val="en-US" w:eastAsia="zh-CN"/>
        </w:rPr>
        <w:t>十三、</w:t>
      </w:r>
      <w:r>
        <w:rPr>
          <w:rFonts w:hint="eastAsia" w:ascii="仿宋" w:hAnsi="仿宋" w:eastAsia="仿宋" w:cs="仿宋"/>
          <w:kern w:val="0"/>
          <w:sz w:val="24"/>
          <w:szCs w:val="24"/>
        </w:rPr>
        <w:t>权利义务转移和违法违规条款</w:t>
      </w:r>
      <w:bookmarkEnd w:id="151"/>
      <w:bookmarkEnd w:id="152"/>
      <w:bookmarkEnd w:id="153"/>
      <w:bookmarkEnd w:id="154"/>
      <w:bookmarkEnd w:id="155"/>
    </w:p>
    <w:p w14:paraId="4F7D47D3">
      <w:pPr>
        <w:keepNext w:val="0"/>
        <w:keepLines w:val="0"/>
        <w:pageBreakBefore w:val="0"/>
        <w:kinsoku/>
        <w:wordWrap/>
        <w:overflowPunct/>
        <w:topLinePunct w:val="0"/>
        <w:autoSpaceDE w:val="0"/>
        <w:autoSpaceDN w:val="0"/>
        <w:bidi w:val="0"/>
        <w:adjustRightInd w:val="0"/>
        <w:spacing w:line="360" w:lineRule="auto"/>
        <w:ind w:firstLine="480"/>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1、</w:t>
      </w:r>
      <w:r>
        <w:rPr>
          <w:rFonts w:hint="eastAsia" w:ascii="仿宋" w:hAnsi="仿宋" w:eastAsia="仿宋" w:cs="仿宋"/>
          <w:kern w:val="0"/>
          <w:sz w:val="24"/>
          <w:szCs w:val="24"/>
        </w:rPr>
        <w:t>基于诚信原则，本合同项下未经</w:t>
      </w:r>
      <w:r>
        <w:rPr>
          <w:rFonts w:hint="eastAsia" w:ascii="仿宋" w:hAnsi="仿宋" w:eastAsia="仿宋" w:cs="仿宋"/>
          <w:kern w:val="0"/>
          <w:sz w:val="24"/>
          <w:szCs w:val="24"/>
          <w:lang w:eastAsia="zh-CN"/>
        </w:rPr>
        <w:t>甲方</w:t>
      </w:r>
      <w:r>
        <w:rPr>
          <w:rFonts w:hint="eastAsia" w:ascii="仿宋" w:hAnsi="仿宋" w:eastAsia="仿宋" w:cs="仿宋"/>
          <w:kern w:val="0"/>
          <w:sz w:val="24"/>
          <w:szCs w:val="24"/>
        </w:rPr>
        <w:t>书面同意，</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rPr>
        <w:t>方不得转让或者变相转让本合同的权利义务，否则向</w:t>
      </w:r>
      <w:r>
        <w:rPr>
          <w:rFonts w:hint="eastAsia" w:ascii="仿宋" w:hAnsi="仿宋" w:eastAsia="仿宋" w:cs="仿宋"/>
          <w:kern w:val="0"/>
          <w:sz w:val="24"/>
          <w:szCs w:val="24"/>
          <w:lang w:val="en-US" w:eastAsia="zh-CN"/>
        </w:rPr>
        <w:t>甲</w:t>
      </w:r>
      <w:r>
        <w:rPr>
          <w:rFonts w:hint="eastAsia" w:ascii="仿宋" w:hAnsi="仿宋" w:eastAsia="仿宋" w:cs="仿宋"/>
          <w:kern w:val="0"/>
          <w:sz w:val="24"/>
          <w:szCs w:val="24"/>
        </w:rPr>
        <w:t>方支付合同总金额30％的违约金。</w:t>
      </w:r>
    </w:p>
    <w:p w14:paraId="265C43F9">
      <w:pPr>
        <w:keepNext w:val="0"/>
        <w:keepLines w:val="0"/>
        <w:pageBreakBefore w:val="0"/>
        <w:kinsoku/>
        <w:wordWrap/>
        <w:overflowPunct/>
        <w:topLinePunct w:val="0"/>
        <w:autoSpaceDE w:val="0"/>
        <w:autoSpaceDN w:val="0"/>
        <w:bidi w:val="0"/>
        <w:adjustRightInd w:val="0"/>
        <w:spacing w:line="360" w:lineRule="auto"/>
        <w:ind w:firstLine="480"/>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2、</w:t>
      </w:r>
      <w:r>
        <w:rPr>
          <w:rFonts w:hint="eastAsia" w:ascii="仿宋" w:hAnsi="仿宋" w:eastAsia="仿宋" w:cs="仿宋"/>
          <w:kern w:val="0"/>
          <w:sz w:val="24"/>
          <w:szCs w:val="24"/>
        </w:rPr>
        <w:t>在本合同项下如</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rPr>
        <w:t>方违法违规造成</w:t>
      </w:r>
      <w:r>
        <w:rPr>
          <w:rFonts w:hint="eastAsia" w:ascii="仿宋" w:hAnsi="仿宋" w:eastAsia="仿宋" w:cs="仿宋"/>
          <w:kern w:val="0"/>
          <w:sz w:val="24"/>
          <w:szCs w:val="24"/>
          <w:lang w:val="en-US" w:eastAsia="zh-CN"/>
        </w:rPr>
        <w:t>甲</w:t>
      </w:r>
      <w:r>
        <w:rPr>
          <w:rFonts w:hint="eastAsia" w:ascii="仿宋" w:hAnsi="仿宋" w:eastAsia="仿宋" w:cs="仿宋"/>
          <w:kern w:val="0"/>
          <w:sz w:val="24"/>
          <w:szCs w:val="24"/>
        </w:rPr>
        <w:t>方损失的，</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rPr>
        <w:t>方须全额赔偿，赔偿金额从</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rPr>
        <w:t>方货款或者履约保证金等款项中扣除，不足部分，</w:t>
      </w:r>
      <w:r>
        <w:rPr>
          <w:rFonts w:hint="eastAsia" w:ascii="仿宋" w:hAnsi="仿宋" w:eastAsia="仿宋" w:cs="仿宋"/>
          <w:kern w:val="0"/>
          <w:sz w:val="24"/>
          <w:szCs w:val="24"/>
          <w:lang w:val="en-US" w:eastAsia="zh-CN"/>
        </w:rPr>
        <w:t>甲</w:t>
      </w:r>
      <w:r>
        <w:rPr>
          <w:rFonts w:hint="eastAsia" w:ascii="仿宋" w:hAnsi="仿宋" w:eastAsia="仿宋" w:cs="仿宋"/>
          <w:kern w:val="0"/>
          <w:sz w:val="24"/>
          <w:szCs w:val="24"/>
        </w:rPr>
        <w:t>方依法享有向</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rPr>
        <w:t>方追索的权利。</w:t>
      </w:r>
    </w:p>
    <w:p w14:paraId="7F93926B">
      <w:pPr>
        <w:keepNext w:val="0"/>
        <w:keepLines w:val="0"/>
        <w:pageBreakBefore w:val="0"/>
        <w:kinsoku/>
        <w:wordWrap/>
        <w:overflowPunct/>
        <w:topLinePunct w:val="0"/>
        <w:autoSpaceDE w:val="0"/>
        <w:autoSpaceDN w:val="0"/>
        <w:bidi w:val="0"/>
        <w:adjustRightInd w:val="0"/>
        <w:spacing w:line="360" w:lineRule="auto"/>
        <w:ind w:firstLine="480"/>
        <w:outlineLvl w:val="0"/>
        <w:rPr>
          <w:rFonts w:hint="eastAsia" w:ascii="仿宋" w:hAnsi="仿宋" w:eastAsia="仿宋" w:cs="仿宋"/>
          <w:kern w:val="0"/>
          <w:sz w:val="24"/>
          <w:szCs w:val="24"/>
          <w:lang w:val="zh-CN"/>
        </w:rPr>
      </w:pPr>
      <w:bookmarkStart w:id="156" w:name="_Toc22793"/>
      <w:bookmarkStart w:id="157" w:name="_Toc19723"/>
      <w:bookmarkStart w:id="158" w:name="_Toc15574"/>
      <w:bookmarkStart w:id="159" w:name="_Toc4875"/>
      <w:bookmarkStart w:id="160" w:name="_Toc16587"/>
      <w:r>
        <w:rPr>
          <w:rFonts w:hint="eastAsia" w:ascii="仿宋" w:hAnsi="仿宋" w:eastAsia="仿宋" w:cs="仿宋"/>
          <w:kern w:val="0"/>
          <w:sz w:val="24"/>
          <w:szCs w:val="24"/>
          <w:lang w:eastAsia="zh-CN"/>
        </w:rPr>
        <w:t>十四、</w:t>
      </w:r>
      <w:r>
        <w:rPr>
          <w:rFonts w:hint="eastAsia" w:ascii="仿宋" w:hAnsi="仿宋" w:eastAsia="仿宋" w:cs="仿宋"/>
          <w:kern w:val="0"/>
          <w:sz w:val="24"/>
          <w:szCs w:val="24"/>
          <w:lang w:val="zh-CN"/>
        </w:rPr>
        <w:t>反商业贿赂条款</w:t>
      </w:r>
      <w:bookmarkEnd w:id="156"/>
      <w:bookmarkEnd w:id="157"/>
      <w:bookmarkEnd w:id="158"/>
      <w:bookmarkEnd w:id="159"/>
      <w:bookmarkEnd w:id="160"/>
    </w:p>
    <w:p w14:paraId="61140839">
      <w:pPr>
        <w:keepNext w:val="0"/>
        <w:keepLines w:val="0"/>
        <w:pageBreakBefore w:val="0"/>
        <w:kinsoku/>
        <w:wordWrap/>
        <w:overflowPunct/>
        <w:topLinePunct w:val="0"/>
        <w:autoSpaceDE w:val="0"/>
        <w:autoSpaceDN w:val="0"/>
        <w:bidi w:val="0"/>
        <w:adjustRightInd w:val="0"/>
        <w:spacing w:line="360" w:lineRule="auto"/>
        <w:ind w:firstLine="48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为保障双方合法权益不受侵害，保持</w:t>
      </w:r>
      <w:r>
        <w:rPr>
          <w:rFonts w:hint="eastAsia" w:ascii="仿宋" w:hAnsi="仿宋" w:eastAsia="仿宋" w:cs="仿宋"/>
          <w:kern w:val="0"/>
          <w:sz w:val="24"/>
          <w:szCs w:val="24"/>
          <w:lang w:val="en-US" w:eastAsia="zh-CN"/>
        </w:rPr>
        <w:t>甲乙</w:t>
      </w:r>
      <w:r>
        <w:rPr>
          <w:rFonts w:hint="eastAsia" w:ascii="仿宋" w:hAnsi="仿宋" w:eastAsia="仿宋" w:cs="仿宋"/>
          <w:kern w:val="0"/>
          <w:sz w:val="24"/>
          <w:szCs w:val="24"/>
          <w:lang w:val="zh-CN"/>
        </w:rPr>
        <w:t>双方长久、良好的合作关系，根据《中华人民共和国反不正当竞争法》《关于禁止商业贿赂行为的暂行规定》及有关法律、法规的规定，</w:t>
      </w:r>
      <w:r>
        <w:rPr>
          <w:rFonts w:hint="eastAsia" w:ascii="仿宋" w:hAnsi="仿宋" w:eastAsia="仿宋" w:cs="仿宋"/>
          <w:kern w:val="0"/>
          <w:sz w:val="24"/>
          <w:szCs w:val="24"/>
          <w:lang w:val="en-US" w:eastAsia="zh-CN"/>
        </w:rPr>
        <w:t>甲乙</w:t>
      </w:r>
      <w:r>
        <w:rPr>
          <w:rFonts w:hint="eastAsia" w:ascii="仿宋" w:hAnsi="仿宋" w:eastAsia="仿宋" w:cs="仿宋"/>
          <w:kern w:val="0"/>
          <w:sz w:val="24"/>
          <w:szCs w:val="24"/>
          <w:lang w:val="zh-CN"/>
        </w:rPr>
        <w:t>双方约定如下：</w:t>
      </w:r>
    </w:p>
    <w:p w14:paraId="1372D8FB">
      <w:pPr>
        <w:keepNext w:val="0"/>
        <w:keepLines w:val="0"/>
        <w:pageBreakBefore w:val="0"/>
        <w:kinsoku/>
        <w:wordWrap/>
        <w:overflowPunct/>
        <w:topLinePunct w:val="0"/>
        <w:autoSpaceDE w:val="0"/>
        <w:autoSpaceDN w:val="0"/>
        <w:bidi w:val="0"/>
        <w:adjustRightInd w:val="0"/>
        <w:spacing w:line="360" w:lineRule="auto"/>
        <w:ind w:firstLine="480"/>
        <w:rPr>
          <w:rFonts w:hint="eastAsia" w:ascii="仿宋" w:hAnsi="仿宋" w:eastAsia="仿宋" w:cs="仿宋"/>
          <w:kern w:val="0"/>
          <w:sz w:val="24"/>
          <w:szCs w:val="24"/>
          <w:lang w:val="zh-CN"/>
        </w:rPr>
      </w:pPr>
      <w:r>
        <w:rPr>
          <w:rFonts w:hint="eastAsia" w:ascii="仿宋" w:hAnsi="仿宋" w:eastAsia="仿宋" w:cs="仿宋"/>
          <w:kern w:val="0"/>
          <w:sz w:val="24"/>
          <w:szCs w:val="24"/>
          <w:lang w:val="en-US" w:eastAsia="zh-CN"/>
        </w:rPr>
        <w:t>1、甲乙</w:t>
      </w:r>
      <w:r>
        <w:rPr>
          <w:rFonts w:hint="eastAsia" w:ascii="仿宋" w:hAnsi="仿宋" w:eastAsia="仿宋" w:cs="仿宋"/>
          <w:kern w:val="0"/>
          <w:sz w:val="24"/>
          <w:szCs w:val="24"/>
          <w:lang w:val="zh-CN"/>
        </w:rPr>
        <w:t>双方共同约定，不论在任何情况下，禁止提议、给予、索取或者接受任何形式的商业贿赂，亦不寻求通过给予商业贿赂或者其他酬谢而谋取任何利益。</w:t>
      </w:r>
      <w:r>
        <w:rPr>
          <w:rFonts w:hint="eastAsia" w:ascii="仿宋" w:hAnsi="仿宋" w:eastAsia="仿宋" w:cs="仿宋"/>
          <w:kern w:val="0"/>
          <w:sz w:val="24"/>
          <w:szCs w:val="24"/>
          <w:lang w:val="en-US" w:eastAsia="zh-CN"/>
        </w:rPr>
        <w:t>甲乙</w:t>
      </w:r>
      <w:r>
        <w:rPr>
          <w:rFonts w:hint="eastAsia" w:ascii="仿宋" w:hAnsi="仿宋" w:eastAsia="仿宋" w:cs="仿宋"/>
          <w:kern w:val="0"/>
          <w:sz w:val="24"/>
          <w:szCs w:val="24"/>
          <w:lang w:val="zh-CN"/>
        </w:rPr>
        <w:t>双方均有义务拒绝对方员工的索贿、行贿行为。</w:t>
      </w:r>
    </w:p>
    <w:p w14:paraId="4267018F">
      <w:pPr>
        <w:keepNext w:val="0"/>
        <w:keepLines w:val="0"/>
        <w:pageBreakBefore w:val="0"/>
        <w:kinsoku/>
        <w:wordWrap/>
        <w:overflowPunct/>
        <w:topLinePunct w:val="0"/>
        <w:autoSpaceDE w:val="0"/>
        <w:autoSpaceDN w:val="0"/>
        <w:bidi w:val="0"/>
        <w:adjustRightInd w:val="0"/>
        <w:spacing w:line="360" w:lineRule="auto"/>
        <w:ind w:firstLine="480"/>
        <w:rPr>
          <w:rFonts w:hint="eastAsia" w:ascii="仿宋" w:hAnsi="仿宋" w:eastAsia="仿宋" w:cs="仿宋"/>
          <w:kern w:val="0"/>
          <w:sz w:val="24"/>
          <w:szCs w:val="24"/>
          <w:lang w:val="zh-CN"/>
        </w:rPr>
      </w:pPr>
      <w:r>
        <w:rPr>
          <w:rFonts w:hint="eastAsia" w:ascii="仿宋" w:hAnsi="仿宋" w:eastAsia="仿宋" w:cs="仿宋"/>
          <w:kern w:val="0"/>
          <w:sz w:val="24"/>
          <w:szCs w:val="24"/>
          <w:lang w:val="en-US" w:eastAsia="zh-CN"/>
        </w:rPr>
        <w:t>2、甲乙</w:t>
      </w:r>
      <w:r>
        <w:rPr>
          <w:rFonts w:hint="eastAsia" w:ascii="仿宋" w:hAnsi="仿宋" w:eastAsia="仿宋" w:cs="仿宋"/>
          <w:kern w:val="0"/>
          <w:sz w:val="24"/>
          <w:szCs w:val="24"/>
          <w:lang w:val="zh-CN"/>
        </w:rPr>
        <w:t>双方员工按照商业惯例收取对方的礼品、纪念品，必须统一上交各自所在公司，由公司负责处理。双方互有义务将此事通知对方。</w:t>
      </w:r>
    </w:p>
    <w:p w14:paraId="68B94C13">
      <w:pPr>
        <w:keepNext w:val="0"/>
        <w:keepLines w:val="0"/>
        <w:pageBreakBefore w:val="0"/>
        <w:kinsoku/>
        <w:wordWrap/>
        <w:overflowPunct/>
        <w:topLinePunct w:val="0"/>
        <w:autoSpaceDE w:val="0"/>
        <w:autoSpaceDN w:val="0"/>
        <w:bidi w:val="0"/>
        <w:adjustRightInd w:val="0"/>
        <w:spacing w:line="360" w:lineRule="auto"/>
        <w:ind w:firstLine="480"/>
        <w:rPr>
          <w:rFonts w:hint="eastAsia" w:ascii="仿宋" w:hAnsi="仿宋" w:eastAsia="仿宋" w:cs="仿宋"/>
          <w:kern w:val="0"/>
          <w:sz w:val="24"/>
          <w:szCs w:val="24"/>
          <w:lang w:val="zh-CN"/>
        </w:rPr>
      </w:pP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lang w:val="zh-CN"/>
        </w:rPr>
        <w:t>在合作过程中，如出现</w:t>
      </w:r>
      <w:r>
        <w:rPr>
          <w:rFonts w:hint="eastAsia" w:ascii="仿宋" w:hAnsi="仿宋" w:eastAsia="仿宋" w:cs="仿宋"/>
          <w:kern w:val="0"/>
          <w:sz w:val="24"/>
          <w:szCs w:val="24"/>
          <w:lang w:val="en-US" w:eastAsia="zh-CN"/>
        </w:rPr>
        <w:t>甲方</w:t>
      </w:r>
      <w:r>
        <w:rPr>
          <w:rFonts w:hint="eastAsia" w:ascii="仿宋" w:hAnsi="仿宋" w:eastAsia="仿宋" w:cs="仿宋"/>
          <w:kern w:val="0"/>
          <w:sz w:val="24"/>
          <w:szCs w:val="24"/>
          <w:lang w:val="zh-CN"/>
        </w:rPr>
        <w:t>员工索贿、接受贿赂的现象，</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lang w:val="zh-CN"/>
        </w:rPr>
        <w:t>方应及时向</w:t>
      </w:r>
      <w:r>
        <w:rPr>
          <w:rFonts w:hint="eastAsia" w:ascii="仿宋" w:hAnsi="仿宋" w:eastAsia="仿宋" w:cs="仿宋"/>
          <w:kern w:val="0"/>
          <w:sz w:val="24"/>
          <w:szCs w:val="24"/>
          <w:lang w:val="en-US" w:eastAsia="zh-CN"/>
        </w:rPr>
        <w:t>甲</w:t>
      </w:r>
      <w:r>
        <w:rPr>
          <w:rFonts w:hint="eastAsia" w:ascii="仿宋" w:hAnsi="仿宋" w:eastAsia="仿宋" w:cs="仿宋"/>
          <w:kern w:val="0"/>
          <w:sz w:val="24"/>
          <w:szCs w:val="24"/>
          <w:lang w:val="zh-CN"/>
        </w:rPr>
        <w:t>方进行举报。</w:t>
      </w:r>
    </w:p>
    <w:p w14:paraId="329EAD80">
      <w:pPr>
        <w:keepNext w:val="0"/>
        <w:keepLines w:val="0"/>
        <w:pageBreakBefore w:val="0"/>
        <w:kinsoku/>
        <w:wordWrap/>
        <w:overflowPunct/>
        <w:topLinePunct w:val="0"/>
        <w:autoSpaceDE w:val="0"/>
        <w:autoSpaceDN w:val="0"/>
        <w:bidi w:val="0"/>
        <w:adjustRightInd w:val="0"/>
        <w:spacing w:line="360" w:lineRule="auto"/>
        <w:ind w:firstLine="480"/>
        <w:rPr>
          <w:rFonts w:hint="eastAsia" w:ascii="仿宋" w:hAnsi="仿宋" w:eastAsia="仿宋" w:cs="仿宋"/>
          <w:kern w:val="0"/>
          <w:sz w:val="24"/>
          <w:szCs w:val="24"/>
          <w:lang w:val="zh-CN"/>
        </w:rPr>
      </w:pPr>
      <w:r>
        <w:rPr>
          <w:rFonts w:hint="eastAsia" w:ascii="仿宋" w:hAnsi="仿宋" w:eastAsia="仿宋" w:cs="仿宋"/>
          <w:kern w:val="0"/>
          <w:sz w:val="24"/>
          <w:szCs w:val="24"/>
          <w:lang w:val="en-US" w:eastAsia="zh-CN"/>
        </w:rPr>
        <w:t>4、甲乙</w:t>
      </w:r>
      <w:r>
        <w:rPr>
          <w:rFonts w:hint="eastAsia" w:ascii="仿宋" w:hAnsi="仿宋" w:eastAsia="仿宋" w:cs="仿宋"/>
          <w:kern w:val="0"/>
          <w:sz w:val="24"/>
          <w:szCs w:val="24"/>
          <w:lang w:val="zh-CN"/>
        </w:rPr>
        <w:t>双方承诺愿意配合对其员工索取、接受贿赂的行为进行调查。</w:t>
      </w:r>
    </w:p>
    <w:p w14:paraId="12860ABC">
      <w:pPr>
        <w:keepNext w:val="0"/>
        <w:keepLines w:val="0"/>
        <w:pageBreakBefore w:val="0"/>
        <w:kinsoku/>
        <w:wordWrap/>
        <w:overflowPunct/>
        <w:topLinePunct w:val="0"/>
        <w:autoSpaceDE w:val="0"/>
        <w:autoSpaceDN w:val="0"/>
        <w:bidi w:val="0"/>
        <w:adjustRightInd w:val="0"/>
        <w:spacing w:line="360" w:lineRule="auto"/>
        <w:ind w:firstLine="480"/>
        <w:rPr>
          <w:rFonts w:hint="eastAsia" w:ascii="仿宋" w:hAnsi="仿宋" w:eastAsia="仿宋" w:cs="仿宋"/>
          <w:kern w:val="0"/>
          <w:sz w:val="24"/>
          <w:lang w:val="zh-CN"/>
        </w:rPr>
      </w:pPr>
      <w:r>
        <w:rPr>
          <w:rFonts w:hint="eastAsia" w:ascii="仿宋" w:hAnsi="仿宋" w:eastAsia="仿宋" w:cs="仿宋"/>
          <w:kern w:val="0"/>
          <w:sz w:val="24"/>
          <w:szCs w:val="24"/>
          <w:lang w:val="en-US" w:eastAsia="zh-CN"/>
        </w:rPr>
        <w:t>5、</w:t>
      </w:r>
      <w:r>
        <w:rPr>
          <w:rFonts w:hint="eastAsia" w:ascii="仿宋" w:hAnsi="仿宋" w:eastAsia="仿宋" w:cs="仿宋"/>
          <w:kern w:val="0"/>
          <w:sz w:val="24"/>
          <w:szCs w:val="24"/>
          <w:lang w:val="zh-CN"/>
        </w:rPr>
        <w:t>如</w:t>
      </w:r>
      <w:r>
        <w:rPr>
          <w:rFonts w:hint="eastAsia" w:ascii="仿宋" w:hAnsi="仿宋" w:eastAsia="仿宋" w:cs="仿宋"/>
          <w:kern w:val="0"/>
          <w:sz w:val="24"/>
          <w:szCs w:val="24"/>
          <w:lang w:val="en-US" w:eastAsia="zh-CN"/>
        </w:rPr>
        <w:t>甲乙</w:t>
      </w:r>
      <w:r>
        <w:rPr>
          <w:rFonts w:hint="eastAsia" w:ascii="仿宋" w:hAnsi="仿宋" w:eastAsia="仿宋" w:cs="仿宋"/>
          <w:kern w:val="0"/>
          <w:sz w:val="24"/>
          <w:szCs w:val="24"/>
          <w:lang w:val="zh-CN"/>
        </w:rPr>
        <w:t>双方为谋取商业利益给对方员工贿赂或者不拒绝对方员工索取贿赂的，违</w:t>
      </w:r>
      <w:r>
        <w:rPr>
          <w:rFonts w:hint="eastAsia" w:ascii="仿宋" w:hAnsi="仿宋" w:eastAsia="仿宋" w:cs="仿宋"/>
          <w:kern w:val="0"/>
          <w:sz w:val="24"/>
          <w:lang w:val="zh-CN"/>
        </w:rPr>
        <w:t>约方承担相关法律责任。</w:t>
      </w:r>
    </w:p>
    <w:p w14:paraId="3412B804">
      <w:pPr>
        <w:keepNext w:val="0"/>
        <w:keepLines w:val="0"/>
        <w:pageBreakBefore w:val="0"/>
        <w:kinsoku/>
        <w:wordWrap/>
        <w:overflowPunct/>
        <w:topLinePunct w:val="0"/>
        <w:autoSpaceDE w:val="0"/>
        <w:autoSpaceDN w:val="0"/>
        <w:bidi w:val="0"/>
        <w:adjustRightInd w:val="0"/>
        <w:spacing w:line="360" w:lineRule="auto"/>
        <w:ind w:firstLine="480"/>
        <w:rPr>
          <w:rFonts w:hint="eastAsia" w:ascii="仿宋" w:hAnsi="仿宋" w:eastAsia="仿宋" w:cs="仿宋"/>
          <w:kern w:val="0"/>
          <w:sz w:val="24"/>
          <w:lang w:val="zh-CN"/>
        </w:rPr>
      </w:pPr>
      <w:r>
        <w:rPr>
          <w:rFonts w:hint="eastAsia" w:ascii="仿宋" w:hAnsi="仿宋" w:eastAsia="仿宋" w:cs="仿宋"/>
          <w:kern w:val="0"/>
          <w:sz w:val="24"/>
          <w:lang w:val="en-US" w:eastAsia="zh-CN"/>
        </w:rPr>
        <w:t>6、</w:t>
      </w:r>
      <w:r>
        <w:rPr>
          <w:rFonts w:hint="eastAsia" w:ascii="仿宋" w:hAnsi="仿宋" w:eastAsia="仿宋" w:cs="仿宋"/>
          <w:kern w:val="0"/>
          <w:sz w:val="24"/>
          <w:lang w:val="zh-CN"/>
        </w:rPr>
        <w:t>如</w:t>
      </w:r>
      <w:r>
        <w:rPr>
          <w:rFonts w:hint="eastAsia" w:ascii="仿宋" w:hAnsi="仿宋" w:eastAsia="仿宋" w:cs="仿宋"/>
          <w:kern w:val="0"/>
          <w:sz w:val="24"/>
          <w:lang w:val="en-US" w:eastAsia="zh-CN"/>
        </w:rPr>
        <w:t>甲乙</w:t>
      </w:r>
      <w:r>
        <w:rPr>
          <w:rFonts w:hint="eastAsia" w:ascii="仿宋" w:hAnsi="仿宋" w:eastAsia="仿宋" w:cs="仿宋"/>
          <w:kern w:val="0"/>
          <w:sz w:val="24"/>
          <w:lang w:val="zh-CN"/>
        </w:rPr>
        <w:t>双方违反本条约定，任何一方有权单方解除合同或协议，并不承担任何违约责任及赔偿责任，但提出解除合同方应向对方出具司法机关出具的证据。</w:t>
      </w:r>
    </w:p>
    <w:p w14:paraId="20DE802C">
      <w:pPr>
        <w:keepNext w:val="0"/>
        <w:keepLines w:val="0"/>
        <w:pageBreakBefore w:val="0"/>
        <w:kinsoku/>
        <w:wordWrap/>
        <w:overflowPunct/>
        <w:topLinePunct w:val="0"/>
        <w:autoSpaceDE w:val="0"/>
        <w:autoSpaceDN w:val="0"/>
        <w:bidi w:val="0"/>
        <w:adjustRightInd w:val="0"/>
        <w:spacing w:line="360" w:lineRule="auto"/>
        <w:ind w:firstLine="480"/>
        <w:rPr>
          <w:rFonts w:hint="eastAsia" w:ascii="仿宋" w:hAnsi="仿宋" w:eastAsia="仿宋" w:cs="仿宋"/>
          <w:kern w:val="0"/>
          <w:sz w:val="24"/>
          <w:lang w:val="zh-CN"/>
        </w:rPr>
      </w:pPr>
      <w:r>
        <w:rPr>
          <w:rFonts w:hint="eastAsia" w:ascii="仿宋" w:hAnsi="仿宋" w:eastAsia="仿宋" w:cs="仿宋"/>
          <w:kern w:val="0"/>
          <w:sz w:val="24"/>
          <w:lang w:val="en-US" w:eastAsia="zh-CN"/>
        </w:rPr>
        <w:t>7、甲乙</w:t>
      </w:r>
      <w:r>
        <w:rPr>
          <w:rFonts w:hint="eastAsia" w:ascii="仿宋" w:hAnsi="仿宋" w:eastAsia="仿宋" w:cs="仿宋"/>
          <w:kern w:val="0"/>
          <w:sz w:val="24"/>
          <w:lang w:val="zh-CN"/>
        </w:rPr>
        <w:t>双方积极全面履行协议，并能向对方举报其员工索取、收受贿赂事实的，</w:t>
      </w:r>
      <w:r>
        <w:rPr>
          <w:rFonts w:hint="eastAsia" w:ascii="仿宋" w:hAnsi="仿宋" w:eastAsia="仿宋" w:cs="仿宋"/>
          <w:kern w:val="0"/>
          <w:sz w:val="24"/>
          <w:lang w:val="en-US" w:eastAsia="zh-CN"/>
        </w:rPr>
        <w:t>甲乙</w:t>
      </w:r>
      <w:r>
        <w:rPr>
          <w:rFonts w:hint="eastAsia" w:ascii="仿宋" w:hAnsi="仿宋" w:eastAsia="仿宋" w:cs="仿宋"/>
          <w:kern w:val="0"/>
          <w:sz w:val="24"/>
          <w:lang w:val="zh-CN"/>
        </w:rPr>
        <w:t>双方将优先与其发展合作关系，给予在同等条件下优先采购及优惠条件；如果举报与事实不符，</w:t>
      </w:r>
      <w:r>
        <w:rPr>
          <w:rFonts w:hint="eastAsia" w:ascii="仿宋" w:hAnsi="仿宋" w:eastAsia="仿宋" w:cs="仿宋"/>
          <w:kern w:val="0"/>
          <w:sz w:val="24"/>
          <w:lang w:val="en-US" w:eastAsia="zh-CN"/>
        </w:rPr>
        <w:t>甲乙</w:t>
      </w:r>
      <w:r>
        <w:rPr>
          <w:rFonts w:hint="eastAsia" w:ascii="仿宋" w:hAnsi="仿宋" w:eastAsia="仿宋" w:cs="仿宋"/>
          <w:kern w:val="0"/>
          <w:sz w:val="24"/>
          <w:lang w:val="zh-CN"/>
        </w:rPr>
        <w:t>双方有权终止与其商业合作关系，并承担法律责任。</w:t>
      </w:r>
    </w:p>
    <w:p w14:paraId="56E0C977">
      <w:pPr>
        <w:keepNext w:val="0"/>
        <w:keepLines w:val="0"/>
        <w:pageBreakBefore w:val="0"/>
        <w:kinsoku/>
        <w:wordWrap/>
        <w:overflowPunct/>
        <w:topLinePunct w:val="0"/>
        <w:autoSpaceDE w:val="0"/>
        <w:autoSpaceDN w:val="0"/>
        <w:bidi w:val="0"/>
        <w:adjustRightInd w:val="0"/>
        <w:spacing w:line="360" w:lineRule="auto"/>
        <w:ind w:firstLine="480"/>
        <w:rPr>
          <w:rFonts w:hint="eastAsia" w:eastAsia="仿宋"/>
          <w:lang w:val="en-US" w:eastAsia="zh-CN"/>
        </w:rPr>
      </w:pPr>
      <w:r>
        <w:rPr>
          <w:rFonts w:hint="eastAsia" w:ascii="仿宋" w:hAnsi="仿宋" w:eastAsia="仿宋" w:cs="仿宋"/>
          <w:kern w:val="0"/>
          <w:sz w:val="24"/>
          <w:lang w:val="en-US" w:eastAsia="zh-CN"/>
        </w:rPr>
        <w:t>8、甲乙</w:t>
      </w:r>
      <w:r>
        <w:rPr>
          <w:rFonts w:hint="eastAsia" w:ascii="仿宋" w:hAnsi="仿宋" w:eastAsia="仿宋" w:cs="仿宋"/>
          <w:kern w:val="0"/>
          <w:sz w:val="24"/>
          <w:lang w:val="zh-CN"/>
        </w:rPr>
        <w:t>双方均有义务约束本方员工不得以抬高对方采购商品的报价达到退给对方经办员工个人一定比例的商品价款的行为发生；双方更不得以账外方式暗中以现金、实物或者其他方式退给对方员工个人一定比例的商品价款。</w:t>
      </w:r>
    </w:p>
    <w:p w14:paraId="4CAE7A1D">
      <w:pPr>
        <w:keepNext w:val="0"/>
        <w:keepLines w:val="0"/>
        <w:pageBreakBefore w:val="0"/>
        <w:kinsoku/>
        <w:wordWrap/>
        <w:overflowPunct/>
        <w:topLinePunct w:val="0"/>
        <w:autoSpaceDE w:val="0"/>
        <w:autoSpaceDN w:val="0"/>
        <w:bidi w:val="0"/>
        <w:adjustRightInd w:val="0"/>
        <w:spacing w:line="360" w:lineRule="auto"/>
        <w:ind w:firstLine="480"/>
        <w:rPr>
          <w:rFonts w:hint="eastAsia" w:ascii="仿宋" w:hAnsi="仿宋" w:eastAsia="仿宋" w:cs="仿宋"/>
          <w:kern w:val="0"/>
          <w:sz w:val="24"/>
          <w:lang w:val="zh-CN"/>
        </w:rPr>
      </w:pPr>
      <w:r>
        <w:rPr>
          <w:rFonts w:hint="eastAsia" w:ascii="仿宋" w:hAnsi="仿宋" w:eastAsia="仿宋" w:cs="仿宋"/>
          <w:kern w:val="0"/>
          <w:sz w:val="24"/>
          <w:lang w:val="zh-CN"/>
        </w:rPr>
        <w:t>十五、本合同的任何变更，均应以书面形式提出，并由双方授权人等协商一致后书面达成协议方有效。</w:t>
      </w:r>
    </w:p>
    <w:p w14:paraId="6DC47F76">
      <w:pPr>
        <w:keepNext w:val="0"/>
        <w:keepLines w:val="0"/>
        <w:pageBreakBefore w:val="0"/>
        <w:kinsoku/>
        <w:wordWrap/>
        <w:overflowPunct/>
        <w:topLinePunct w:val="0"/>
        <w:autoSpaceDE w:val="0"/>
        <w:autoSpaceDN w:val="0"/>
        <w:bidi w:val="0"/>
        <w:adjustRightInd w:val="0"/>
        <w:spacing w:line="360" w:lineRule="auto"/>
        <w:ind w:firstLine="480"/>
        <w:rPr>
          <w:rFonts w:hint="eastAsia" w:ascii="仿宋" w:hAnsi="仿宋" w:eastAsia="仿宋" w:cs="仿宋"/>
          <w:kern w:val="0"/>
          <w:sz w:val="24"/>
          <w:lang w:val="zh-CN"/>
        </w:rPr>
      </w:pPr>
      <w:r>
        <w:rPr>
          <w:rFonts w:hint="eastAsia" w:ascii="仿宋" w:hAnsi="仿宋" w:eastAsia="仿宋" w:cs="仿宋"/>
          <w:kern w:val="0"/>
          <w:sz w:val="24"/>
          <w:lang w:val="zh-CN"/>
        </w:rPr>
        <w:t>十六、甲乙双方应对在本合同谈判期间、履行期间从另一方获得或收到的价格、资料、信息及其它商业秘密进行保密，未经对方书面事先同意不得向任何第三方以任何方式披露。</w:t>
      </w:r>
    </w:p>
    <w:p w14:paraId="4A2A435F">
      <w:pPr>
        <w:keepNext w:val="0"/>
        <w:keepLines w:val="0"/>
        <w:pageBreakBefore w:val="0"/>
        <w:kinsoku/>
        <w:wordWrap/>
        <w:overflowPunct/>
        <w:topLinePunct w:val="0"/>
        <w:autoSpaceDE w:val="0"/>
        <w:autoSpaceDN w:val="0"/>
        <w:bidi w:val="0"/>
        <w:adjustRightInd w:val="0"/>
        <w:spacing w:line="360" w:lineRule="auto"/>
        <w:ind w:firstLine="480"/>
        <w:outlineLvl w:val="0"/>
        <w:rPr>
          <w:rFonts w:hint="eastAsia" w:ascii="仿宋" w:hAnsi="仿宋" w:eastAsia="仿宋" w:cs="仿宋"/>
          <w:kern w:val="0"/>
          <w:sz w:val="24"/>
        </w:rPr>
      </w:pPr>
      <w:bookmarkStart w:id="161" w:name="_Toc6500"/>
      <w:bookmarkStart w:id="162" w:name="_Toc12487"/>
      <w:bookmarkStart w:id="163" w:name="_Toc15421"/>
      <w:bookmarkStart w:id="164" w:name="_Toc9618"/>
      <w:bookmarkStart w:id="165" w:name="_Toc30433"/>
      <w:r>
        <w:rPr>
          <w:rFonts w:hint="eastAsia" w:ascii="仿宋" w:hAnsi="仿宋" w:eastAsia="仿宋" w:cs="仿宋"/>
          <w:kern w:val="0"/>
          <w:sz w:val="24"/>
          <w:lang w:val="en-US" w:eastAsia="zh-CN"/>
        </w:rPr>
        <w:t>十七、</w:t>
      </w:r>
      <w:r>
        <w:rPr>
          <w:rFonts w:hint="eastAsia" w:ascii="仿宋" w:hAnsi="仿宋" w:eastAsia="仿宋" w:cs="仿宋"/>
          <w:kern w:val="0"/>
          <w:sz w:val="24"/>
        </w:rPr>
        <w:t>本合同适用中华人民共和国法律，并据其进行解释。</w:t>
      </w:r>
      <w:bookmarkEnd w:id="161"/>
      <w:bookmarkEnd w:id="162"/>
      <w:bookmarkEnd w:id="163"/>
      <w:bookmarkEnd w:id="164"/>
      <w:bookmarkEnd w:id="165"/>
    </w:p>
    <w:p w14:paraId="18E4296D">
      <w:pPr>
        <w:keepNext w:val="0"/>
        <w:keepLines w:val="0"/>
        <w:pageBreakBefore w:val="0"/>
        <w:kinsoku/>
        <w:wordWrap/>
        <w:overflowPunct/>
        <w:topLinePunct w:val="0"/>
        <w:autoSpaceDE w:val="0"/>
        <w:autoSpaceDN w:val="0"/>
        <w:bidi w:val="0"/>
        <w:adjustRightInd w:val="0"/>
        <w:spacing w:line="360" w:lineRule="auto"/>
        <w:ind w:firstLine="480"/>
        <w:rPr>
          <w:rFonts w:hint="eastAsia" w:eastAsia="仿宋"/>
          <w:lang w:val="en-US" w:eastAsia="zh-CN"/>
        </w:rPr>
      </w:pPr>
      <w:r>
        <w:rPr>
          <w:rFonts w:hint="eastAsia" w:ascii="仿宋" w:hAnsi="仿宋" w:eastAsia="仿宋" w:cs="仿宋"/>
          <w:kern w:val="0"/>
          <w:sz w:val="24"/>
        </w:rPr>
        <w:t>合同履行过程中，若发生争议，双方应协商解决；如协商不成均由</w:t>
      </w:r>
      <w:r>
        <w:rPr>
          <w:rFonts w:hint="eastAsia" w:ascii="仿宋" w:hAnsi="仿宋" w:eastAsia="仿宋" w:cs="仿宋"/>
          <w:kern w:val="0"/>
          <w:sz w:val="24"/>
          <w:lang w:val="en-US" w:eastAsia="zh-CN"/>
        </w:rPr>
        <w:t>三明市沙县区</w:t>
      </w:r>
      <w:r>
        <w:rPr>
          <w:rFonts w:hint="eastAsia" w:ascii="仿宋" w:hAnsi="仿宋" w:eastAsia="仿宋" w:cs="仿宋"/>
          <w:kern w:val="0"/>
          <w:sz w:val="24"/>
        </w:rPr>
        <w:t>人民法院</w:t>
      </w:r>
      <w:r>
        <w:rPr>
          <w:rFonts w:hint="eastAsia" w:ascii="仿宋" w:hAnsi="仿宋" w:eastAsia="仿宋" w:cs="仿宋"/>
          <w:kern w:val="0"/>
          <w:sz w:val="24"/>
          <w:lang w:val="en-US" w:eastAsia="zh-CN"/>
        </w:rPr>
        <w:t>管辖</w:t>
      </w:r>
      <w:r>
        <w:rPr>
          <w:rFonts w:hint="eastAsia" w:ascii="仿宋" w:hAnsi="仿宋" w:eastAsia="仿宋" w:cs="仿宋"/>
          <w:kern w:val="0"/>
          <w:sz w:val="24"/>
        </w:rPr>
        <w:t>。</w:t>
      </w:r>
    </w:p>
    <w:p w14:paraId="3DBDCFDD">
      <w:pPr>
        <w:keepNext w:val="0"/>
        <w:keepLines w:val="0"/>
        <w:pageBreakBefore w:val="0"/>
        <w:kinsoku/>
        <w:wordWrap/>
        <w:overflowPunct/>
        <w:topLinePunct w:val="0"/>
        <w:autoSpaceDE w:val="0"/>
        <w:autoSpaceDN w:val="0"/>
        <w:bidi w:val="0"/>
        <w:adjustRightInd w:val="0"/>
        <w:spacing w:line="360" w:lineRule="auto"/>
        <w:ind w:firstLine="480"/>
        <w:outlineLvl w:val="0"/>
        <w:rPr>
          <w:rFonts w:hint="eastAsia" w:ascii="仿宋" w:hAnsi="仿宋" w:eastAsia="仿宋" w:cs="仿宋"/>
          <w:kern w:val="0"/>
          <w:sz w:val="24"/>
        </w:rPr>
      </w:pPr>
      <w:bookmarkStart w:id="166" w:name="_Toc12952"/>
      <w:bookmarkStart w:id="167" w:name="_Toc1878"/>
      <w:bookmarkStart w:id="168" w:name="_Toc31672"/>
      <w:bookmarkStart w:id="169" w:name="_Toc6113"/>
      <w:bookmarkStart w:id="170" w:name="_Toc30202"/>
      <w:r>
        <w:rPr>
          <w:rFonts w:hint="eastAsia" w:ascii="仿宋" w:hAnsi="仿宋" w:eastAsia="仿宋" w:cs="仿宋"/>
          <w:kern w:val="0"/>
          <w:sz w:val="24"/>
          <w:lang w:val="zh-CN"/>
        </w:rPr>
        <w:t>十八、</w:t>
      </w:r>
      <w:r>
        <w:rPr>
          <w:rFonts w:hint="eastAsia" w:ascii="仿宋" w:hAnsi="仿宋" w:eastAsia="仿宋" w:cs="仿宋"/>
          <w:kern w:val="0"/>
          <w:sz w:val="24"/>
        </w:rPr>
        <w:t>其他</w:t>
      </w:r>
      <w:bookmarkEnd w:id="166"/>
      <w:bookmarkEnd w:id="167"/>
      <w:bookmarkEnd w:id="168"/>
      <w:bookmarkEnd w:id="169"/>
      <w:bookmarkEnd w:id="170"/>
    </w:p>
    <w:p w14:paraId="5D079E32">
      <w:pPr>
        <w:keepNext w:val="0"/>
        <w:keepLines w:val="0"/>
        <w:pageBreakBefore w:val="0"/>
        <w:kinsoku/>
        <w:wordWrap/>
        <w:overflowPunct/>
        <w:topLinePunct w:val="0"/>
        <w:autoSpaceDE w:val="0"/>
        <w:autoSpaceDN w:val="0"/>
        <w:bidi w:val="0"/>
        <w:adjustRightIn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lang w:val="en-US" w:eastAsia="zh-CN"/>
        </w:rPr>
        <w:t>1、</w:t>
      </w:r>
      <w:r>
        <w:rPr>
          <w:rFonts w:hint="eastAsia" w:ascii="仿宋" w:hAnsi="仿宋" w:eastAsia="仿宋" w:cs="仿宋"/>
          <w:kern w:val="0"/>
          <w:sz w:val="24"/>
        </w:rPr>
        <w:t>合同附件为本合同不可分割的一部分，与本合同具有同等的法律效力，补充协议与本协议有冲突的，以补充协议为准。</w:t>
      </w:r>
    </w:p>
    <w:p w14:paraId="5238A18A">
      <w:pPr>
        <w:keepNext w:val="0"/>
        <w:keepLines w:val="0"/>
        <w:pageBreakBefore w:val="0"/>
        <w:kinsoku/>
        <w:wordWrap/>
        <w:overflowPunct/>
        <w:topLinePunct w:val="0"/>
        <w:autoSpaceDE w:val="0"/>
        <w:autoSpaceDN w:val="0"/>
        <w:bidi w:val="0"/>
        <w:adjustRightIn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lang w:val="en-US" w:eastAsia="zh-CN"/>
        </w:rPr>
        <w:t>2、</w:t>
      </w:r>
      <w:r>
        <w:rPr>
          <w:rFonts w:hint="eastAsia" w:ascii="仿宋" w:hAnsi="仿宋" w:eastAsia="仿宋" w:cs="仿宋"/>
          <w:kern w:val="0"/>
          <w:sz w:val="24"/>
        </w:rPr>
        <w:t>本合同一经生效，非经</w:t>
      </w:r>
      <w:r>
        <w:rPr>
          <w:rFonts w:hint="eastAsia" w:ascii="仿宋" w:hAnsi="仿宋" w:eastAsia="仿宋" w:cs="仿宋"/>
          <w:kern w:val="0"/>
          <w:sz w:val="24"/>
          <w:lang w:val="en-US" w:eastAsia="zh-CN"/>
        </w:rPr>
        <w:t>甲乙</w:t>
      </w:r>
      <w:r>
        <w:rPr>
          <w:rFonts w:hint="eastAsia" w:ascii="仿宋" w:hAnsi="仿宋" w:eastAsia="仿宋" w:cs="仿宋"/>
          <w:kern w:val="0"/>
          <w:sz w:val="24"/>
        </w:rPr>
        <w:t>双方签署书面补充协议同意，任何一方以其他方式对合同条款的增减及其他变更均无约束力。</w:t>
      </w:r>
    </w:p>
    <w:p w14:paraId="6A7934EB">
      <w:pPr>
        <w:keepNext w:val="0"/>
        <w:keepLines w:val="0"/>
        <w:pageBreakBefore w:val="0"/>
        <w:kinsoku/>
        <w:wordWrap/>
        <w:overflowPunct/>
        <w:topLinePunct w:val="0"/>
        <w:autoSpaceDE w:val="0"/>
        <w:autoSpaceDN w:val="0"/>
        <w:bidi w:val="0"/>
        <w:adjustRightIn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lang w:val="en-US" w:eastAsia="zh-CN"/>
        </w:rPr>
        <w:t>3、</w:t>
      </w:r>
      <w:r>
        <w:rPr>
          <w:rFonts w:hint="eastAsia" w:ascii="仿宋" w:hAnsi="仿宋" w:eastAsia="仿宋" w:cs="仿宋"/>
          <w:kern w:val="0"/>
          <w:sz w:val="24"/>
        </w:rPr>
        <w:t>本合同的内容及其有关的附件是</w:t>
      </w:r>
      <w:r>
        <w:rPr>
          <w:rFonts w:hint="eastAsia" w:ascii="仿宋" w:hAnsi="仿宋" w:eastAsia="仿宋" w:cs="仿宋"/>
          <w:kern w:val="0"/>
          <w:sz w:val="24"/>
          <w:lang w:val="en-US" w:eastAsia="zh-CN"/>
        </w:rPr>
        <w:t>甲乙</w:t>
      </w:r>
      <w:r>
        <w:rPr>
          <w:rFonts w:hint="eastAsia" w:ascii="仿宋" w:hAnsi="仿宋" w:eastAsia="仿宋" w:cs="仿宋"/>
          <w:kern w:val="0"/>
          <w:sz w:val="24"/>
        </w:rPr>
        <w:t>双方关于此次合作所最终确定的全部内容，双方均承认其已审阅、理解本合同及相关附件的内容，并同意取代</w:t>
      </w:r>
      <w:r>
        <w:rPr>
          <w:rFonts w:hint="eastAsia" w:ascii="仿宋" w:hAnsi="仿宋" w:eastAsia="仿宋" w:cs="仿宋"/>
          <w:kern w:val="0"/>
          <w:sz w:val="24"/>
          <w:lang w:val="en-US" w:eastAsia="zh-CN"/>
        </w:rPr>
        <w:t>甲乙</w:t>
      </w:r>
      <w:r>
        <w:rPr>
          <w:rFonts w:hint="eastAsia" w:ascii="仿宋" w:hAnsi="仿宋" w:eastAsia="仿宋" w:cs="仿宋"/>
          <w:kern w:val="0"/>
          <w:sz w:val="24"/>
        </w:rPr>
        <w:t>双方之间此前关于此次合作所做出的任何口头或书面的承诺。</w:t>
      </w:r>
    </w:p>
    <w:p w14:paraId="772E004F">
      <w:pPr>
        <w:keepNext w:val="0"/>
        <w:keepLines w:val="0"/>
        <w:pageBreakBefore w:val="0"/>
        <w:kinsoku/>
        <w:wordWrap/>
        <w:overflowPunct/>
        <w:topLinePunct w:val="0"/>
        <w:autoSpaceDE w:val="0"/>
        <w:autoSpaceDN w:val="0"/>
        <w:bidi w:val="0"/>
        <w:adjustRightIn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lang w:val="en-US" w:eastAsia="zh-CN"/>
        </w:rPr>
        <w:t>4、</w:t>
      </w:r>
      <w:r>
        <w:rPr>
          <w:rFonts w:hint="eastAsia" w:ascii="仿宋" w:hAnsi="仿宋" w:eastAsia="仿宋" w:cs="仿宋"/>
          <w:kern w:val="0"/>
          <w:sz w:val="24"/>
        </w:rPr>
        <w:t>本合同自双方加盖公章或合同专用章后生效，合同约定所有义务履行完毕后自行终止。合同的终止并不影响保密义务的继续履行。</w:t>
      </w:r>
    </w:p>
    <w:p w14:paraId="1D9D6FCF">
      <w:pPr>
        <w:keepNext w:val="0"/>
        <w:keepLines w:val="0"/>
        <w:pageBreakBefore w:val="0"/>
        <w:shd w:val="clear" w:color="auto" w:fill="FFFFFF"/>
        <w:kinsoku/>
        <w:wordWrap/>
        <w:overflowPunct/>
        <w:topLinePunct w:val="0"/>
        <w:autoSpaceDE w:val="0"/>
        <w:autoSpaceDN w:val="0"/>
        <w:bidi w:val="0"/>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lang w:val="en-US" w:eastAsia="zh-CN"/>
        </w:rPr>
        <w:t>5、</w:t>
      </w:r>
      <w:r>
        <w:rPr>
          <w:rFonts w:hint="eastAsia" w:ascii="仿宋" w:hAnsi="仿宋" w:eastAsia="仿宋" w:cs="仿宋"/>
          <w:kern w:val="0"/>
          <w:sz w:val="24"/>
        </w:rPr>
        <w:t>本合同及附件一式</w:t>
      </w:r>
      <w:r>
        <w:rPr>
          <w:rFonts w:hint="eastAsia" w:ascii="仿宋" w:hAnsi="仿宋" w:eastAsia="仿宋" w:cs="仿宋"/>
          <w:kern w:val="0"/>
          <w:sz w:val="24"/>
          <w:lang w:val="en-US" w:eastAsia="zh-CN"/>
        </w:rPr>
        <w:t>肆</w:t>
      </w:r>
      <w:r>
        <w:rPr>
          <w:rFonts w:hint="eastAsia" w:ascii="仿宋" w:hAnsi="仿宋" w:eastAsia="仿宋" w:cs="仿宋"/>
          <w:kern w:val="0"/>
          <w:sz w:val="24"/>
        </w:rPr>
        <w:t>份，</w:t>
      </w:r>
      <w:r>
        <w:rPr>
          <w:rFonts w:hint="eastAsia" w:ascii="仿宋" w:hAnsi="仿宋" w:eastAsia="仿宋" w:cs="仿宋"/>
          <w:kern w:val="0"/>
          <w:sz w:val="24"/>
          <w:lang w:val="en-US" w:eastAsia="zh-CN"/>
        </w:rPr>
        <w:t>甲</w:t>
      </w:r>
      <w:r>
        <w:rPr>
          <w:rFonts w:hint="eastAsia" w:ascii="仿宋" w:hAnsi="仿宋" w:eastAsia="仿宋" w:cs="仿宋"/>
          <w:kern w:val="0"/>
          <w:sz w:val="24"/>
        </w:rPr>
        <w:t>方</w:t>
      </w:r>
      <w:r>
        <w:rPr>
          <w:rFonts w:hint="eastAsia" w:ascii="仿宋" w:hAnsi="仿宋" w:eastAsia="仿宋" w:cs="仿宋"/>
          <w:kern w:val="0"/>
          <w:sz w:val="24"/>
          <w:lang w:val="en-US" w:eastAsia="zh-CN"/>
        </w:rPr>
        <w:t>叁</w:t>
      </w:r>
      <w:r>
        <w:rPr>
          <w:rFonts w:hint="eastAsia" w:ascii="仿宋" w:hAnsi="仿宋" w:eastAsia="仿宋" w:cs="仿宋"/>
          <w:kern w:val="0"/>
          <w:sz w:val="24"/>
        </w:rPr>
        <w:t>份，</w:t>
      </w:r>
      <w:r>
        <w:rPr>
          <w:rFonts w:hint="eastAsia" w:ascii="仿宋" w:hAnsi="仿宋" w:eastAsia="仿宋" w:cs="仿宋"/>
          <w:kern w:val="0"/>
          <w:sz w:val="24"/>
          <w:lang w:val="en-US" w:eastAsia="zh-CN"/>
        </w:rPr>
        <w:t>乙方壹</w:t>
      </w:r>
      <w:r>
        <w:rPr>
          <w:rFonts w:hint="eastAsia" w:ascii="仿宋" w:hAnsi="仿宋" w:eastAsia="仿宋" w:cs="仿宋"/>
          <w:kern w:val="0"/>
          <w:sz w:val="24"/>
        </w:rPr>
        <w:t>份，每份具有同等的法律效力。</w:t>
      </w:r>
    </w:p>
    <w:p w14:paraId="13830833">
      <w:pPr>
        <w:keepNext w:val="0"/>
        <w:keepLines w:val="0"/>
        <w:pageBreakBefore w:val="0"/>
        <w:shd w:val="clear" w:color="auto" w:fill="FFFFFF"/>
        <w:kinsoku/>
        <w:wordWrap/>
        <w:overflowPunct/>
        <w:topLinePunct w:val="0"/>
        <w:autoSpaceDE w:val="0"/>
        <w:autoSpaceDN w:val="0"/>
        <w:bidi w:val="0"/>
        <w:adjustRightInd w:val="0"/>
        <w:snapToGrid w:val="0"/>
        <w:spacing w:line="360" w:lineRule="auto"/>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（以下无正文）</w:t>
      </w:r>
    </w:p>
    <w:p w14:paraId="1A2A3DED">
      <w:pPr>
        <w:pStyle w:val="2"/>
        <w:keepNext w:val="0"/>
        <w:keepLines w:val="0"/>
        <w:pageBreakBefore w:val="0"/>
        <w:wordWrap/>
        <w:overflowPunct/>
        <w:topLinePunct w:val="0"/>
        <w:autoSpaceDE w:val="0"/>
        <w:autoSpaceDN w:val="0"/>
        <w:bidi w:val="0"/>
        <w:adjustRightInd w:val="0"/>
        <w:spacing w:line="360" w:lineRule="auto"/>
        <w:ind w:firstLine="480"/>
        <w:rPr>
          <w:rFonts w:hint="eastAsia"/>
          <w:lang w:val="zh-CN"/>
        </w:rPr>
      </w:pPr>
    </w:p>
    <w:tbl>
      <w:tblPr>
        <w:tblStyle w:val="16"/>
        <w:tblW w:w="9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1"/>
        <w:gridCol w:w="5156"/>
      </w:tblGrid>
      <w:tr w14:paraId="71107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5" w:hRule="atLeast"/>
          <w:jc w:val="center"/>
        </w:trPr>
        <w:tc>
          <w:tcPr>
            <w:tcW w:w="4801" w:type="dxa"/>
            <w:tcBorders>
              <w:top w:val="single" w:color="auto" w:sz="4" w:space="0"/>
              <w:left w:val="single" w:color="auto" w:sz="4" w:space="0"/>
              <w:bottom w:val="single" w:color="auto" w:sz="4" w:space="0"/>
              <w:right w:val="single" w:color="auto" w:sz="4" w:space="0"/>
            </w:tcBorders>
            <w:noWrap w:val="0"/>
            <w:vAlign w:val="top"/>
          </w:tcPr>
          <w:p w14:paraId="1477C7A3">
            <w:pPr>
              <w:pStyle w:val="3"/>
              <w:keepNext w:val="0"/>
              <w:keepLines w:val="0"/>
              <w:pageBreakBefore w:val="0"/>
              <w:tabs>
                <w:tab w:val="left" w:pos="180"/>
              </w:tabs>
              <w:wordWrap/>
              <w:overflowPunct/>
              <w:topLinePunct w:val="0"/>
              <w:autoSpaceDE w:val="0"/>
              <w:autoSpaceDN w:val="0"/>
              <w:bidi w:val="0"/>
              <w:adjustRightInd w:val="0"/>
              <w:spacing w:line="360" w:lineRule="auto"/>
              <w:ind w:firstLine="0" w:firstLineChars="0"/>
              <w:rPr>
                <w:rFonts w:hint="eastAsia" w:ascii="仿宋" w:hAnsi="仿宋" w:eastAsia="仿宋" w:cs="仿宋"/>
              </w:rPr>
            </w:pPr>
            <w:r>
              <w:rPr>
                <w:rFonts w:hint="eastAsia" w:ascii="仿宋" w:hAnsi="仿宋" w:eastAsia="仿宋" w:cs="仿宋"/>
              </w:rPr>
              <w:t>甲  方</w:t>
            </w:r>
          </w:p>
          <w:p w14:paraId="4473C142">
            <w:pPr>
              <w:keepNext w:val="0"/>
              <w:keepLines w:val="0"/>
              <w:pageBreakBefore w:val="0"/>
              <w:wordWrap/>
              <w:overflowPunct/>
              <w:topLinePunct w:val="0"/>
              <w:autoSpaceDE w:val="0"/>
              <w:autoSpaceDN w:val="0"/>
              <w:bidi w:val="0"/>
              <w:adjustRightInd w:val="0"/>
              <w:spacing w:line="360" w:lineRule="auto"/>
              <w:rPr>
                <w:rFonts w:hint="eastAsia" w:ascii="仿宋" w:hAnsi="仿宋" w:eastAsia="仿宋" w:cs="仿宋"/>
                <w:sz w:val="24"/>
              </w:rPr>
            </w:pPr>
            <w:r>
              <w:rPr>
                <w:rFonts w:hint="eastAsia" w:ascii="仿宋" w:hAnsi="仿宋" w:eastAsia="仿宋" w:cs="仿宋"/>
                <w:sz w:val="24"/>
              </w:rPr>
              <w:t>名称（公章）：中国机械总院集团海西（福建）分院有限公司</w:t>
            </w:r>
            <w:r>
              <w:rPr>
                <w:rFonts w:hint="eastAsia" w:ascii="仿宋" w:hAnsi="仿宋" w:eastAsia="仿宋" w:cs="华文仿宋"/>
                <w:sz w:val="24"/>
              </w:rPr>
              <w:t xml:space="preserve"> </w:t>
            </w:r>
          </w:p>
          <w:p w14:paraId="6EF6F6A8">
            <w:pPr>
              <w:keepNext w:val="0"/>
              <w:keepLines w:val="0"/>
              <w:pageBreakBefore w:val="0"/>
              <w:wordWrap/>
              <w:overflowPunct/>
              <w:topLinePunct w:val="0"/>
              <w:autoSpaceDE w:val="0"/>
              <w:autoSpaceDN w:val="0"/>
              <w:bidi w:val="0"/>
              <w:adjustRightInd w:val="0"/>
              <w:spacing w:line="360" w:lineRule="auto"/>
              <w:ind w:left="600" w:hanging="600" w:hangingChars="250"/>
              <w:rPr>
                <w:rFonts w:hint="eastAsia" w:ascii="仿宋" w:hAnsi="仿宋" w:eastAsia="仿宋" w:cs="仿宋"/>
                <w:sz w:val="24"/>
              </w:rPr>
            </w:pPr>
            <w:r>
              <w:rPr>
                <w:rFonts w:hint="eastAsia" w:ascii="仿宋" w:hAnsi="仿宋" w:eastAsia="仿宋" w:cs="仿宋"/>
                <w:sz w:val="24"/>
              </w:rPr>
              <w:t xml:space="preserve">地址：福建省三明市沙县区金沙园开发区创新东路413号 </w:t>
            </w:r>
          </w:p>
          <w:p w14:paraId="74F141EF">
            <w:pPr>
              <w:keepNext w:val="0"/>
              <w:keepLines w:val="0"/>
              <w:pageBreakBefore w:val="0"/>
              <w:tabs>
                <w:tab w:val="left" w:pos="180"/>
              </w:tabs>
              <w:wordWrap/>
              <w:overflowPunct/>
              <w:topLinePunct w:val="0"/>
              <w:autoSpaceDE w:val="0"/>
              <w:autoSpaceDN w:val="0"/>
              <w:bidi w:val="0"/>
              <w:adjustRightInd w:val="0"/>
              <w:spacing w:line="360" w:lineRule="auto"/>
              <w:rPr>
                <w:rFonts w:ascii="仿宋" w:hAnsi="仿宋" w:eastAsia="仿宋" w:cs="仿宋"/>
                <w:sz w:val="24"/>
              </w:rPr>
            </w:pPr>
            <w:r>
              <w:rPr>
                <w:rFonts w:hint="eastAsia" w:ascii="仿宋" w:hAnsi="仿宋" w:eastAsia="仿宋" w:cs="仿宋"/>
                <w:sz w:val="24"/>
              </w:rPr>
              <w:t xml:space="preserve">法定代表人：薛松海 </w:t>
            </w:r>
          </w:p>
          <w:p w14:paraId="189DBBF4">
            <w:pPr>
              <w:pStyle w:val="3"/>
              <w:keepNext w:val="0"/>
              <w:keepLines w:val="0"/>
              <w:pageBreakBefore w:val="0"/>
              <w:tabs>
                <w:tab w:val="left" w:pos="180"/>
              </w:tabs>
              <w:wordWrap/>
              <w:overflowPunct/>
              <w:topLinePunct w:val="0"/>
              <w:autoSpaceDE w:val="0"/>
              <w:autoSpaceDN w:val="0"/>
              <w:bidi w:val="0"/>
              <w:adjustRightInd w:val="0"/>
              <w:spacing w:line="360" w:lineRule="auto"/>
              <w:ind w:firstLine="0" w:firstLineChars="0"/>
              <w:rPr>
                <w:rFonts w:hint="eastAsia" w:ascii="仿宋" w:hAnsi="仿宋" w:eastAsia="仿宋" w:cs="仿宋"/>
              </w:rPr>
            </w:pPr>
            <w:r>
              <w:rPr>
                <w:rFonts w:hint="eastAsia" w:ascii="仿宋" w:hAnsi="仿宋" w:eastAsia="仿宋" w:cs="仿宋"/>
              </w:rPr>
              <w:t>委托代理人：</w:t>
            </w:r>
          </w:p>
          <w:p w14:paraId="1D86CD06">
            <w:pPr>
              <w:keepNext w:val="0"/>
              <w:keepLines w:val="0"/>
              <w:pageBreakBefore w:val="0"/>
              <w:wordWrap/>
              <w:overflowPunct/>
              <w:topLinePunct w:val="0"/>
              <w:autoSpaceDE w:val="0"/>
              <w:autoSpaceDN w:val="0"/>
              <w:bidi w:val="0"/>
              <w:adjustRightInd w:val="0"/>
              <w:spacing w:line="360" w:lineRule="auto"/>
              <w:rPr>
                <w:rFonts w:hint="eastAsia" w:ascii="仿宋" w:hAnsi="仿宋" w:eastAsia="仿宋" w:cs="仿宋"/>
                <w:sz w:val="24"/>
              </w:rPr>
            </w:pPr>
            <w:r>
              <w:rPr>
                <w:rFonts w:hint="eastAsia" w:ascii="仿宋" w:hAnsi="仿宋" w:eastAsia="仿宋" w:cs="仿宋"/>
                <w:sz w:val="24"/>
              </w:rPr>
              <w:t xml:space="preserve">电话：0598-8863008 </w:t>
            </w:r>
            <w:r>
              <w:rPr>
                <w:rFonts w:ascii="仿宋" w:hAnsi="仿宋" w:eastAsia="仿宋" w:cs="仿宋"/>
                <w:sz w:val="24"/>
              </w:rPr>
              <w:t xml:space="preserve"> </w:t>
            </w:r>
          </w:p>
          <w:p w14:paraId="76BA41FE">
            <w:pPr>
              <w:pStyle w:val="3"/>
              <w:keepNext w:val="0"/>
              <w:keepLines w:val="0"/>
              <w:pageBreakBefore w:val="0"/>
              <w:tabs>
                <w:tab w:val="left" w:pos="180"/>
              </w:tabs>
              <w:wordWrap/>
              <w:overflowPunct/>
              <w:topLinePunct w:val="0"/>
              <w:autoSpaceDE w:val="0"/>
              <w:autoSpaceDN w:val="0"/>
              <w:bidi w:val="0"/>
              <w:adjustRightInd w:val="0"/>
              <w:spacing w:line="360" w:lineRule="auto"/>
              <w:ind w:firstLine="0" w:firstLineChars="0"/>
              <w:rPr>
                <w:rFonts w:hint="eastAsia" w:ascii="仿宋" w:hAnsi="仿宋" w:eastAsia="仿宋" w:cs="仿宋"/>
              </w:rPr>
            </w:pPr>
            <w:r>
              <w:rPr>
                <w:rFonts w:hint="eastAsia" w:ascii="仿宋" w:hAnsi="仿宋" w:eastAsia="仿宋" w:cs="仿宋"/>
              </w:rPr>
              <w:t>传真：</w:t>
            </w:r>
          </w:p>
          <w:p w14:paraId="4F0B1DFE">
            <w:pPr>
              <w:keepNext w:val="0"/>
              <w:keepLines w:val="0"/>
              <w:pageBreakBefore w:val="0"/>
              <w:wordWrap/>
              <w:overflowPunct/>
              <w:topLinePunct w:val="0"/>
              <w:autoSpaceDE w:val="0"/>
              <w:autoSpaceDN w:val="0"/>
              <w:bidi w:val="0"/>
              <w:adjustRightInd w:val="0"/>
              <w:spacing w:line="360" w:lineRule="auto"/>
              <w:rPr>
                <w:rFonts w:hint="eastAsia" w:ascii="仿宋" w:hAnsi="仿宋" w:eastAsia="仿宋" w:cs="仿宋"/>
                <w:sz w:val="24"/>
              </w:rPr>
            </w:pPr>
            <w:r>
              <w:rPr>
                <w:rFonts w:hint="eastAsia" w:ascii="仿宋" w:hAnsi="仿宋" w:eastAsia="仿宋" w:cs="仿宋"/>
                <w:sz w:val="24"/>
              </w:rPr>
              <w:t xml:space="preserve">开户银行：中国农业银行沙县支行 </w:t>
            </w:r>
          </w:p>
          <w:p w14:paraId="05165434">
            <w:pPr>
              <w:keepNext w:val="0"/>
              <w:keepLines w:val="0"/>
              <w:pageBreakBefore w:val="0"/>
              <w:wordWrap/>
              <w:overflowPunct/>
              <w:topLinePunct w:val="0"/>
              <w:autoSpaceDE w:val="0"/>
              <w:autoSpaceDN w:val="0"/>
              <w:bidi w:val="0"/>
              <w:adjustRightInd w:val="0"/>
              <w:spacing w:line="360" w:lineRule="auto"/>
              <w:rPr>
                <w:rFonts w:hint="eastAsia" w:ascii="仿宋" w:hAnsi="仿宋" w:eastAsia="仿宋" w:cs="仿宋"/>
                <w:sz w:val="24"/>
              </w:rPr>
            </w:pPr>
            <w:r>
              <w:rPr>
                <w:rFonts w:hint="eastAsia" w:ascii="仿宋" w:hAnsi="仿宋" w:eastAsia="仿宋" w:cs="仿宋"/>
                <w:sz w:val="24"/>
              </w:rPr>
              <w:t xml:space="preserve">银行帐号：13840101040017600 </w:t>
            </w:r>
            <w:r>
              <w:rPr>
                <w:rFonts w:ascii="仿宋" w:hAnsi="仿宋" w:eastAsia="仿宋" w:cs="仿宋"/>
                <w:sz w:val="24"/>
              </w:rPr>
              <w:t xml:space="preserve"> </w:t>
            </w:r>
          </w:p>
          <w:p w14:paraId="639DF2FC">
            <w:pPr>
              <w:pStyle w:val="3"/>
              <w:keepNext w:val="0"/>
              <w:keepLines w:val="0"/>
              <w:pageBreakBefore w:val="0"/>
              <w:tabs>
                <w:tab w:val="left" w:pos="180"/>
              </w:tabs>
              <w:wordWrap/>
              <w:overflowPunct/>
              <w:topLinePunct w:val="0"/>
              <w:autoSpaceDE w:val="0"/>
              <w:autoSpaceDN w:val="0"/>
              <w:bidi w:val="0"/>
              <w:adjustRightInd w:val="0"/>
              <w:spacing w:line="360" w:lineRule="auto"/>
              <w:ind w:firstLine="0" w:firstLineChars="0"/>
              <w:rPr>
                <w:rFonts w:hint="eastAsia" w:ascii="仿宋" w:hAnsi="仿宋" w:eastAsia="仿宋" w:cs="仿宋"/>
              </w:rPr>
            </w:pPr>
            <w:r>
              <w:rPr>
                <w:rFonts w:hint="eastAsia" w:ascii="仿宋" w:hAnsi="仿宋" w:eastAsia="仿宋" w:cs="仿宋"/>
              </w:rPr>
              <w:t>税号：913504270603757361</w:t>
            </w:r>
            <w:r>
              <w:rPr>
                <w:rFonts w:ascii="仿宋" w:hAnsi="仿宋" w:eastAsia="仿宋" w:cs="仿宋"/>
              </w:rPr>
              <w:t xml:space="preserve"> </w:t>
            </w:r>
          </w:p>
        </w:tc>
        <w:tc>
          <w:tcPr>
            <w:tcW w:w="5156" w:type="dxa"/>
            <w:tcBorders>
              <w:top w:val="single" w:color="auto" w:sz="4" w:space="0"/>
              <w:left w:val="single" w:color="auto" w:sz="4" w:space="0"/>
              <w:bottom w:val="single" w:color="auto" w:sz="4" w:space="0"/>
              <w:right w:val="single" w:color="auto" w:sz="4" w:space="0"/>
            </w:tcBorders>
            <w:noWrap w:val="0"/>
            <w:vAlign w:val="top"/>
          </w:tcPr>
          <w:p w14:paraId="70347FB9">
            <w:pPr>
              <w:pStyle w:val="3"/>
              <w:keepNext w:val="0"/>
              <w:keepLines w:val="0"/>
              <w:pageBreakBefore w:val="0"/>
              <w:tabs>
                <w:tab w:val="left" w:pos="180"/>
              </w:tabs>
              <w:wordWrap/>
              <w:overflowPunct/>
              <w:topLinePunct w:val="0"/>
              <w:autoSpaceDE w:val="0"/>
              <w:autoSpaceDN w:val="0"/>
              <w:bidi w:val="0"/>
              <w:adjustRightInd w:val="0"/>
              <w:spacing w:line="360" w:lineRule="auto"/>
              <w:ind w:firstLine="0" w:firstLineChars="0"/>
              <w:rPr>
                <w:rFonts w:hint="eastAsia" w:ascii="仿宋" w:hAnsi="仿宋" w:eastAsia="仿宋" w:cs="仿宋"/>
              </w:rPr>
            </w:pPr>
            <w:r>
              <w:rPr>
                <w:rFonts w:hint="eastAsia" w:ascii="仿宋" w:hAnsi="仿宋" w:eastAsia="仿宋" w:cs="仿宋"/>
              </w:rPr>
              <w:t>乙  方</w:t>
            </w:r>
          </w:p>
          <w:p w14:paraId="79648639">
            <w:pPr>
              <w:keepNext w:val="0"/>
              <w:keepLines w:val="0"/>
              <w:pageBreakBefore w:val="0"/>
              <w:wordWrap/>
              <w:overflowPunct/>
              <w:topLinePunct w:val="0"/>
              <w:autoSpaceDE w:val="0"/>
              <w:autoSpaceDN w:val="0"/>
              <w:bidi w:val="0"/>
              <w:adjustRightInd w:val="0"/>
              <w:spacing w:line="360" w:lineRule="auto"/>
              <w:ind w:left="600" w:hanging="600" w:hangingChars="250"/>
              <w:rPr>
                <w:rFonts w:hint="eastAsia" w:ascii="仿宋" w:hAnsi="仿宋" w:eastAsia="仿宋" w:cs="仿宋"/>
                <w:sz w:val="24"/>
              </w:rPr>
            </w:pPr>
            <w:r>
              <w:rPr>
                <w:rFonts w:hint="eastAsia" w:ascii="仿宋" w:hAnsi="仿宋" w:eastAsia="仿宋" w:cs="仿宋"/>
                <w:sz w:val="24"/>
              </w:rPr>
              <w:t>名称（公章）：</w:t>
            </w:r>
          </w:p>
          <w:p w14:paraId="194E5129">
            <w:pPr>
              <w:keepNext w:val="0"/>
              <w:keepLines w:val="0"/>
              <w:pageBreakBefore w:val="0"/>
              <w:wordWrap/>
              <w:overflowPunct/>
              <w:topLinePunct w:val="0"/>
              <w:autoSpaceDE w:val="0"/>
              <w:autoSpaceDN w:val="0"/>
              <w:bidi w:val="0"/>
              <w:adjustRightInd w:val="0"/>
              <w:spacing w:line="360" w:lineRule="auto"/>
              <w:ind w:left="600" w:hanging="600" w:hangingChars="250"/>
              <w:rPr>
                <w:rFonts w:hint="eastAsia" w:ascii="仿宋" w:hAnsi="仿宋" w:eastAsia="仿宋" w:cs="华文仿宋"/>
                <w:sz w:val="24"/>
              </w:rPr>
            </w:pPr>
            <w:r>
              <w:rPr>
                <w:rFonts w:hint="eastAsia" w:ascii="仿宋" w:hAnsi="仿宋" w:eastAsia="仿宋" w:cs="华文仿宋"/>
                <w:sz w:val="24"/>
              </w:rPr>
              <w:t xml:space="preserve">地址： </w:t>
            </w:r>
          </w:p>
          <w:p w14:paraId="209BBDFF">
            <w:pPr>
              <w:keepNext w:val="0"/>
              <w:keepLines w:val="0"/>
              <w:pageBreakBefore w:val="0"/>
              <w:tabs>
                <w:tab w:val="left" w:pos="180"/>
              </w:tabs>
              <w:wordWrap/>
              <w:overflowPunct/>
              <w:topLinePunct w:val="0"/>
              <w:autoSpaceDE w:val="0"/>
              <w:autoSpaceDN w:val="0"/>
              <w:bidi w:val="0"/>
              <w:adjustRightInd w:val="0"/>
              <w:spacing w:line="360" w:lineRule="auto"/>
              <w:rPr>
                <w:rFonts w:hint="eastAsia" w:ascii="仿宋" w:hAnsi="仿宋" w:eastAsia="仿宋" w:cs="仿宋"/>
                <w:sz w:val="24"/>
                <w:lang w:val="en-US" w:eastAsia="zh-CN"/>
              </w:rPr>
            </w:pPr>
            <w:r>
              <w:rPr>
                <w:rFonts w:hint="eastAsia" w:ascii="仿宋" w:hAnsi="仿宋" w:eastAsia="仿宋" w:cs="仿宋"/>
                <w:sz w:val="24"/>
              </w:rPr>
              <w:t>法定代表人：</w:t>
            </w:r>
          </w:p>
          <w:p w14:paraId="70722ABD">
            <w:pPr>
              <w:pStyle w:val="3"/>
              <w:keepNext w:val="0"/>
              <w:keepLines w:val="0"/>
              <w:pageBreakBefore w:val="0"/>
              <w:tabs>
                <w:tab w:val="left" w:pos="180"/>
              </w:tabs>
              <w:wordWrap/>
              <w:overflowPunct/>
              <w:topLinePunct w:val="0"/>
              <w:autoSpaceDE w:val="0"/>
              <w:autoSpaceDN w:val="0"/>
              <w:bidi w:val="0"/>
              <w:adjustRightInd w:val="0"/>
              <w:spacing w:line="360" w:lineRule="auto"/>
              <w:ind w:firstLine="0" w:firstLineChars="0"/>
              <w:rPr>
                <w:rFonts w:hint="eastAsia" w:ascii="仿宋" w:hAnsi="仿宋" w:eastAsia="仿宋" w:cs="仿宋"/>
              </w:rPr>
            </w:pPr>
            <w:r>
              <w:rPr>
                <w:rFonts w:hint="eastAsia" w:ascii="仿宋" w:hAnsi="仿宋" w:eastAsia="仿宋" w:cs="仿宋"/>
              </w:rPr>
              <w:t>委托代理人：</w:t>
            </w:r>
          </w:p>
          <w:p w14:paraId="0EC3F52D">
            <w:pPr>
              <w:keepNext w:val="0"/>
              <w:keepLines w:val="0"/>
              <w:pageBreakBefore w:val="0"/>
              <w:wordWrap/>
              <w:overflowPunct/>
              <w:topLinePunct w:val="0"/>
              <w:autoSpaceDE w:val="0"/>
              <w:autoSpaceDN w:val="0"/>
              <w:bidi w:val="0"/>
              <w:adjustRightInd w:val="0"/>
              <w:spacing w:line="360" w:lineRule="auto"/>
              <w:rPr>
                <w:rFonts w:hint="eastAsia" w:ascii="仿宋" w:hAnsi="仿宋" w:eastAsia="仿宋" w:cs="仿宋"/>
                <w:sz w:val="24"/>
              </w:rPr>
            </w:pPr>
            <w:r>
              <w:rPr>
                <w:rFonts w:hint="eastAsia" w:ascii="仿宋" w:hAnsi="仿宋" w:eastAsia="仿宋" w:cs="仿宋"/>
                <w:sz w:val="24"/>
              </w:rPr>
              <w:t>电话：</w:t>
            </w:r>
          </w:p>
          <w:p w14:paraId="44194AE9">
            <w:pPr>
              <w:pStyle w:val="3"/>
              <w:keepNext w:val="0"/>
              <w:keepLines w:val="0"/>
              <w:pageBreakBefore w:val="0"/>
              <w:tabs>
                <w:tab w:val="left" w:pos="180"/>
              </w:tabs>
              <w:wordWrap/>
              <w:overflowPunct/>
              <w:topLinePunct w:val="0"/>
              <w:autoSpaceDE w:val="0"/>
              <w:autoSpaceDN w:val="0"/>
              <w:bidi w:val="0"/>
              <w:adjustRightInd w:val="0"/>
              <w:spacing w:line="360" w:lineRule="auto"/>
              <w:ind w:firstLine="0" w:firstLineChars="0"/>
              <w:rPr>
                <w:rFonts w:hint="eastAsia" w:ascii="仿宋" w:hAnsi="仿宋" w:eastAsia="仿宋" w:cs="仿宋"/>
              </w:rPr>
            </w:pPr>
            <w:r>
              <w:rPr>
                <w:rFonts w:hint="eastAsia" w:ascii="仿宋" w:hAnsi="仿宋" w:eastAsia="仿宋" w:cs="仿宋"/>
              </w:rPr>
              <w:t>传真：</w:t>
            </w:r>
          </w:p>
          <w:p w14:paraId="46AA2C49">
            <w:pPr>
              <w:keepNext w:val="0"/>
              <w:keepLines w:val="0"/>
              <w:pageBreakBefore w:val="0"/>
              <w:wordWrap/>
              <w:overflowPunct/>
              <w:topLinePunct w:val="0"/>
              <w:autoSpaceDE w:val="0"/>
              <w:autoSpaceDN w:val="0"/>
              <w:bidi w:val="0"/>
              <w:adjustRightInd w:val="0"/>
              <w:spacing w:line="360" w:lineRule="auto"/>
              <w:rPr>
                <w:rFonts w:hint="eastAsia" w:ascii="仿宋" w:hAnsi="仿宋" w:eastAsia="仿宋" w:cs="仿宋"/>
                <w:sz w:val="24"/>
              </w:rPr>
            </w:pPr>
            <w:r>
              <w:rPr>
                <w:rFonts w:hint="eastAsia" w:ascii="仿宋" w:hAnsi="仿宋" w:eastAsia="仿宋" w:cs="仿宋"/>
                <w:sz w:val="24"/>
              </w:rPr>
              <w:t>开户银行：</w:t>
            </w:r>
          </w:p>
          <w:p w14:paraId="6A2BF6E0">
            <w:pPr>
              <w:keepNext w:val="0"/>
              <w:keepLines w:val="0"/>
              <w:pageBreakBefore w:val="0"/>
              <w:wordWrap/>
              <w:overflowPunct/>
              <w:topLinePunct w:val="0"/>
              <w:autoSpaceDE w:val="0"/>
              <w:autoSpaceDN w:val="0"/>
              <w:bidi w:val="0"/>
              <w:adjustRightInd w:val="0"/>
              <w:spacing w:line="360" w:lineRule="auto"/>
              <w:rPr>
                <w:rFonts w:hint="eastAsia" w:ascii="仿宋" w:hAnsi="仿宋" w:eastAsia="仿宋" w:cs="仿宋"/>
                <w:sz w:val="24"/>
              </w:rPr>
            </w:pPr>
            <w:r>
              <w:rPr>
                <w:rFonts w:hint="eastAsia" w:ascii="仿宋" w:hAnsi="仿宋" w:eastAsia="仿宋" w:cs="仿宋"/>
                <w:sz w:val="24"/>
              </w:rPr>
              <w:t>银行帐号：</w:t>
            </w:r>
          </w:p>
          <w:p w14:paraId="747306D0">
            <w:pPr>
              <w:keepNext w:val="0"/>
              <w:keepLines w:val="0"/>
              <w:pageBreakBefore w:val="0"/>
              <w:wordWrap/>
              <w:overflowPunct/>
              <w:topLinePunct w:val="0"/>
              <w:autoSpaceDE w:val="0"/>
              <w:autoSpaceDN w:val="0"/>
              <w:bidi w:val="0"/>
              <w:adjustRightInd w:val="0"/>
              <w:spacing w:line="360" w:lineRule="auto"/>
              <w:rPr>
                <w:rFonts w:hint="eastAsia" w:ascii="仿宋" w:hAnsi="仿宋" w:eastAsia="仿宋" w:cs="仿宋"/>
                <w:sz w:val="24"/>
              </w:rPr>
            </w:pPr>
            <w:r>
              <w:rPr>
                <w:rFonts w:hint="eastAsia" w:ascii="仿宋" w:hAnsi="仿宋" w:eastAsia="仿宋" w:cs="仿宋"/>
                <w:sz w:val="24"/>
              </w:rPr>
              <w:t>税号：</w:t>
            </w:r>
          </w:p>
        </w:tc>
      </w:tr>
    </w:tbl>
    <w:p w14:paraId="135DBB77">
      <w:pPr>
        <w:pStyle w:val="2"/>
        <w:keepNext w:val="0"/>
        <w:keepLines w:val="0"/>
        <w:pageBreakBefore w:val="0"/>
        <w:wordWrap/>
        <w:overflowPunct/>
        <w:topLinePunct w:val="0"/>
        <w:autoSpaceDE w:val="0"/>
        <w:autoSpaceDN w:val="0"/>
        <w:bidi w:val="0"/>
        <w:adjustRightInd w:val="0"/>
        <w:spacing w:line="360" w:lineRule="auto"/>
        <w:ind w:firstLine="480"/>
        <w:rPr>
          <w:rFonts w:ascii="仿宋" w:hAnsi="仿宋" w:eastAsia="仿宋"/>
        </w:rPr>
      </w:pPr>
    </w:p>
    <w:p w14:paraId="69193D57">
      <w:pPr>
        <w:keepNext w:val="0"/>
        <w:keepLines w:val="0"/>
        <w:pageBreakBefore w:val="0"/>
        <w:wordWrap/>
        <w:overflowPunct/>
        <w:topLinePunct w:val="0"/>
        <w:autoSpaceDE w:val="0"/>
        <w:autoSpaceDN w:val="0"/>
        <w:bidi w:val="0"/>
        <w:adjustRightInd w:val="0"/>
        <w:spacing w:line="360" w:lineRule="auto"/>
        <w:rPr>
          <w:rFonts w:hint="eastAsia" w:ascii="宋体" w:hAnsi="宋体" w:eastAsia="宋体" w:cs="宋体"/>
        </w:rPr>
      </w:pPr>
    </w:p>
    <w:sectPr>
      <w:pgSz w:w="11905" w:h="16838"/>
      <w:pgMar w:top="1440" w:right="1080" w:bottom="1440" w:left="1080" w:header="851" w:footer="1020" w:gutter="0"/>
      <w:pgNumType w:fmt="decimal"/>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仿宋">
    <w:altName w:val="宋体"/>
    <w:panose1 w:val="00000000000000000000"/>
    <w:charset w:val="86"/>
    <w:family w:val="roman"/>
    <w:pitch w:val="default"/>
    <w:sig w:usb0="00000000" w:usb1="00000000" w:usb2="00000000" w:usb3="00000000" w:csb0="00040001" w:csb1="00000000"/>
  </w:font>
  <w:font w:name="宋体;SimSun">
    <w:altName w:val="宋体"/>
    <w:panose1 w:val="00000000000000000000"/>
    <w:charset w:val="86"/>
    <w:family w:val="roman"/>
    <w:pitch w:val="default"/>
    <w:sig w:usb0="00000000" w:usb1="00000000" w:usb2="00000000" w:usb3="00000000" w:csb0="00040001"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0847A">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2D5CFA">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B2D5CFA">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84C5A6">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BC6ED2">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8BC6ED2">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ECFA3">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C57A50">
                          <w:pPr>
                            <w:pStyle w:val="11"/>
                          </w:pPr>
                          <w:r>
                            <w:t xml:space="preserve">第 </w:t>
                          </w:r>
                          <w:r>
                            <w:fldChar w:fldCharType="begin"/>
                          </w:r>
                          <w:r>
                            <w:instrText xml:space="preserve"> PAGE  \* MERGEFORMAT </w:instrText>
                          </w:r>
                          <w:r>
                            <w:fldChar w:fldCharType="separate"/>
                          </w:r>
                          <w:r>
                            <w:t>10</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FC57A50">
                    <w:pPr>
                      <w:pStyle w:val="11"/>
                    </w:pPr>
                    <w:r>
                      <w:t xml:space="preserve">第 </w:t>
                    </w:r>
                    <w:r>
                      <w:fldChar w:fldCharType="begin"/>
                    </w:r>
                    <w:r>
                      <w:instrText xml:space="preserve"> PAGE  \* MERGEFORMAT </w:instrText>
                    </w:r>
                    <w:r>
                      <w:fldChar w:fldCharType="separate"/>
                    </w:r>
                    <w:r>
                      <w:t>10</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1A256">
    <w:pPr>
      <w:spacing w:before="224" w:line="185" w:lineRule="auto"/>
      <w:rPr>
        <w:rFonts w:ascii="宋体" w:hAnsi="宋体" w:eastAsia="宋体" w:cs="宋体"/>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09A9C">
    <w:pPr>
      <w:spacing w:before="224" w:line="185"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drawing>
        <wp:inline distT="0" distB="0" distL="114300" distR="114300">
          <wp:extent cx="5826760" cy="675640"/>
          <wp:effectExtent l="0" t="0" r="10160" b="10160"/>
          <wp:docPr id="1" name="图片 1" descr="海西常用LOGO=中英文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海西常用LOGO=中英文版"/>
                  <pic:cNvPicPr>
                    <a:picLocks noChangeAspect="1"/>
                  </pic:cNvPicPr>
                </pic:nvPicPr>
                <pic:blipFill>
                  <a:blip r:embed="rId1"/>
                  <a:stretch>
                    <a:fillRect/>
                  </a:stretch>
                </pic:blipFill>
                <pic:spPr>
                  <a:xfrm>
                    <a:off x="0" y="0"/>
                    <a:ext cx="5826760" cy="67564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F6722">
    <w:pPr>
      <w:spacing w:before="224" w:line="185"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drawing>
        <wp:inline distT="0" distB="0" distL="114300" distR="114300">
          <wp:extent cx="6183630" cy="717550"/>
          <wp:effectExtent l="0" t="0" r="3810" b="13970"/>
          <wp:docPr id="3" name="图片 3" descr="海西常用LOGO=中英文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海西常用LOGO=中英文版"/>
                  <pic:cNvPicPr>
                    <a:picLocks noChangeAspect="1"/>
                  </pic:cNvPicPr>
                </pic:nvPicPr>
                <pic:blipFill>
                  <a:blip r:embed="rId1"/>
                  <a:stretch>
                    <a:fillRect/>
                  </a:stretch>
                </pic:blipFill>
                <pic:spPr>
                  <a:xfrm>
                    <a:off x="0" y="0"/>
                    <a:ext cx="6183630" cy="71755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3F7D25"/>
    <w:multiLevelType w:val="multilevel"/>
    <w:tmpl w:val="1B3F7D2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9204AB2"/>
    <w:multiLevelType w:val="multilevel"/>
    <w:tmpl w:val="39204AB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F8643EB"/>
    <w:multiLevelType w:val="multilevel"/>
    <w:tmpl w:val="3F8643E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3676FDE"/>
    <w:multiLevelType w:val="multilevel"/>
    <w:tmpl w:val="53676FD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55847FE"/>
    <w:multiLevelType w:val="multilevel"/>
    <w:tmpl w:val="555847F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D1F4886"/>
    <w:multiLevelType w:val="singleLevel"/>
    <w:tmpl w:val="6D1F4886"/>
    <w:lvl w:ilvl="0" w:tentative="0">
      <w:start w:val="1"/>
      <w:numFmt w:val="bullet"/>
      <w:lvlText w:val=""/>
      <w:lvlJc w:val="left"/>
      <w:pPr>
        <w:ind w:left="420" w:hanging="420"/>
      </w:pPr>
      <w:rPr>
        <w:rFonts w:hint="default" w:ascii="Wingdings" w:hAnsi="Wingdings"/>
      </w:rPr>
    </w:lvl>
  </w:abstractNum>
  <w:abstractNum w:abstractNumId="6">
    <w:nsid w:val="7C3A1781"/>
    <w:multiLevelType w:val="multilevel"/>
    <w:tmpl w:val="7C3A178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5"/>
  </w:num>
  <w:num w:numId="4">
    <w:abstractNumId w:val="2"/>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U2ZTU4NmFiOTE3ZWRmYjIwMDdjYzI1NDZmMzcyMGIifQ=="/>
  </w:docVars>
  <w:rsids>
    <w:rsidRoot w:val="78EE6CAC"/>
    <w:rsid w:val="000243C9"/>
    <w:rsid w:val="000E6220"/>
    <w:rsid w:val="00130750"/>
    <w:rsid w:val="00177563"/>
    <w:rsid w:val="0017764E"/>
    <w:rsid w:val="0019086B"/>
    <w:rsid w:val="001A28DA"/>
    <w:rsid w:val="00241B37"/>
    <w:rsid w:val="002A64B2"/>
    <w:rsid w:val="00303A41"/>
    <w:rsid w:val="003360EA"/>
    <w:rsid w:val="003362E1"/>
    <w:rsid w:val="0034421A"/>
    <w:rsid w:val="00360C78"/>
    <w:rsid w:val="004269BE"/>
    <w:rsid w:val="004574D5"/>
    <w:rsid w:val="004B1EE3"/>
    <w:rsid w:val="004D40C6"/>
    <w:rsid w:val="00526E07"/>
    <w:rsid w:val="00565001"/>
    <w:rsid w:val="00732474"/>
    <w:rsid w:val="00740B87"/>
    <w:rsid w:val="00753CE8"/>
    <w:rsid w:val="007B144B"/>
    <w:rsid w:val="007B7E52"/>
    <w:rsid w:val="007F7F34"/>
    <w:rsid w:val="00801FF0"/>
    <w:rsid w:val="00850FBC"/>
    <w:rsid w:val="0086421B"/>
    <w:rsid w:val="0087144D"/>
    <w:rsid w:val="00927037"/>
    <w:rsid w:val="00927DAB"/>
    <w:rsid w:val="00940DEE"/>
    <w:rsid w:val="00972536"/>
    <w:rsid w:val="009E110A"/>
    <w:rsid w:val="009E7ADB"/>
    <w:rsid w:val="00A04F46"/>
    <w:rsid w:val="00A22BB1"/>
    <w:rsid w:val="00A561A6"/>
    <w:rsid w:val="00A6000F"/>
    <w:rsid w:val="00A613B3"/>
    <w:rsid w:val="00AB679A"/>
    <w:rsid w:val="00B26138"/>
    <w:rsid w:val="00B31813"/>
    <w:rsid w:val="00BB4E4C"/>
    <w:rsid w:val="00BB4FD3"/>
    <w:rsid w:val="00BD1563"/>
    <w:rsid w:val="00CF3790"/>
    <w:rsid w:val="00CF4E62"/>
    <w:rsid w:val="00D0289F"/>
    <w:rsid w:val="00D02D28"/>
    <w:rsid w:val="00D23398"/>
    <w:rsid w:val="00D331CD"/>
    <w:rsid w:val="00D80CD9"/>
    <w:rsid w:val="00DC42AF"/>
    <w:rsid w:val="00E952F6"/>
    <w:rsid w:val="00E97194"/>
    <w:rsid w:val="00F02DC0"/>
    <w:rsid w:val="00F055FE"/>
    <w:rsid w:val="00F0694F"/>
    <w:rsid w:val="00F84343"/>
    <w:rsid w:val="00F90427"/>
    <w:rsid w:val="00F90A9E"/>
    <w:rsid w:val="00F96AA0"/>
    <w:rsid w:val="00FA1312"/>
    <w:rsid w:val="00FB596A"/>
    <w:rsid w:val="00FF02E1"/>
    <w:rsid w:val="00FF0855"/>
    <w:rsid w:val="00FF35BD"/>
    <w:rsid w:val="01DE5DA6"/>
    <w:rsid w:val="031A62F1"/>
    <w:rsid w:val="03795BF7"/>
    <w:rsid w:val="05791EDF"/>
    <w:rsid w:val="063D2047"/>
    <w:rsid w:val="06555C4C"/>
    <w:rsid w:val="06BF6017"/>
    <w:rsid w:val="06D870D9"/>
    <w:rsid w:val="06DF3FC3"/>
    <w:rsid w:val="082216E1"/>
    <w:rsid w:val="087052F4"/>
    <w:rsid w:val="08713341"/>
    <w:rsid w:val="08E31B8A"/>
    <w:rsid w:val="0B3D3052"/>
    <w:rsid w:val="0BD75BB1"/>
    <w:rsid w:val="0C97306B"/>
    <w:rsid w:val="0C9E047D"/>
    <w:rsid w:val="0D3C1DC3"/>
    <w:rsid w:val="0E0137ED"/>
    <w:rsid w:val="0E39220B"/>
    <w:rsid w:val="0F184516"/>
    <w:rsid w:val="0F66217A"/>
    <w:rsid w:val="10E87F18"/>
    <w:rsid w:val="10F82212"/>
    <w:rsid w:val="12E6250F"/>
    <w:rsid w:val="13C95DDF"/>
    <w:rsid w:val="13DD4624"/>
    <w:rsid w:val="142B0848"/>
    <w:rsid w:val="143516C6"/>
    <w:rsid w:val="1441006B"/>
    <w:rsid w:val="152E56AC"/>
    <w:rsid w:val="15BE749A"/>
    <w:rsid w:val="187A6CED"/>
    <w:rsid w:val="189C7F66"/>
    <w:rsid w:val="19416EE3"/>
    <w:rsid w:val="19E54C84"/>
    <w:rsid w:val="1A2B2E16"/>
    <w:rsid w:val="1A584361"/>
    <w:rsid w:val="1CA53035"/>
    <w:rsid w:val="1CB72E06"/>
    <w:rsid w:val="1D406077"/>
    <w:rsid w:val="1F9B0ADF"/>
    <w:rsid w:val="1FC00470"/>
    <w:rsid w:val="20FD49CD"/>
    <w:rsid w:val="213B2D65"/>
    <w:rsid w:val="21B97B04"/>
    <w:rsid w:val="22345F2D"/>
    <w:rsid w:val="223760ED"/>
    <w:rsid w:val="229A5157"/>
    <w:rsid w:val="22F1792F"/>
    <w:rsid w:val="23BC3286"/>
    <w:rsid w:val="23C06ACA"/>
    <w:rsid w:val="24087AE2"/>
    <w:rsid w:val="287A1946"/>
    <w:rsid w:val="28845678"/>
    <w:rsid w:val="28872C4F"/>
    <w:rsid w:val="28AB7D51"/>
    <w:rsid w:val="29156767"/>
    <w:rsid w:val="29BA649E"/>
    <w:rsid w:val="29DE5491"/>
    <w:rsid w:val="2C01798C"/>
    <w:rsid w:val="2C7C594D"/>
    <w:rsid w:val="2CD14227"/>
    <w:rsid w:val="2EA636D0"/>
    <w:rsid w:val="2F8512FC"/>
    <w:rsid w:val="302A1EA4"/>
    <w:rsid w:val="30943860"/>
    <w:rsid w:val="30AA7370"/>
    <w:rsid w:val="322A618B"/>
    <w:rsid w:val="347B0F20"/>
    <w:rsid w:val="374B4BD9"/>
    <w:rsid w:val="384D4981"/>
    <w:rsid w:val="38557A9F"/>
    <w:rsid w:val="3A4A73CA"/>
    <w:rsid w:val="3B903503"/>
    <w:rsid w:val="3C440F6E"/>
    <w:rsid w:val="3DBD4357"/>
    <w:rsid w:val="3DCC7449"/>
    <w:rsid w:val="3DE83A67"/>
    <w:rsid w:val="3FEC2CD2"/>
    <w:rsid w:val="426501E7"/>
    <w:rsid w:val="42843695"/>
    <w:rsid w:val="42BD2F8E"/>
    <w:rsid w:val="435B1499"/>
    <w:rsid w:val="440A6827"/>
    <w:rsid w:val="44FF34A7"/>
    <w:rsid w:val="45976840"/>
    <w:rsid w:val="45E05087"/>
    <w:rsid w:val="47100713"/>
    <w:rsid w:val="474C1085"/>
    <w:rsid w:val="474C1DDB"/>
    <w:rsid w:val="48B325A9"/>
    <w:rsid w:val="49203109"/>
    <w:rsid w:val="4A7A55DF"/>
    <w:rsid w:val="4ABB39CC"/>
    <w:rsid w:val="4B2B0B52"/>
    <w:rsid w:val="4B5E45B8"/>
    <w:rsid w:val="4BF71DFE"/>
    <w:rsid w:val="4C0E5B77"/>
    <w:rsid w:val="4C25253E"/>
    <w:rsid w:val="4D355CB8"/>
    <w:rsid w:val="4DC57782"/>
    <w:rsid w:val="4DF810AC"/>
    <w:rsid w:val="4EAD157E"/>
    <w:rsid w:val="4FC652ED"/>
    <w:rsid w:val="4FF456D9"/>
    <w:rsid w:val="50054BB6"/>
    <w:rsid w:val="500951DA"/>
    <w:rsid w:val="50390222"/>
    <w:rsid w:val="5212481A"/>
    <w:rsid w:val="53DA53DB"/>
    <w:rsid w:val="543A1E06"/>
    <w:rsid w:val="55CA11C1"/>
    <w:rsid w:val="5621082A"/>
    <w:rsid w:val="56625644"/>
    <w:rsid w:val="56B90D23"/>
    <w:rsid w:val="579730CB"/>
    <w:rsid w:val="58324C4B"/>
    <w:rsid w:val="5A13454B"/>
    <w:rsid w:val="5ABC17C7"/>
    <w:rsid w:val="5BC00E43"/>
    <w:rsid w:val="5D2574A1"/>
    <w:rsid w:val="5D294756"/>
    <w:rsid w:val="5DA42F24"/>
    <w:rsid w:val="5DC2080A"/>
    <w:rsid w:val="5F6B1E45"/>
    <w:rsid w:val="5FC078B7"/>
    <w:rsid w:val="64032E7A"/>
    <w:rsid w:val="646451EA"/>
    <w:rsid w:val="65B23EF2"/>
    <w:rsid w:val="65D57105"/>
    <w:rsid w:val="67FF3F88"/>
    <w:rsid w:val="68F23F54"/>
    <w:rsid w:val="6905258B"/>
    <w:rsid w:val="696A45A4"/>
    <w:rsid w:val="69AB353C"/>
    <w:rsid w:val="69DF74C2"/>
    <w:rsid w:val="6A6D4009"/>
    <w:rsid w:val="6B9F29DB"/>
    <w:rsid w:val="6BE96623"/>
    <w:rsid w:val="6C242CBC"/>
    <w:rsid w:val="6C2947E2"/>
    <w:rsid w:val="6C4A4810"/>
    <w:rsid w:val="6CAD0BB5"/>
    <w:rsid w:val="6D9B34BE"/>
    <w:rsid w:val="6DD6696E"/>
    <w:rsid w:val="6E6B7E58"/>
    <w:rsid w:val="70DE50A1"/>
    <w:rsid w:val="70E231B1"/>
    <w:rsid w:val="714F5BD7"/>
    <w:rsid w:val="72D07765"/>
    <w:rsid w:val="73830C7C"/>
    <w:rsid w:val="73DA76D3"/>
    <w:rsid w:val="750A0CFF"/>
    <w:rsid w:val="76320737"/>
    <w:rsid w:val="77687477"/>
    <w:rsid w:val="778D3071"/>
    <w:rsid w:val="77BA6C36"/>
    <w:rsid w:val="78E77DBC"/>
    <w:rsid w:val="78EE6CAC"/>
    <w:rsid w:val="791B3704"/>
    <w:rsid w:val="796E7CD8"/>
    <w:rsid w:val="79D42231"/>
    <w:rsid w:val="79F214BE"/>
    <w:rsid w:val="7A0643B5"/>
    <w:rsid w:val="7A7953A0"/>
    <w:rsid w:val="7AED01B2"/>
    <w:rsid w:val="7B2C1BF9"/>
    <w:rsid w:val="7BFF730D"/>
    <w:rsid w:val="7C5238E1"/>
    <w:rsid w:val="7C603C27"/>
    <w:rsid w:val="7C80044E"/>
    <w:rsid w:val="7D691CDB"/>
    <w:rsid w:val="7E233DC5"/>
    <w:rsid w:val="7EBD3628"/>
    <w:rsid w:val="7F030EC6"/>
    <w:rsid w:val="7FB328E9"/>
    <w:rsid w:val="7FD142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4">
    <w:name w:val="heading 1"/>
    <w:basedOn w:val="1"/>
    <w:next w:val="1"/>
    <w:link w:val="28"/>
    <w:autoRedefine/>
    <w:qFormat/>
    <w:uiPriority w:val="0"/>
    <w:pPr>
      <w:keepNext/>
      <w:keepLines/>
      <w:spacing w:before="340" w:after="330" w:line="578" w:lineRule="auto"/>
      <w:outlineLvl w:val="0"/>
    </w:pPr>
    <w:rPr>
      <w:b/>
      <w:bCs/>
      <w:kern w:val="44"/>
      <w:sz w:val="44"/>
      <w:szCs w:val="44"/>
    </w:rPr>
  </w:style>
  <w:style w:type="paragraph" w:styleId="5">
    <w:name w:val="heading 2"/>
    <w:basedOn w:val="1"/>
    <w:next w:val="1"/>
    <w:autoRedefine/>
    <w:qFormat/>
    <w:uiPriority w:val="9"/>
    <w:pPr>
      <w:keepNext/>
      <w:spacing w:line="240" w:lineRule="auto"/>
      <w:ind w:firstLine="0" w:firstLineChars="0"/>
      <w:outlineLvl w:val="1"/>
    </w:pPr>
    <w:rPr>
      <w:rFonts w:cstheme="majorBidi"/>
      <w:b/>
      <w:bCs/>
      <w:color w:val="000000" w:themeColor="text1"/>
      <w:sz w:val="28"/>
      <w:szCs w:val="32"/>
      <w14:textFill>
        <w14:solidFill>
          <w14:schemeClr w14:val="tx1"/>
        </w14:solidFill>
      </w14:textFill>
    </w:rPr>
  </w:style>
  <w:style w:type="character" w:default="1" w:styleId="17">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ind w:firstLine="420" w:firstLineChars="200"/>
    </w:pPr>
  </w:style>
  <w:style w:type="paragraph" w:styleId="3">
    <w:name w:val="Body Text Indent"/>
    <w:basedOn w:val="1"/>
    <w:autoRedefine/>
    <w:qFormat/>
    <w:uiPriority w:val="0"/>
    <w:pPr>
      <w:spacing w:after="120"/>
      <w:ind w:left="420" w:leftChars="200"/>
    </w:pPr>
  </w:style>
  <w:style w:type="paragraph" w:styleId="6">
    <w:name w:val="annotation text"/>
    <w:basedOn w:val="1"/>
    <w:link w:val="25"/>
    <w:autoRedefine/>
    <w:qFormat/>
    <w:uiPriority w:val="0"/>
  </w:style>
  <w:style w:type="paragraph" w:styleId="7">
    <w:name w:val="Salutation"/>
    <w:basedOn w:val="1"/>
    <w:next w:val="1"/>
    <w:qFormat/>
    <w:uiPriority w:val="0"/>
    <w:rPr>
      <w:rFonts w:ascii="仿宋_GB2312;仿宋" w:hAnsi="仿宋_GB2312;仿宋" w:eastAsia="仿宋_GB2312;仿宋" w:cs="宋体;SimSun"/>
      <w:sz w:val="24"/>
      <w:lang w:val="zh-CN"/>
    </w:rPr>
  </w:style>
  <w:style w:type="paragraph" w:styleId="8">
    <w:name w:val="Body Text"/>
    <w:basedOn w:val="1"/>
    <w:autoRedefine/>
    <w:qFormat/>
    <w:uiPriority w:val="1"/>
    <w:rPr>
      <w:rFonts w:ascii="宋体" w:hAnsi="宋体" w:eastAsia="宋体" w:cs="宋体"/>
      <w:sz w:val="24"/>
      <w:szCs w:val="24"/>
      <w:lang w:val="zh-CN" w:bidi="zh-CN"/>
    </w:rPr>
  </w:style>
  <w:style w:type="paragraph" w:styleId="9">
    <w:name w:val="toc 3"/>
    <w:basedOn w:val="1"/>
    <w:next w:val="1"/>
    <w:autoRedefine/>
    <w:qFormat/>
    <w:uiPriority w:val="39"/>
    <w:pPr>
      <w:ind w:left="840" w:leftChars="400"/>
    </w:pPr>
  </w:style>
  <w:style w:type="paragraph" w:styleId="10">
    <w:name w:val="Body Text Indent 2"/>
    <w:basedOn w:val="1"/>
    <w:qFormat/>
    <w:uiPriority w:val="0"/>
    <w:pPr>
      <w:spacing w:after="120" w:line="480" w:lineRule="auto"/>
      <w:ind w:left="420" w:leftChars="200"/>
    </w:pPr>
  </w:style>
  <w:style w:type="paragraph" w:styleId="11">
    <w:name w:val="footer"/>
    <w:basedOn w:val="1"/>
    <w:autoRedefine/>
    <w:qFormat/>
    <w:uiPriority w:val="0"/>
    <w:pPr>
      <w:tabs>
        <w:tab w:val="center" w:pos="4153"/>
        <w:tab w:val="right" w:pos="8306"/>
      </w:tabs>
    </w:pPr>
    <w:rPr>
      <w:sz w:val="18"/>
    </w:rPr>
  </w:style>
  <w:style w:type="paragraph" w:styleId="12">
    <w:name w:val="header"/>
    <w:basedOn w:val="1"/>
    <w:link w:val="30"/>
    <w:autoRedefine/>
    <w:qFormat/>
    <w:uiPriority w:val="0"/>
    <w:pPr>
      <w:pBdr>
        <w:bottom w:val="single" w:color="auto" w:sz="6" w:space="1"/>
      </w:pBdr>
      <w:tabs>
        <w:tab w:val="center" w:pos="4153"/>
        <w:tab w:val="right" w:pos="8306"/>
      </w:tabs>
      <w:jc w:val="center"/>
    </w:pPr>
    <w:rPr>
      <w:sz w:val="18"/>
      <w:szCs w:val="18"/>
    </w:rPr>
  </w:style>
  <w:style w:type="paragraph" w:styleId="13">
    <w:name w:val="toc 1"/>
    <w:basedOn w:val="1"/>
    <w:next w:val="1"/>
    <w:autoRedefine/>
    <w:qFormat/>
    <w:uiPriority w:val="39"/>
  </w:style>
  <w:style w:type="paragraph" w:styleId="14">
    <w:name w:val="toc 2"/>
    <w:basedOn w:val="1"/>
    <w:next w:val="1"/>
    <w:autoRedefine/>
    <w:unhideWhenUsed/>
    <w:qFormat/>
    <w:uiPriority w:val="39"/>
    <w:pPr>
      <w:kinsoku/>
      <w:autoSpaceDE/>
      <w:autoSpaceDN/>
      <w:adjustRightInd/>
      <w:snapToGrid/>
      <w:spacing w:after="100" w:line="259" w:lineRule="auto"/>
      <w:ind w:left="220"/>
      <w:textAlignment w:val="auto"/>
    </w:pPr>
    <w:rPr>
      <w:rFonts w:cs="Times New Roman" w:asciiTheme="minorHAnsi" w:hAnsiTheme="minorHAnsi" w:eastAsiaTheme="minorEastAsia"/>
      <w:snapToGrid/>
      <w:color w:val="auto"/>
      <w:sz w:val="22"/>
      <w:szCs w:val="22"/>
    </w:rPr>
  </w:style>
  <w:style w:type="paragraph" w:styleId="15">
    <w:name w:val="annotation subject"/>
    <w:basedOn w:val="6"/>
    <w:next w:val="6"/>
    <w:link w:val="26"/>
    <w:autoRedefine/>
    <w:qFormat/>
    <w:uiPriority w:val="0"/>
    <w:rPr>
      <w:b/>
      <w:bCs/>
    </w:rPr>
  </w:style>
  <w:style w:type="character" w:styleId="18">
    <w:name w:val="Strong"/>
    <w:basedOn w:val="17"/>
    <w:autoRedefine/>
    <w:qFormat/>
    <w:uiPriority w:val="22"/>
    <w:rPr>
      <w:b/>
      <w:bCs/>
    </w:rPr>
  </w:style>
  <w:style w:type="character" w:styleId="19">
    <w:name w:val="Hyperlink"/>
    <w:basedOn w:val="17"/>
    <w:autoRedefine/>
    <w:unhideWhenUsed/>
    <w:qFormat/>
    <w:uiPriority w:val="99"/>
    <w:rPr>
      <w:color w:val="0563C1" w:themeColor="hyperlink"/>
      <w:u w:val="single"/>
      <w14:textFill>
        <w14:solidFill>
          <w14:schemeClr w14:val="hlink"/>
        </w14:solidFill>
      </w14:textFill>
    </w:rPr>
  </w:style>
  <w:style w:type="character" w:styleId="20">
    <w:name w:val="annotation reference"/>
    <w:basedOn w:val="17"/>
    <w:autoRedefine/>
    <w:qFormat/>
    <w:uiPriority w:val="0"/>
    <w:rPr>
      <w:sz w:val="21"/>
      <w:szCs w:val="21"/>
    </w:rPr>
  </w:style>
  <w:style w:type="table" w:customStyle="1" w:styleId="21">
    <w:name w:val="Table Normal"/>
    <w:autoRedefine/>
    <w:semiHidden/>
    <w:unhideWhenUsed/>
    <w:qFormat/>
    <w:uiPriority w:val="0"/>
    <w:tblPr>
      <w:tblCellMar>
        <w:top w:w="0" w:type="dxa"/>
        <w:left w:w="0" w:type="dxa"/>
        <w:bottom w:w="0" w:type="dxa"/>
        <w:right w:w="0" w:type="dxa"/>
      </w:tblCellMar>
    </w:tblPr>
  </w:style>
  <w:style w:type="character" w:customStyle="1" w:styleId="22">
    <w:name w:val="font01"/>
    <w:basedOn w:val="17"/>
    <w:autoRedefine/>
    <w:qFormat/>
    <w:uiPriority w:val="0"/>
    <w:rPr>
      <w:rFonts w:hint="eastAsia" w:ascii="宋体" w:hAnsi="宋体" w:eastAsia="宋体" w:cs="宋体"/>
      <w:color w:val="000000"/>
      <w:sz w:val="24"/>
      <w:szCs w:val="24"/>
      <w:u w:val="none"/>
      <w:vertAlign w:val="superscript"/>
    </w:rPr>
  </w:style>
  <w:style w:type="paragraph" w:customStyle="1" w:styleId="23">
    <w:name w:val="报告正文"/>
    <w:basedOn w:val="1"/>
    <w:autoRedefine/>
    <w:qFormat/>
    <w:uiPriority w:val="99"/>
    <w:pPr>
      <w:spacing w:line="360" w:lineRule="auto"/>
      <w:ind w:firstLine="560" w:firstLineChars="200"/>
    </w:pPr>
    <w:rPr>
      <w:sz w:val="28"/>
      <w:szCs w:val="28"/>
    </w:rPr>
  </w:style>
  <w:style w:type="paragraph" w:customStyle="1" w:styleId="24">
    <w:name w:val="WPSOffice手动目录 1"/>
    <w:autoRedefine/>
    <w:qFormat/>
    <w:uiPriority w:val="0"/>
    <w:rPr>
      <w:rFonts w:ascii="Times New Roman" w:hAnsi="Times New Roman" w:eastAsia="宋体" w:cs="Times New Roman"/>
      <w:lang w:val="en-US" w:eastAsia="zh-CN" w:bidi="ar-SA"/>
    </w:rPr>
  </w:style>
  <w:style w:type="character" w:customStyle="1" w:styleId="25">
    <w:name w:val="批注文字 字符"/>
    <w:basedOn w:val="17"/>
    <w:link w:val="6"/>
    <w:autoRedefine/>
    <w:qFormat/>
    <w:uiPriority w:val="0"/>
    <w:rPr>
      <w:rFonts w:ascii="Arial" w:hAnsi="Arial" w:eastAsia="Arial" w:cs="Arial"/>
      <w:snapToGrid w:val="0"/>
      <w:color w:val="000000"/>
      <w:sz w:val="21"/>
      <w:szCs w:val="21"/>
    </w:rPr>
  </w:style>
  <w:style w:type="character" w:customStyle="1" w:styleId="26">
    <w:name w:val="批注主题 字符"/>
    <w:basedOn w:val="25"/>
    <w:link w:val="15"/>
    <w:autoRedefine/>
    <w:qFormat/>
    <w:uiPriority w:val="0"/>
    <w:rPr>
      <w:rFonts w:ascii="Arial" w:hAnsi="Arial" w:eastAsia="Arial" w:cs="Arial"/>
      <w:b/>
      <w:bCs/>
      <w:snapToGrid w:val="0"/>
      <w:color w:val="000000"/>
      <w:sz w:val="21"/>
      <w:szCs w:val="21"/>
    </w:rPr>
  </w:style>
  <w:style w:type="paragraph" w:styleId="27">
    <w:name w:val="List Paragraph"/>
    <w:basedOn w:val="1"/>
    <w:autoRedefine/>
    <w:qFormat/>
    <w:uiPriority w:val="99"/>
    <w:pPr>
      <w:ind w:firstLine="420" w:firstLineChars="200"/>
    </w:pPr>
  </w:style>
  <w:style w:type="character" w:customStyle="1" w:styleId="28">
    <w:name w:val="标题 1 字符"/>
    <w:basedOn w:val="17"/>
    <w:link w:val="4"/>
    <w:autoRedefine/>
    <w:qFormat/>
    <w:uiPriority w:val="0"/>
    <w:rPr>
      <w:rFonts w:ascii="Arial" w:hAnsi="Arial" w:eastAsia="Arial" w:cs="Arial"/>
      <w:b/>
      <w:bCs/>
      <w:snapToGrid w:val="0"/>
      <w:color w:val="000000"/>
      <w:kern w:val="44"/>
      <w:sz w:val="44"/>
      <w:szCs w:val="44"/>
    </w:rPr>
  </w:style>
  <w:style w:type="paragraph" w:customStyle="1" w:styleId="29">
    <w:name w:val="TOC 标题1"/>
    <w:basedOn w:val="4"/>
    <w:next w:val="1"/>
    <w:autoRedefine/>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rPr>
  </w:style>
  <w:style w:type="character" w:customStyle="1" w:styleId="30">
    <w:name w:val="页眉 字符"/>
    <w:basedOn w:val="17"/>
    <w:link w:val="12"/>
    <w:autoRedefine/>
    <w:qFormat/>
    <w:uiPriority w:val="0"/>
    <w:rPr>
      <w:rFonts w:ascii="Arial" w:hAnsi="Arial" w:eastAsia="Arial" w:cs="Arial"/>
      <w:snapToGrid w:val="0"/>
      <w:color w:val="000000"/>
      <w:sz w:val="18"/>
      <w:szCs w:val="18"/>
    </w:rPr>
  </w:style>
  <w:style w:type="paragraph" w:customStyle="1" w:styleId="31">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2">
    <w:name w:val="标题A"/>
    <w:basedOn w:val="27"/>
    <w:autoRedefine/>
    <w:qFormat/>
    <w:uiPriority w:val="0"/>
    <w:pPr>
      <w:widowControl/>
      <w:adjustRightInd w:val="0"/>
      <w:snapToGrid w:val="0"/>
      <w:spacing w:before="100" w:beforeAutospacing="1" w:after="100" w:afterAutospacing="1" w:line="360" w:lineRule="auto"/>
      <w:ind w:firstLine="0" w:firstLineChars="0"/>
      <w:jc w:val="left"/>
    </w:pPr>
    <w:rPr>
      <w:rFonts w:ascii="宋体" w:hAnsi="宋体"/>
      <w:b/>
      <w:color w:val="000000"/>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7039</Words>
  <Characters>7408</Characters>
  <Lines>28</Lines>
  <Paragraphs>7</Paragraphs>
  <TotalTime>2</TotalTime>
  <ScaleCrop>false</ScaleCrop>
  <LinksUpToDate>false</LinksUpToDate>
  <CharactersWithSpaces>7624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2022-12-03T00:45:00Z</dcterms:created>
  <dc:creator>Mr.Guang</dc:creator>
  <cp:lastModifiedBy>徐</cp:lastModifiedBy>
  <cp:lastPrinted>2022-12-05T07:10:00Z</cp:lastPrinted>
  <dcterms:modified xsi:type="dcterms:W3CDTF">2025-05-25T15:02:14Z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F1E627E2D5304317B1B859E55F4DFA11_13</vt:lpwstr>
  </property>
  <property fmtid="{D5CDD505-2E9C-101B-9397-08002B2CF9AE}" pid="4" name="KSOTemplateDocerSaveRecord">
    <vt:lpwstr>eyJoZGlkIjoiY2U2ZTU4NmFiOTE3ZWRmYjIwMDdjYzI1NDZmMzcyMGIiLCJ1c2VySWQiOiIyOTIwMTI1NzMifQ==</vt:lpwstr>
  </property>
</Properties>
</file>