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67077">
      <w:pPr>
        <w:spacing w:line="360" w:lineRule="auto"/>
        <w:rPr>
          <w:rFonts w:ascii="黑体"/>
        </w:rPr>
      </w:pPr>
    </w:p>
    <w:p w14:paraId="021546CC">
      <w:pPr>
        <w:spacing w:before="92" w:line="360" w:lineRule="auto"/>
        <w:ind w:firstLine="4480" w:firstLineChars="1600"/>
        <w:rPr>
          <w:rFonts w:hint="eastAsia" w:ascii="黑体" w:eastAsia="宋体"/>
          <w:lang w:eastAsia="zh-CN"/>
        </w:rPr>
      </w:pPr>
      <w:r>
        <w:rPr>
          <w:rFonts w:ascii="宋体" w:hAnsi="宋体" w:eastAsia="宋体" w:cs="宋体"/>
          <w:sz w:val="28"/>
          <w:szCs w:val="28"/>
          <w14:textOutline w14:w="5092" w14:cap="flat" w14:cmpd="sng" w14:algn="ctr">
            <w14:solidFill>
              <w14:srgbClr w14:val="000000"/>
            </w14:solidFill>
            <w14:prstDash w14:val="solid"/>
            <w14:miter w14:val="0"/>
          </w14:textOutline>
        </w:rPr>
        <w:t>招标文件编号</w:t>
      </w:r>
      <w:r>
        <w:rPr>
          <w:rFonts w:ascii="宋体" w:hAnsi="宋体" w:eastAsia="宋体" w:cs="宋体"/>
          <w:sz w:val="28"/>
          <w:szCs w:val="28"/>
        </w:rPr>
        <w:t>：</w:t>
      </w:r>
      <w:r>
        <w:rPr>
          <w:rFonts w:hint="eastAsia" w:ascii="宋体" w:hAnsi="宋体" w:eastAsia="宋体" w:cs="宋体"/>
          <w:sz w:val="28"/>
          <w:szCs w:val="28"/>
        </w:rPr>
        <w:t>HXZB202505260</w:t>
      </w:r>
      <w:r>
        <w:rPr>
          <w:rFonts w:hint="eastAsia" w:ascii="宋体" w:hAnsi="宋体" w:eastAsia="宋体" w:cs="宋体"/>
          <w:sz w:val="28"/>
          <w:szCs w:val="28"/>
          <w:lang w:val="en-US" w:eastAsia="zh-CN"/>
        </w:rPr>
        <w:t>2</w:t>
      </w:r>
    </w:p>
    <w:p w14:paraId="0549B11E">
      <w:pPr>
        <w:spacing w:line="360" w:lineRule="auto"/>
        <w:rPr>
          <w:rFonts w:ascii="黑体"/>
        </w:rPr>
      </w:pPr>
    </w:p>
    <w:p w14:paraId="771C776E">
      <w:pPr>
        <w:spacing w:line="360" w:lineRule="auto"/>
        <w:rPr>
          <w:rFonts w:ascii="黑体"/>
        </w:rPr>
      </w:pPr>
    </w:p>
    <w:p w14:paraId="1A1EBC40">
      <w:pPr>
        <w:spacing w:line="360" w:lineRule="auto"/>
        <w:rPr>
          <w:rFonts w:ascii="黑体"/>
        </w:rPr>
      </w:pPr>
    </w:p>
    <w:p w14:paraId="2828B333">
      <w:pPr>
        <w:spacing w:line="360" w:lineRule="auto"/>
        <w:rPr>
          <w:rFonts w:ascii="黑体"/>
        </w:rPr>
      </w:pPr>
    </w:p>
    <w:p w14:paraId="3C6F7E19">
      <w:pPr>
        <w:tabs>
          <w:tab w:val="left" w:pos="5882"/>
        </w:tabs>
        <w:spacing w:before="169" w:line="360" w:lineRule="auto"/>
        <w:jc w:val="center"/>
        <w:rPr>
          <w:rFonts w:hint="eastAsia" w:ascii="宋体" w:hAnsi="宋体" w:eastAsia="宋体" w:cs="宋体"/>
          <w:sz w:val="52"/>
          <w:szCs w:val="52"/>
        </w:rPr>
      </w:pPr>
      <w:r>
        <w:rPr>
          <w:rFonts w:hint="eastAsia" w:ascii="黑体" w:hAnsi="黑体" w:eastAsia="黑体" w:cs="黑体"/>
          <w:sz w:val="52"/>
          <w:szCs w:val="52"/>
          <w:u w:val="single"/>
        </w:rPr>
        <w:t>超声波清洗线</w:t>
      </w:r>
      <w:r>
        <w:rPr>
          <w:rFonts w:ascii="宋体" w:hAnsi="宋体" w:eastAsia="宋体" w:cs="宋体"/>
          <w:sz w:val="52"/>
          <w:szCs w:val="52"/>
        </w:rPr>
        <w:t>采购项目</w:t>
      </w:r>
    </w:p>
    <w:p w14:paraId="1C45655E">
      <w:pPr>
        <w:spacing w:line="360" w:lineRule="auto"/>
        <w:rPr>
          <w:rFonts w:ascii="黑体"/>
        </w:rPr>
      </w:pPr>
    </w:p>
    <w:p w14:paraId="2D4E8A49">
      <w:pPr>
        <w:spacing w:line="360" w:lineRule="auto"/>
        <w:rPr>
          <w:rFonts w:ascii="黑体"/>
        </w:rPr>
      </w:pPr>
    </w:p>
    <w:p w14:paraId="391BE2C5">
      <w:pPr>
        <w:spacing w:line="360" w:lineRule="auto"/>
        <w:rPr>
          <w:rFonts w:ascii="黑体"/>
        </w:rPr>
      </w:pPr>
    </w:p>
    <w:p w14:paraId="7DD767A5">
      <w:pPr>
        <w:spacing w:line="360" w:lineRule="auto"/>
        <w:rPr>
          <w:rFonts w:ascii="黑体"/>
        </w:rPr>
      </w:pPr>
    </w:p>
    <w:p w14:paraId="4BB01B1A">
      <w:pPr>
        <w:spacing w:line="360" w:lineRule="auto"/>
        <w:rPr>
          <w:rFonts w:ascii="黑体"/>
        </w:rPr>
      </w:pPr>
    </w:p>
    <w:p w14:paraId="3E0C9F85">
      <w:pPr>
        <w:spacing w:line="360" w:lineRule="auto"/>
        <w:rPr>
          <w:rFonts w:ascii="黑体"/>
        </w:rPr>
      </w:pPr>
      <w:bookmarkStart w:id="7" w:name="_GoBack"/>
      <w:bookmarkEnd w:id="7"/>
    </w:p>
    <w:p w14:paraId="05507A73">
      <w:pPr>
        <w:spacing w:line="360" w:lineRule="auto"/>
        <w:rPr>
          <w:rFonts w:ascii="黑体"/>
        </w:rPr>
      </w:pPr>
    </w:p>
    <w:p w14:paraId="7B764C0A">
      <w:pPr>
        <w:spacing w:before="274" w:line="360" w:lineRule="auto"/>
        <w:jc w:val="center"/>
        <w:outlineLvl w:val="0"/>
        <w:rPr>
          <w:rFonts w:hint="eastAsia" w:ascii="宋体" w:hAnsi="宋体" w:eastAsia="宋体" w:cs="宋体"/>
          <w:sz w:val="84"/>
          <w:szCs w:val="84"/>
        </w:rPr>
      </w:pPr>
      <w:bookmarkStart w:id="0" w:name="_Toc7596"/>
      <w:bookmarkStart w:id="1" w:name="_Toc4814"/>
      <w:bookmarkStart w:id="2" w:name="_Toc3319"/>
      <w:r>
        <w:rPr>
          <w:rFonts w:ascii="宋体" w:hAnsi="宋体" w:eastAsia="宋体" w:cs="宋体"/>
          <w:sz w:val="84"/>
          <w:szCs w:val="84"/>
          <w14:textOutline w14:w="15240" w14:cap="flat" w14:cmpd="sng" w14:algn="ctr">
            <w14:solidFill>
              <w14:srgbClr w14:val="000000"/>
            </w14:solidFill>
            <w14:prstDash w14:val="solid"/>
            <w14:miter w14:val="0"/>
          </w14:textOutline>
        </w:rPr>
        <w:t>招标文件</w:t>
      </w:r>
      <w:bookmarkEnd w:id="0"/>
      <w:bookmarkEnd w:id="1"/>
      <w:bookmarkEnd w:id="2"/>
    </w:p>
    <w:p w14:paraId="045019AB">
      <w:pPr>
        <w:spacing w:line="360" w:lineRule="auto"/>
        <w:rPr>
          <w:rFonts w:ascii="黑体"/>
        </w:rPr>
      </w:pPr>
    </w:p>
    <w:p w14:paraId="0FF55651">
      <w:pPr>
        <w:spacing w:line="360" w:lineRule="auto"/>
        <w:rPr>
          <w:rFonts w:ascii="黑体"/>
        </w:rPr>
      </w:pPr>
    </w:p>
    <w:p w14:paraId="51FD26CF">
      <w:pPr>
        <w:spacing w:line="360" w:lineRule="auto"/>
        <w:rPr>
          <w:rFonts w:ascii="黑体"/>
        </w:rPr>
      </w:pPr>
    </w:p>
    <w:p w14:paraId="77C6B4AE">
      <w:pPr>
        <w:spacing w:line="360" w:lineRule="auto"/>
        <w:rPr>
          <w:rFonts w:ascii="黑体"/>
        </w:rPr>
      </w:pPr>
    </w:p>
    <w:p w14:paraId="1D0E5D1E">
      <w:pPr>
        <w:spacing w:before="104" w:line="360" w:lineRule="auto"/>
        <w:rPr>
          <w:rFonts w:hint="eastAsia" w:ascii="仿宋" w:hAnsi="仿宋" w:eastAsia="仿宋" w:cs="仿宋"/>
          <w:sz w:val="32"/>
          <w:szCs w:val="32"/>
        </w:rPr>
      </w:pPr>
    </w:p>
    <w:p w14:paraId="4B16FC93">
      <w:pPr>
        <w:spacing w:before="104" w:line="360" w:lineRule="auto"/>
        <w:jc w:val="center"/>
        <w:rPr>
          <w:rFonts w:hint="eastAsia" w:ascii="仿宋" w:hAnsi="仿宋" w:eastAsia="仿宋" w:cs="仿宋"/>
          <w:sz w:val="32"/>
          <w:szCs w:val="32"/>
        </w:rPr>
      </w:pPr>
      <w:r>
        <w:rPr>
          <w:rFonts w:ascii="仿宋" w:hAnsi="仿宋" w:eastAsia="仿宋" w:cs="仿宋"/>
          <w:sz w:val="32"/>
          <w:szCs w:val="32"/>
        </w:rPr>
        <w:t>招标人：</w:t>
      </w:r>
      <w:r>
        <w:rPr>
          <w:rFonts w:hint="eastAsia" w:ascii="仿宋" w:hAnsi="仿宋" w:eastAsia="仿宋" w:cs="仿宋"/>
          <w:sz w:val="32"/>
          <w:szCs w:val="32"/>
        </w:rPr>
        <w:t>中国机械总院集团海西（福建）分院有限公司</w:t>
      </w:r>
    </w:p>
    <w:p w14:paraId="4BE4617A">
      <w:pPr>
        <w:spacing w:line="360" w:lineRule="auto"/>
        <w:rPr>
          <w:rFonts w:ascii="黑体"/>
        </w:rPr>
      </w:pPr>
    </w:p>
    <w:p w14:paraId="137C6981">
      <w:pPr>
        <w:spacing w:before="104" w:line="360" w:lineRule="auto"/>
        <w:jc w:val="center"/>
        <w:rPr>
          <w:rFonts w:hint="eastAsia" w:ascii="仿宋" w:hAnsi="仿宋" w:eastAsia="仿宋" w:cs="仿宋"/>
          <w:sz w:val="32"/>
          <w:szCs w:val="32"/>
        </w:rPr>
      </w:pPr>
      <w:r>
        <w:rPr>
          <w:rFonts w:hint="eastAsia" w:ascii="仿宋" w:hAnsi="仿宋" w:eastAsia="仿宋" w:cs="仿宋"/>
          <w:sz w:val="32"/>
          <w:szCs w:val="32"/>
        </w:rPr>
        <w:t>2025</w:t>
      </w:r>
      <w:r>
        <w:rPr>
          <w:rFonts w:ascii="仿宋" w:hAnsi="仿宋" w:eastAsia="仿宋" w:cs="仿宋"/>
          <w:sz w:val="32"/>
          <w:szCs w:val="32"/>
        </w:rPr>
        <w:t>年</w:t>
      </w:r>
      <w:r>
        <w:rPr>
          <w:rFonts w:hint="eastAsia" w:ascii="仿宋" w:hAnsi="仿宋" w:eastAsia="仿宋" w:cs="仿宋"/>
          <w:sz w:val="32"/>
          <w:szCs w:val="32"/>
        </w:rPr>
        <w:t>05</w:t>
      </w:r>
      <w:r>
        <w:rPr>
          <w:rFonts w:ascii="仿宋" w:hAnsi="仿宋" w:eastAsia="仿宋" w:cs="仿宋"/>
          <w:sz w:val="32"/>
          <w:szCs w:val="32"/>
        </w:rPr>
        <w:t>月</w:t>
      </w:r>
      <w:r>
        <w:rPr>
          <w:rFonts w:hint="eastAsia" w:ascii="仿宋" w:hAnsi="仿宋" w:eastAsia="仿宋" w:cs="仿宋"/>
          <w:sz w:val="32"/>
          <w:szCs w:val="32"/>
        </w:rPr>
        <w:t>26</w:t>
      </w:r>
      <w:r>
        <w:rPr>
          <w:rFonts w:ascii="仿宋" w:hAnsi="仿宋" w:eastAsia="仿宋" w:cs="仿宋"/>
          <w:sz w:val="32"/>
          <w:szCs w:val="32"/>
        </w:rPr>
        <w:t>日</w:t>
      </w:r>
    </w:p>
    <w:p w14:paraId="26E827B9">
      <w:pPr>
        <w:spacing w:line="360" w:lineRule="auto"/>
        <w:rPr>
          <w:rFonts w:hint="eastAsia" w:ascii="仿宋" w:hAnsi="仿宋" w:eastAsia="仿宋" w:cs="仿宋"/>
          <w:sz w:val="32"/>
          <w:szCs w:val="32"/>
        </w:rPr>
      </w:pPr>
      <w:r>
        <w:rPr>
          <w:rFonts w:ascii="仿宋" w:hAnsi="仿宋" w:eastAsia="仿宋" w:cs="仿宋"/>
          <w:sz w:val="32"/>
          <w:szCs w:val="32"/>
        </w:rPr>
        <w:br w:type="page"/>
      </w:r>
    </w:p>
    <w:p w14:paraId="33489DFA">
      <w:pPr>
        <w:pStyle w:val="2"/>
      </w:pPr>
    </w:p>
    <w:p w14:paraId="03E15B63">
      <w:pPr>
        <w:spacing w:line="360" w:lineRule="auto"/>
        <w:sectPr>
          <w:headerReference r:id="rId3" w:type="default"/>
          <w:pgSz w:w="11907" w:h="16839"/>
          <w:pgMar w:top="1432" w:right="1389" w:bottom="1201" w:left="1389" w:header="852" w:footer="1021" w:gutter="0"/>
          <w:cols w:space="720" w:num="1"/>
        </w:sectPr>
      </w:pPr>
    </w:p>
    <w:sdt>
      <w:sdtPr>
        <w:rPr>
          <w:rFonts w:ascii="宋体" w:hAnsi="宋体" w:eastAsia="宋体"/>
        </w:rPr>
        <w:id w:val="323009654"/>
        <w15:color w:val="DBDBDB"/>
        <w:docPartObj>
          <w:docPartGallery w:val="Table of Contents"/>
          <w:docPartUnique/>
        </w:docPartObj>
      </w:sdtPr>
      <w:sdtEndPr>
        <w:rPr>
          <w:rFonts w:ascii="宋体" w:hAnsi="宋体" w:eastAsia="宋体" w:cs="宋体"/>
          <w:sz w:val="56"/>
          <w:szCs w:val="180"/>
          <w14:textOutline w14:w="6527" w14:cap="flat" w14:cmpd="sng" w14:algn="ctr">
            <w14:solidFill>
              <w14:srgbClr w14:val="000000"/>
            </w14:solidFill>
            <w14:prstDash w14:val="solid"/>
            <w14:miter w14:val="0"/>
          </w14:textOutline>
        </w:rPr>
      </w:sdtEndPr>
      <w:sdtContent>
        <w:p w14:paraId="777B9717">
          <w:pPr>
            <w:spacing w:line="360" w:lineRule="auto"/>
            <w:jc w:val="center"/>
            <w:rPr>
              <w:b/>
              <w:bCs/>
              <w:sz w:val="48"/>
              <w:szCs w:val="48"/>
            </w:rPr>
          </w:pPr>
          <w:r>
            <w:rPr>
              <w:rFonts w:ascii="宋体" w:hAnsi="宋体" w:eastAsia="宋体"/>
              <w:b/>
              <w:bCs/>
              <w:sz w:val="48"/>
              <w:szCs w:val="48"/>
            </w:rPr>
            <w:t>目录</w:t>
          </w:r>
        </w:p>
        <w:p w14:paraId="5B603B0D">
          <w:pPr>
            <w:pStyle w:val="13"/>
            <w:tabs>
              <w:tab w:val="right" w:leader="dot" w:pos="9129"/>
            </w:tabs>
            <w:spacing w:line="360" w:lineRule="auto"/>
            <w:rPr>
              <w:sz w:val="36"/>
              <w:szCs w:val="36"/>
            </w:rPr>
          </w:pPr>
          <w:r>
            <w:rPr>
              <w:rFonts w:ascii="宋体" w:hAnsi="宋体" w:eastAsia="宋体" w:cs="宋体"/>
              <w:sz w:val="180"/>
              <w:szCs w:val="180"/>
              <w14:textOutline w14:w="6527" w14:cap="flat" w14:cmpd="sng" w14:algn="ctr">
                <w14:solidFill>
                  <w14:srgbClr w14:val="000000"/>
                </w14:solidFill>
                <w14:prstDash w14:val="solid"/>
                <w14:miter w14:val="0"/>
              </w14:textOutline>
            </w:rPr>
            <w:fldChar w:fldCharType="begin"/>
          </w:r>
          <w:r>
            <w:rPr>
              <w:rFonts w:ascii="宋体" w:hAnsi="宋体" w:eastAsia="宋体" w:cs="宋体"/>
              <w:sz w:val="180"/>
              <w:szCs w:val="180"/>
              <w14:textOutline w14:w="6527" w14:cap="flat" w14:cmpd="sng" w14:algn="ctr">
                <w14:solidFill>
                  <w14:srgbClr w14:val="000000"/>
                </w14:solidFill>
                <w14:prstDash w14:val="solid"/>
                <w14:miter w14:val="0"/>
              </w14:textOutline>
            </w:rPr>
            <w:instrText xml:space="preserve">TOC \o "1-1" \h \u </w:instrText>
          </w:r>
          <w:r>
            <w:rPr>
              <w:rFonts w:ascii="宋体" w:hAnsi="宋体" w:eastAsia="宋体" w:cs="宋体"/>
              <w:sz w:val="180"/>
              <w:szCs w:val="180"/>
              <w14:textOutline w14:w="6527" w14:cap="flat" w14:cmpd="sng" w14:algn="ctr">
                <w14:solidFill>
                  <w14:srgbClr w14:val="000000"/>
                </w14:solidFill>
                <w14:prstDash w14:val="solid"/>
                <w14:miter w14:val="0"/>
              </w14:textOutline>
            </w:rPr>
            <w:fldChar w:fldCharType="separate"/>
          </w:r>
        </w:p>
        <w:p w14:paraId="15C63891">
          <w:pPr>
            <w:spacing w:line="360" w:lineRule="auto"/>
            <w:jc w:val="center"/>
            <w:rPr>
              <w:rFonts w:hint="eastAsia" w:ascii="宋体" w:hAnsi="宋体" w:eastAsia="宋体" w:cs="宋体"/>
              <w:sz w:val="36"/>
              <w:szCs w:val="180"/>
              <w14:textOutline w14:w="6527" w14:cap="flat" w14:cmpd="sng" w14:algn="ctr">
                <w14:solidFill>
                  <w14:srgbClr w14:val="000000"/>
                </w14:solidFill>
                <w14:prstDash w14:val="solid"/>
                <w14:miter w14:val="0"/>
              </w14:textOutline>
            </w:rPr>
          </w:pPr>
          <w:r>
            <w:rPr>
              <w:rFonts w:ascii="宋体" w:hAnsi="宋体" w:eastAsia="宋体" w:cs="宋体"/>
              <w:sz w:val="36"/>
              <w:szCs w:val="180"/>
              <w14:textOutline w14:w="6527" w14:cap="flat" w14:cmpd="sng" w14:algn="ctr">
                <w14:solidFill>
                  <w14:srgbClr w14:val="000000"/>
                </w14:solidFill>
                <w14:prstDash w14:val="solid"/>
                <w14:miter w14:val="0"/>
              </w14:textOutline>
            </w:rPr>
            <w:fldChar w:fldCharType="end"/>
          </w:r>
        </w:p>
        <w:sdt>
          <w:sdtPr>
            <w:rPr>
              <w:rFonts w:eastAsia="宋体"/>
            </w:rPr>
            <w:id w:val="147466991"/>
            <w15:color w:val="DBDBDB"/>
            <w:docPartObj>
              <w:docPartGallery w:val="Table of Contents"/>
              <w:docPartUnique/>
            </w:docPartObj>
          </w:sdtPr>
          <w:sdtEndPr>
            <w:rPr>
              <w:rFonts w:ascii="宋体" w:hAnsi="宋体" w:eastAsia="宋体" w:cs="宋体"/>
              <w:sz w:val="32"/>
              <w:szCs w:val="160"/>
              <w14:textOutline w14:w="6527" w14:cap="flat" w14:cmpd="sng" w14:algn="ctr">
                <w14:solidFill>
                  <w14:srgbClr w14:val="000000"/>
                </w14:solidFill>
                <w14:prstDash w14:val="solid"/>
                <w14:miter w14:val="0"/>
              </w14:textOutline>
            </w:rPr>
          </w:sdtEndPr>
          <w:sdtContent>
            <w:p w14:paraId="7074DA28">
              <w:pPr>
                <w:spacing w:line="360" w:lineRule="auto"/>
                <w:jc w:val="center"/>
                <w:rPr>
                  <w:sz w:val="48"/>
                  <w:szCs w:val="48"/>
                </w:rPr>
              </w:pPr>
            </w:p>
            <w:p w14:paraId="4DE2154F">
              <w:pPr>
                <w:pStyle w:val="13"/>
                <w:tabs>
                  <w:tab w:val="right" w:leader="dot" w:pos="9129"/>
                </w:tabs>
                <w:spacing w:line="360" w:lineRule="auto"/>
                <w:rPr>
                  <w:sz w:val="32"/>
                  <w:szCs w:val="32"/>
                </w:rPr>
              </w:pPr>
              <w:r>
                <w:rPr>
                  <w:sz w:val="32"/>
                  <w:szCs w:val="32"/>
                </w:rPr>
                <w:fldChar w:fldCharType="begin"/>
              </w:r>
              <w:r>
                <w:rPr>
                  <w:sz w:val="32"/>
                  <w:szCs w:val="32"/>
                </w:rPr>
                <w:instrText xml:space="preserve">TOC \o "1-1" \h \u </w:instrText>
              </w:r>
              <w:r>
                <w:rPr>
                  <w:sz w:val="32"/>
                  <w:szCs w:val="32"/>
                </w:rPr>
                <w:fldChar w:fldCharType="separate"/>
              </w:r>
              <w:r>
                <w:fldChar w:fldCharType="begin"/>
              </w:r>
              <w:r>
                <w:instrText xml:space="preserve"> HYPERLINK \l "_Toc9866" </w:instrText>
              </w:r>
              <w:r>
                <w:fldChar w:fldCharType="separate"/>
              </w:r>
              <w:r>
                <w:rPr>
                  <w:sz w:val="32"/>
                  <w:szCs w:val="32"/>
                </w:rPr>
                <w:t>一、投标书</w:t>
              </w:r>
              <w:r>
                <w:rPr>
                  <w:sz w:val="32"/>
                  <w:szCs w:val="32"/>
                </w:rPr>
                <w:tab/>
              </w:r>
              <w:r>
                <w:rPr>
                  <w:rFonts w:hint="eastAsia" w:eastAsia="宋体"/>
                  <w:sz w:val="32"/>
                  <w:szCs w:val="32"/>
                </w:rPr>
                <w:t>3</w:t>
              </w:r>
              <w:r>
                <w:rPr>
                  <w:rFonts w:hint="eastAsia" w:eastAsia="宋体"/>
                  <w:sz w:val="32"/>
                  <w:szCs w:val="32"/>
                </w:rPr>
                <w:fldChar w:fldCharType="end"/>
              </w:r>
            </w:p>
            <w:p w14:paraId="75585D60">
              <w:pPr>
                <w:pStyle w:val="13"/>
                <w:tabs>
                  <w:tab w:val="right" w:leader="dot" w:pos="9129"/>
                </w:tabs>
                <w:spacing w:line="360" w:lineRule="auto"/>
                <w:rPr>
                  <w:sz w:val="32"/>
                  <w:szCs w:val="32"/>
                </w:rPr>
              </w:pPr>
              <w:r>
                <w:fldChar w:fldCharType="begin"/>
              </w:r>
              <w:r>
                <w:instrText xml:space="preserve"> HYPERLINK \l "_Toc23575" </w:instrText>
              </w:r>
              <w:r>
                <w:fldChar w:fldCharType="separate"/>
              </w:r>
              <w:r>
                <w:rPr>
                  <w:sz w:val="32"/>
                  <w:szCs w:val="32"/>
                </w:rPr>
                <w:t>附件：技术</w:t>
              </w:r>
              <w:r>
                <w:rPr>
                  <w:rFonts w:hint="eastAsia" w:ascii="宋体" w:hAnsi="宋体" w:eastAsia="宋体" w:cs="宋体"/>
                  <w:sz w:val="32"/>
                  <w:szCs w:val="32"/>
                </w:rPr>
                <w:t>要求</w:t>
              </w:r>
              <w:r>
                <w:rPr>
                  <w:sz w:val="32"/>
                  <w:szCs w:val="32"/>
                </w:rPr>
                <w:tab/>
              </w:r>
              <w:r>
                <w:rPr>
                  <w:rFonts w:hint="eastAsia" w:eastAsia="宋体"/>
                  <w:sz w:val="32"/>
                  <w:szCs w:val="32"/>
                </w:rPr>
                <w:t>5</w:t>
              </w:r>
              <w:r>
                <w:rPr>
                  <w:rFonts w:hint="eastAsia" w:eastAsia="宋体"/>
                  <w:sz w:val="32"/>
                  <w:szCs w:val="32"/>
                </w:rPr>
                <w:fldChar w:fldCharType="end"/>
              </w:r>
            </w:p>
            <w:p w14:paraId="5A03185F">
              <w:pPr>
                <w:pStyle w:val="13"/>
                <w:tabs>
                  <w:tab w:val="right" w:leader="dot" w:pos="9129"/>
                </w:tabs>
                <w:spacing w:line="360" w:lineRule="auto"/>
                <w:rPr>
                  <w:sz w:val="32"/>
                  <w:szCs w:val="32"/>
                </w:rPr>
              </w:pPr>
              <w:r>
                <w:fldChar w:fldCharType="begin"/>
              </w:r>
              <w:r>
                <w:instrText xml:space="preserve"> HYPERLINK \l "_Toc14127" </w:instrText>
              </w:r>
              <w:r>
                <w:fldChar w:fldCharType="separate"/>
              </w:r>
              <w:r>
                <w:rPr>
                  <w:sz w:val="32"/>
                  <w:szCs w:val="32"/>
                </w:rPr>
                <w:t>附件：</w:t>
              </w:r>
              <w:r>
                <w:rPr>
                  <w:rFonts w:hint="eastAsia" w:ascii="宋体" w:hAnsi="宋体" w:eastAsia="宋体" w:cs="宋体"/>
                  <w:sz w:val="32"/>
                  <w:szCs w:val="32"/>
                </w:rPr>
                <w:t>商务</w:t>
              </w:r>
              <w:r>
                <w:rPr>
                  <w:sz w:val="32"/>
                  <w:szCs w:val="32"/>
                </w:rPr>
                <w:t>要求</w:t>
              </w:r>
              <w:r>
                <w:rPr>
                  <w:sz w:val="32"/>
                  <w:szCs w:val="32"/>
                </w:rPr>
                <w:tab/>
              </w:r>
              <w:r>
                <w:rPr>
                  <w:rFonts w:hint="eastAsia" w:eastAsia="宋体"/>
                  <w:sz w:val="32"/>
                  <w:szCs w:val="32"/>
                </w:rPr>
                <w:t>8</w:t>
              </w:r>
              <w:r>
                <w:rPr>
                  <w:rFonts w:hint="eastAsia" w:eastAsia="宋体"/>
                  <w:sz w:val="32"/>
                  <w:szCs w:val="32"/>
                </w:rPr>
                <w:fldChar w:fldCharType="end"/>
              </w:r>
            </w:p>
            <w:p w14:paraId="43CACEF3">
              <w:pPr>
                <w:pStyle w:val="13"/>
                <w:tabs>
                  <w:tab w:val="right" w:leader="dot" w:pos="9129"/>
                </w:tabs>
                <w:spacing w:line="360" w:lineRule="auto"/>
                <w:rPr>
                  <w:rFonts w:eastAsia="宋体"/>
                  <w:sz w:val="32"/>
                  <w:szCs w:val="32"/>
                </w:rPr>
              </w:pPr>
              <w:r>
                <w:fldChar w:fldCharType="begin"/>
              </w:r>
              <w:r>
                <w:instrText xml:space="preserve"> HYPERLINK \l "_Toc28318" </w:instrText>
              </w:r>
              <w:r>
                <w:fldChar w:fldCharType="separate"/>
              </w:r>
              <w:r>
                <w:rPr>
                  <w:sz w:val="32"/>
                  <w:szCs w:val="32"/>
                </w:rPr>
                <w:t>二、投标人须知</w:t>
              </w:r>
              <w:r>
                <w:rPr>
                  <w:sz w:val="32"/>
                  <w:szCs w:val="32"/>
                </w:rPr>
                <w:tab/>
              </w:r>
              <w:r>
                <w:rPr>
                  <w:rFonts w:hint="eastAsia" w:eastAsia="宋体"/>
                  <w:sz w:val="32"/>
                  <w:szCs w:val="32"/>
                </w:rPr>
                <w:t>1</w:t>
              </w:r>
              <w:r>
                <w:rPr>
                  <w:rFonts w:hint="eastAsia" w:eastAsia="宋体"/>
                  <w:sz w:val="32"/>
                  <w:szCs w:val="32"/>
                </w:rPr>
                <w:fldChar w:fldCharType="end"/>
              </w:r>
              <w:r>
                <w:rPr>
                  <w:rFonts w:hint="eastAsia" w:eastAsia="宋体"/>
                  <w:sz w:val="32"/>
                  <w:szCs w:val="32"/>
                </w:rPr>
                <w:t>0</w:t>
              </w:r>
            </w:p>
            <w:p w14:paraId="56722355">
              <w:pPr>
                <w:widowControl w:val="0"/>
                <w:kinsoku/>
                <w:autoSpaceDE/>
                <w:autoSpaceDN/>
                <w:adjustRightInd/>
                <w:snapToGrid/>
                <w:spacing w:line="360" w:lineRule="auto"/>
                <w:jc w:val="both"/>
                <w:textAlignment w:val="auto"/>
                <w:rPr>
                  <w:rFonts w:eastAsia="宋体"/>
                  <w:sz w:val="32"/>
                  <w:szCs w:val="32"/>
                </w:rPr>
              </w:pPr>
              <w:r>
                <w:rPr>
                  <w:sz w:val="32"/>
                  <w:szCs w:val="32"/>
                </w:rPr>
                <w:fldChar w:fldCharType="end"/>
              </w:r>
              <w:r>
                <w:rPr>
                  <w:rFonts w:hint="eastAsia"/>
                  <w:sz w:val="32"/>
                  <w:szCs w:val="32"/>
                </w:rPr>
                <w:t>三、设备综合评标评分标准.........................................................1</w:t>
              </w:r>
              <w:r>
                <w:rPr>
                  <w:rFonts w:hint="eastAsia" w:eastAsia="宋体"/>
                  <w:sz w:val="32"/>
                  <w:szCs w:val="32"/>
                </w:rPr>
                <w:t>3</w:t>
              </w:r>
            </w:p>
            <w:p w14:paraId="73C252A9">
              <w:pPr>
                <w:pStyle w:val="2"/>
                <w:ind w:firstLine="0" w:firstLineChars="0"/>
                <w:rPr>
                  <w:rFonts w:eastAsia="宋体"/>
                  <w:sz w:val="32"/>
                  <w:szCs w:val="32"/>
                </w:rPr>
              </w:pPr>
              <w:r>
                <w:rPr>
                  <w:rFonts w:hint="eastAsia" w:eastAsia="宋体"/>
                  <w:sz w:val="32"/>
                  <w:szCs w:val="32"/>
                </w:rPr>
                <w:t>四、</w:t>
              </w:r>
              <w:r>
                <w:rPr>
                  <w:rFonts w:hint="eastAsia"/>
                  <w:sz w:val="32"/>
                  <w:szCs w:val="32"/>
                </w:rPr>
                <w:t>合同（参考文本）...............................................................</w:t>
              </w:r>
              <w:r>
                <w:rPr>
                  <w:rFonts w:hint="eastAsia" w:eastAsia="宋体"/>
                  <w:sz w:val="32"/>
                  <w:szCs w:val="32"/>
                </w:rPr>
                <w:t>15</w:t>
              </w:r>
            </w:p>
            <w:p w14:paraId="00EA14FC">
              <w:pPr>
                <w:pStyle w:val="13"/>
                <w:tabs>
                  <w:tab w:val="right" w:leader="dot" w:pos="9129"/>
                </w:tabs>
                <w:spacing w:line="360" w:lineRule="auto"/>
                <w:rPr>
                  <w:rFonts w:hint="eastAsia" w:ascii="宋体" w:hAnsi="宋体" w:eastAsia="宋体" w:cs="宋体"/>
                  <w:sz w:val="32"/>
                  <w:szCs w:val="160"/>
                  <w14:textOutline w14:w="6527" w14:cap="flat" w14:cmpd="sng" w14:algn="ctr">
                    <w14:solidFill>
                      <w14:srgbClr w14:val="000000"/>
                    </w14:solidFill>
                    <w14:prstDash w14:val="solid"/>
                    <w14:miter w14:val="0"/>
                  </w14:textOutline>
                </w:rPr>
              </w:pPr>
            </w:p>
          </w:sdtContent>
        </w:sdt>
        <w:p w14:paraId="2F33B721">
          <w:pPr>
            <w:spacing w:before="153" w:line="360" w:lineRule="auto"/>
            <w:rPr>
              <w:rFonts w:hint="eastAsia" w:ascii="宋体" w:hAnsi="宋体" w:eastAsia="宋体" w:cs="宋体"/>
              <w:sz w:val="180"/>
              <w:szCs w:val="180"/>
              <w14:textOutline w14:w="6527" w14:cap="flat" w14:cmpd="sng" w14:algn="ctr">
                <w14:solidFill>
                  <w14:srgbClr w14:val="000000"/>
                </w14:solidFill>
                <w14:prstDash w14:val="solid"/>
                <w14:miter w14:val="0"/>
              </w14:textOutline>
            </w:rPr>
            <w:sectPr>
              <w:headerReference r:id="rId4" w:type="default"/>
              <w:footerReference r:id="rId5" w:type="default"/>
              <w:type w:val="continuous"/>
              <w:pgSz w:w="11907" w:h="16839"/>
              <w:pgMar w:top="1432" w:right="1389" w:bottom="1201" w:left="1389" w:header="567" w:footer="1021" w:gutter="0"/>
              <w:cols w:equalWidth="0" w:num="1">
                <w:col w:w="9128"/>
              </w:cols>
            </w:sectPr>
          </w:pPr>
        </w:p>
      </w:sdtContent>
    </w:sdt>
    <w:p w14:paraId="6E052D93">
      <w:pPr>
        <w:spacing w:before="240" w:beforeLines="100" w:line="360" w:lineRule="auto"/>
        <w:jc w:val="both"/>
        <w:outlineLvl w:val="0"/>
        <w:rPr>
          <w:rFonts w:hint="eastAsia" w:ascii="宋体" w:hAnsi="宋体" w:eastAsia="宋体" w:cs="宋体"/>
          <w:b/>
          <w:sz w:val="36"/>
          <w:szCs w:val="36"/>
          <w14:textOutline w14:w="6527" w14:cap="flat" w14:cmpd="sng" w14:algn="ctr">
            <w14:solidFill>
              <w14:srgbClr w14:val="000000"/>
            </w14:solidFill>
            <w14:prstDash w14:val="solid"/>
            <w14:miter w14:val="0"/>
          </w14:textOutline>
        </w:rPr>
      </w:pPr>
      <w:bookmarkStart w:id="3" w:name="_Toc27877"/>
      <w:r>
        <w:rPr>
          <w:rFonts w:hint="eastAsia" w:ascii="宋体" w:hAnsi="宋体" w:eastAsia="宋体" w:cs="宋体"/>
          <w:b/>
          <w:sz w:val="36"/>
          <w:szCs w:val="36"/>
          <w14:textOutline w14:w="6527" w14:cap="flat" w14:cmpd="sng" w14:algn="ctr">
            <w14:solidFill>
              <w14:srgbClr w14:val="000000"/>
            </w14:solidFill>
            <w14:prstDash w14:val="solid"/>
            <w14:miter w14:val="0"/>
          </w14:textOutline>
        </w:rPr>
        <w:t>一、投标邀请书</w:t>
      </w:r>
      <w:bookmarkEnd w:id="3"/>
    </w:p>
    <w:p w14:paraId="57B25BC5">
      <w:pPr>
        <w:pStyle w:val="2"/>
        <w:ind w:firstLine="480"/>
        <w:rPr>
          <w:rFonts w:eastAsia="宋体"/>
          <w:highlight w:val="none"/>
        </w:rPr>
      </w:pPr>
      <w:r>
        <w:rPr>
          <w:rFonts w:hint="eastAsia" w:ascii="宋体" w:hAnsi="宋体" w:eastAsia="宋体" w:cs="宋体"/>
          <w:sz w:val="24"/>
          <w:szCs w:val="24"/>
          <w:highlight w:val="none"/>
        </w:rPr>
        <w:t> 招标人</w:t>
      </w:r>
      <w:r>
        <w:rPr>
          <w:rFonts w:hint="eastAsia" w:ascii="宋体" w:hAnsi="宋体" w:eastAsia="宋体" w:cs="宋体"/>
          <w:sz w:val="24"/>
          <w:szCs w:val="24"/>
          <w:highlight w:val="none"/>
          <w:u w:val="single"/>
        </w:rPr>
        <w:t>中国机械总院集团海西（福建）分院有限公司</w:t>
      </w:r>
      <w:r>
        <w:rPr>
          <w:rFonts w:hint="eastAsia" w:ascii="宋体" w:hAnsi="宋体" w:eastAsia="宋体" w:cs="宋体"/>
          <w:sz w:val="24"/>
          <w:szCs w:val="24"/>
          <w:highlight w:val="none"/>
        </w:rPr>
        <w:t>已根据采购相关法律法规，经相应程序确定采用</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u w:val="single"/>
          <w:lang w:val="en-US" w:eastAsia="zh-CN"/>
        </w:rPr>
        <w:t>公开</w:t>
      </w:r>
      <w:r>
        <w:rPr>
          <w:rFonts w:hint="eastAsia" w:ascii="宋体" w:hAnsi="宋体" w:eastAsia="宋体" w:cs="宋体"/>
          <w:sz w:val="24"/>
          <w:szCs w:val="24"/>
          <w:highlight w:val="none"/>
          <w:u w:val="single"/>
        </w:rPr>
        <w:t>招标的 </w:t>
      </w:r>
      <w:r>
        <w:rPr>
          <w:rFonts w:hint="eastAsia" w:ascii="宋体" w:hAnsi="宋体" w:eastAsia="宋体" w:cs="宋体"/>
          <w:sz w:val="24"/>
          <w:szCs w:val="24"/>
          <w:highlight w:val="none"/>
        </w:rPr>
        <w:t>方式组织</w:t>
      </w:r>
      <w:r>
        <w:rPr>
          <w:rFonts w:hint="eastAsia" w:ascii="宋体" w:hAnsi="宋体" w:eastAsia="宋体" w:cs="宋体"/>
          <w:sz w:val="24"/>
          <w:szCs w:val="24"/>
          <w:highlight w:val="none"/>
          <w:u w:val="single"/>
        </w:rPr>
        <w:t>超声波清洗线采购</w:t>
      </w:r>
      <w:r>
        <w:rPr>
          <w:rFonts w:hint="eastAsia" w:ascii="宋体" w:hAnsi="宋体" w:eastAsia="宋体" w:cs="宋体"/>
          <w:sz w:val="24"/>
          <w:szCs w:val="24"/>
          <w:highlight w:val="none"/>
        </w:rPr>
        <w:t>项目，现欢迎合格的供应商前来参加。</w:t>
      </w:r>
    </w:p>
    <w:p w14:paraId="7077846F">
      <w:pPr>
        <w:spacing w:before="161"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1、招标内容、数量及型号规格（见下表）</w:t>
      </w:r>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4"/>
        <w:gridCol w:w="3740"/>
        <w:gridCol w:w="1225"/>
        <w:gridCol w:w="808"/>
        <w:gridCol w:w="1412"/>
        <w:gridCol w:w="1107"/>
      </w:tblGrid>
      <w:tr w14:paraId="00F6D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1024" w:type="dxa"/>
            <w:tcBorders>
              <w:top w:val="single" w:color="auto" w:sz="4" w:space="0"/>
              <w:left w:val="single" w:color="auto" w:sz="4" w:space="0"/>
              <w:bottom w:val="single" w:color="auto" w:sz="4" w:space="0"/>
              <w:right w:val="single" w:color="auto" w:sz="4" w:space="0"/>
            </w:tcBorders>
            <w:vAlign w:val="center"/>
          </w:tcPr>
          <w:p w14:paraId="3420776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3740" w:type="dxa"/>
            <w:tcBorders>
              <w:top w:val="single" w:color="auto" w:sz="4" w:space="0"/>
              <w:left w:val="single" w:color="auto" w:sz="4" w:space="0"/>
              <w:bottom w:val="single" w:color="auto" w:sz="4" w:space="0"/>
              <w:right w:val="single" w:color="auto" w:sz="4" w:space="0"/>
            </w:tcBorders>
            <w:vAlign w:val="center"/>
          </w:tcPr>
          <w:p w14:paraId="5C92A06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设备名称</w:t>
            </w:r>
          </w:p>
        </w:tc>
        <w:tc>
          <w:tcPr>
            <w:tcW w:w="1225" w:type="dxa"/>
            <w:tcBorders>
              <w:top w:val="single" w:color="auto" w:sz="4" w:space="0"/>
              <w:left w:val="single" w:color="auto" w:sz="4" w:space="0"/>
              <w:bottom w:val="single" w:color="auto" w:sz="4" w:space="0"/>
              <w:right w:val="single" w:color="auto" w:sz="4" w:space="0"/>
            </w:tcBorders>
            <w:vAlign w:val="center"/>
          </w:tcPr>
          <w:p w14:paraId="001FBF4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808" w:type="dxa"/>
            <w:tcBorders>
              <w:top w:val="single" w:color="auto" w:sz="4" w:space="0"/>
              <w:left w:val="single" w:color="auto" w:sz="4" w:space="0"/>
              <w:bottom w:val="single" w:color="auto" w:sz="4" w:space="0"/>
              <w:right w:val="single" w:color="auto" w:sz="4" w:space="0"/>
            </w:tcBorders>
            <w:vAlign w:val="center"/>
          </w:tcPr>
          <w:p w14:paraId="5CF8A01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p>
        </w:tc>
        <w:tc>
          <w:tcPr>
            <w:tcW w:w="1412" w:type="dxa"/>
            <w:tcBorders>
              <w:top w:val="single" w:color="auto" w:sz="4" w:space="0"/>
              <w:left w:val="single" w:color="auto" w:sz="4" w:space="0"/>
              <w:bottom w:val="single" w:color="auto" w:sz="4" w:space="0"/>
              <w:right w:val="single" w:color="auto" w:sz="4" w:space="0"/>
            </w:tcBorders>
            <w:vAlign w:val="center"/>
          </w:tcPr>
          <w:p w14:paraId="492261C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交货期</w:t>
            </w:r>
          </w:p>
        </w:tc>
        <w:tc>
          <w:tcPr>
            <w:tcW w:w="1107" w:type="dxa"/>
            <w:tcBorders>
              <w:top w:val="single" w:color="auto" w:sz="4" w:space="0"/>
              <w:left w:val="single" w:color="auto" w:sz="4" w:space="0"/>
              <w:bottom w:val="single" w:color="auto" w:sz="4" w:space="0"/>
              <w:right w:val="single" w:color="auto" w:sz="4" w:space="0"/>
            </w:tcBorders>
            <w:vAlign w:val="center"/>
          </w:tcPr>
          <w:p w14:paraId="470E0C3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质量及其他要求</w:t>
            </w:r>
          </w:p>
        </w:tc>
      </w:tr>
      <w:tr w14:paraId="4A3C7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1024" w:type="dxa"/>
            <w:tcBorders>
              <w:top w:val="single" w:color="auto" w:sz="4" w:space="0"/>
              <w:left w:val="single" w:color="auto" w:sz="4" w:space="0"/>
              <w:bottom w:val="single" w:color="auto" w:sz="4" w:space="0"/>
              <w:right w:val="single" w:color="auto" w:sz="4" w:space="0"/>
            </w:tcBorders>
            <w:vAlign w:val="center"/>
          </w:tcPr>
          <w:p w14:paraId="17F64767">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740" w:type="dxa"/>
            <w:tcBorders>
              <w:top w:val="single" w:color="auto" w:sz="4" w:space="0"/>
              <w:left w:val="single" w:color="auto" w:sz="4" w:space="0"/>
              <w:bottom w:val="single" w:color="auto" w:sz="4" w:space="0"/>
              <w:right w:val="single" w:color="auto" w:sz="4" w:space="0"/>
            </w:tcBorders>
            <w:vAlign w:val="center"/>
          </w:tcPr>
          <w:p w14:paraId="5E1DF829">
            <w:pPr>
              <w:spacing w:line="360" w:lineRule="auto"/>
              <w:jc w:val="center"/>
              <w:rPr>
                <w:rFonts w:hint="eastAsia" w:ascii="宋体" w:hAnsi="宋体" w:eastAsia="宋体" w:cs="宋体"/>
                <w:sz w:val="24"/>
                <w:szCs w:val="24"/>
                <w:highlight w:val="none"/>
              </w:rPr>
            </w:pPr>
            <w:r>
              <w:rPr>
                <w:rFonts w:ascii="宋体" w:hAnsi="宋体" w:eastAsia="宋体" w:cs="宋体"/>
                <w:sz w:val="24"/>
                <w:szCs w:val="24"/>
                <w:highlight w:val="none"/>
              </w:rPr>
              <w:t>超声波清洗线</w:t>
            </w:r>
          </w:p>
        </w:tc>
        <w:tc>
          <w:tcPr>
            <w:tcW w:w="1225" w:type="dxa"/>
            <w:tcBorders>
              <w:top w:val="single" w:color="auto" w:sz="4" w:space="0"/>
              <w:left w:val="single" w:color="auto" w:sz="4" w:space="0"/>
              <w:bottom w:val="single" w:color="auto" w:sz="4" w:space="0"/>
              <w:right w:val="single" w:color="auto" w:sz="4" w:space="0"/>
            </w:tcBorders>
            <w:vAlign w:val="center"/>
          </w:tcPr>
          <w:p w14:paraId="3EC615A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08" w:type="dxa"/>
            <w:tcBorders>
              <w:top w:val="single" w:color="auto" w:sz="4" w:space="0"/>
              <w:left w:val="single" w:color="auto" w:sz="4" w:space="0"/>
              <w:bottom w:val="single" w:color="auto" w:sz="4" w:space="0"/>
              <w:right w:val="single" w:color="auto" w:sz="4" w:space="0"/>
            </w:tcBorders>
            <w:vAlign w:val="center"/>
          </w:tcPr>
          <w:p w14:paraId="50394DE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1412" w:type="dxa"/>
            <w:tcBorders>
              <w:top w:val="single" w:color="auto" w:sz="4" w:space="0"/>
              <w:left w:val="single" w:color="auto" w:sz="4" w:space="0"/>
              <w:bottom w:val="single" w:color="auto" w:sz="4" w:space="0"/>
              <w:right w:val="single" w:color="auto" w:sz="4" w:space="0"/>
            </w:tcBorders>
            <w:vAlign w:val="center"/>
          </w:tcPr>
          <w:p w14:paraId="416DA30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45天</w:t>
            </w:r>
          </w:p>
        </w:tc>
        <w:tc>
          <w:tcPr>
            <w:tcW w:w="1107" w:type="dxa"/>
            <w:tcBorders>
              <w:top w:val="single" w:color="auto" w:sz="4" w:space="0"/>
              <w:left w:val="single" w:color="auto" w:sz="4" w:space="0"/>
              <w:bottom w:val="single" w:color="auto" w:sz="4" w:space="0"/>
              <w:right w:val="single" w:color="auto" w:sz="4" w:space="0"/>
            </w:tcBorders>
            <w:vAlign w:val="center"/>
          </w:tcPr>
          <w:p w14:paraId="26133747">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详见附件</w:t>
            </w:r>
          </w:p>
        </w:tc>
      </w:tr>
    </w:tbl>
    <w:p w14:paraId="0CBEB299">
      <w:pPr>
        <w:pStyle w:val="2"/>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(具体相关信息如技术参数、规格、质量标准、包装、运输费等要求请与我单位相关人员联系，联系人:邓晓清  联系电话:13950966034)</w:t>
      </w:r>
    </w:p>
    <w:p w14:paraId="0AD63FD2">
      <w:pPr>
        <w:tabs>
          <w:tab w:val="left" w:pos="144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2、交货地点：中国机械总院集团海西（福建）分院有限公司指定地点。</w:t>
      </w:r>
    </w:p>
    <w:p w14:paraId="585B2385">
      <w:pPr>
        <w:tabs>
          <w:tab w:val="left" w:pos="144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3、投标截止时间：2025年06月4日 下午15:00。</w:t>
      </w:r>
    </w:p>
    <w:p w14:paraId="3B6E830D">
      <w:pPr>
        <w:tabs>
          <w:tab w:val="left" w:pos="144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投标文件的递交：拟参加本次投标的单位请于投标截止时间之前，将密封并加盖公章的文件袋，用特快专递方式邮寄到我单位（投标文件正本一份，副本四份），原则上不接受当面递送。我们将在投标截止时间后，组织开标。开标时间：2025年06月4日 下午15:00，开标地点：海西分院会议室。</w:t>
      </w:r>
    </w:p>
    <w:p w14:paraId="19A66C7B">
      <w:pPr>
        <w:tabs>
          <w:tab w:val="left" w:pos="144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5、相关要求：</w:t>
      </w:r>
    </w:p>
    <w:p w14:paraId="209C6D99">
      <w:pPr>
        <w:tabs>
          <w:tab w:val="left" w:pos="144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报价单需按照我公司提供的样表填写，特殊情况可稍作调整，内容必须填写完整、真实和准确。除投标报价表外，不得对文件格式和内容进行修改，如发现投标文件未按我公司提供的招标文件格式填写，将视为废标。</w:t>
      </w:r>
    </w:p>
    <w:p w14:paraId="2C2541ED">
      <w:pPr>
        <w:tabs>
          <w:tab w:val="left" w:pos="144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密封文件袋上必须标注项目名称和投标单位名称,并注明“正式开标前，不得开启”字样。</w:t>
      </w:r>
    </w:p>
    <w:p w14:paraId="2C5EF58B">
      <w:pPr>
        <w:tabs>
          <w:tab w:val="left" w:pos="144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投标人投标时应提供加盖单位公章的项目技术方案、供货业绩及营业执照副本、资质证书、安全生产许可证等证书复印件。</w:t>
      </w:r>
    </w:p>
    <w:p w14:paraId="51FEA42C">
      <w:pPr>
        <w:tabs>
          <w:tab w:val="left" w:pos="144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6、凡对本次招标的有关事项需要咨询或有异议时，请在2025年06月4日前与相关负责人联系。关于评标结果，我们将会在评标结束之后第一时间告知。</w:t>
      </w:r>
    </w:p>
    <w:p w14:paraId="30ECFB2F">
      <w:pPr>
        <w:tabs>
          <w:tab w:val="left" w:pos="144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7、联系方式：</w:t>
      </w:r>
    </w:p>
    <w:p w14:paraId="0E6D13B1">
      <w:pPr>
        <w:tabs>
          <w:tab w:val="left" w:pos="144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招标人：中国机械总院集团海西（福建）分院有限公司</w:t>
      </w:r>
    </w:p>
    <w:p w14:paraId="09992A12">
      <w:pPr>
        <w:tabs>
          <w:tab w:val="left" w:pos="144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联系人：李浩东</w:t>
      </w:r>
    </w:p>
    <w:p w14:paraId="53EFB3ED">
      <w:pPr>
        <w:tabs>
          <w:tab w:val="left" w:pos="144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联系电话：18707194032</w:t>
      </w:r>
    </w:p>
    <w:p w14:paraId="2DD67E90">
      <w:pPr>
        <w:tabs>
          <w:tab w:val="left" w:pos="144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纪检监督电话：0598-5053289</w:t>
      </w:r>
    </w:p>
    <w:p w14:paraId="18C230A2">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地址：福建省三明市沙县区金沙园开发区创新东路413号</w:t>
      </w:r>
    </w:p>
    <w:p w14:paraId="6CD073EA">
      <w:pPr>
        <w:pStyle w:val="2"/>
        <w:ind w:firstLine="480"/>
        <w:rPr>
          <w:sz w:val="24"/>
          <w:szCs w:val="24"/>
        </w:rPr>
      </w:pPr>
    </w:p>
    <w:p w14:paraId="13FBD9A3">
      <w:pPr>
        <w:widowControl w:val="0"/>
        <w:kinsoku/>
        <w:adjustRightInd/>
        <w:snapToGrid/>
        <w:spacing w:line="360" w:lineRule="auto"/>
        <w:ind w:firstLine="468" w:firstLineChars="200"/>
        <w:textAlignment w:val="auto"/>
        <w:rPr>
          <w:rFonts w:eastAsia="宋体"/>
          <w:spacing w:val="-3"/>
          <w:sz w:val="24"/>
          <w:szCs w:val="24"/>
        </w:rPr>
      </w:pPr>
      <w:r>
        <w:rPr>
          <w:spacing w:val="-3"/>
          <w:sz w:val="24"/>
          <w:szCs w:val="24"/>
        </w:rPr>
        <w:t>附件：</w:t>
      </w:r>
      <w:r>
        <w:rPr>
          <w:rFonts w:hint="eastAsia" w:eastAsia="宋体"/>
          <w:spacing w:val="-3"/>
          <w:sz w:val="24"/>
          <w:szCs w:val="24"/>
        </w:rPr>
        <w:t>《</w:t>
      </w:r>
      <w:r>
        <w:rPr>
          <w:spacing w:val="-3"/>
          <w:sz w:val="24"/>
          <w:szCs w:val="24"/>
        </w:rPr>
        <w:t>技术</w:t>
      </w:r>
      <w:r>
        <w:rPr>
          <w:rFonts w:hint="eastAsia" w:eastAsia="宋体"/>
          <w:spacing w:val="-3"/>
          <w:sz w:val="24"/>
          <w:szCs w:val="24"/>
        </w:rPr>
        <w:t>要求》</w:t>
      </w:r>
    </w:p>
    <w:p w14:paraId="3FD8FEFB">
      <w:pPr>
        <w:pStyle w:val="2"/>
        <w:ind w:firstLine="1170" w:firstLineChars="500"/>
        <w:rPr>
          <w:rFonts w:eastAsia="宋体"/>
        </w:rPr>
      </w:pPr>
      <w:r>
        <w:rPr>
          <w:rFonts w:hint="eastAsia" w:eastAsia="宋体"/>
          <w:spacing w:val="-3"/>
          <w:sz w:val="24"/>
          <w:szCs w:val="24"/>
        </w:rPr>
        <w:t>《商务要求》</w:t>
      </w:r>
    </w:p>
    <w:p w14:paraId="02BAC8F1">
      <w:pPr>
        <w:tabs>
          <w:tab w:val="left" w:pos="1446"/>
        </w:tabs>
        <w:spacing w:line="360" w:lineRule="auto"/>
        <w:ind w:left="112" w:right="26" w:firstLine="490"/>
        <w:jc w:val="right"/>
        <w:rPr>
          <w:rFonts w:hint="eastAsia" w:ascii="宋体" w:hAnsi="宋体" w:eastAsia="宋体" w:cs="宋体"/>
          <w:sz w:val="24"/>
          <w:szCs w:val="24"/>
        </w:rPr>
      </w:pPr>
    </w:p>
    <w:p w14:paraId="52BB6C4A">
      <w:pPr>
        <w:pStyle w:val="2"/>
        <w:ind w:firstLine="480"/>
        <w:rPr>
          <w:rFonts w:hint="eastAsia" w:ascii="宋体" w:hAnsi="宋体" w:eastAsia="宋体" w:cs="宋体"/>
          <w:sz w:val="24"/>
          <w:szCs w:val="24"/>
        </w:rPr>
      </w:pPr>
    </w:p>
    <w:p w14:paraId="7B362933">
      <w:pPr>
        <w:pStyle w:val="2"/>
        <w:ind w:firstLine="480"/>
        <w:rPr>
          <w:rFonts w:hint="eastAsia" w:ascii="宋体" w:hAnsi="宋体" w:eastAsia="宋体" w:cs="宋体"/>
          <w:sz w:val="24"/>
          <w:szCs w:val="24"/>
        </w:rPr>
      </w:pPr>
    </w:p>
    <w:p w14:paraId="67D783F5">
      <w:pPr>
        <w:tabs>
          <w:tab w:val="left" w:pos="1446"/>
        </w:tabs>
        <w:spacing w:line="360" w:lineRule="auto"/>
        <w:ind w:left="112" w:right="26" w:firstLine="490"/>
        <w:jc w:val="right"/>
        <w:rPr>
          <w:rFonts w:hint="eastAsia" w:ascii="宋体" w:hAnsi="宋体" w:eastAsia="宋体" w:cs="宋体"/>
          <w:sz w:val="24"/>
          <w:szCs w:val="24"/>
        </w:rPr>
      </w:pPr>
      <w:r>
        <w:rPr>
          <w:rFonts w:hint="eastAsia" w:ascii="宋体" w:hAnsi="宋体" w:eastAsia="宋体" w:cs="宋体"/>
          <w:sz w:val="24"/>
          <w:szCs w:val="24"/>
        </w:rPr>
        <w:t>中国机械总院集团海西（福建）分院有限公司</w:t>
      </w:r>
    </w:p>
    <w:p w14:paraId="51EE46B6">
      <w:pPr>
        <w:tabs>
          <w:tab w:val="left" w:pos="1446"/>
        </w:tabs>
        <w:spacing w:line="360" w:lineRule="auto"/>
        <w:ind w:left="112" w:right="26" w:firstLine="5349" w:firstLineChars="2229"/>
        <w:rPr>
          <w:rFonts w:hint="eastAsia" w:ascii="宋体" w:hAnsi="宋体" w:eastAsia="宋体" w:cs="宋体"/>
          <w:sz w:val="24"/>
          <w:szCs w:val="24"/>
        </w:rPr>
      </w:pPr>
      <w:r>
        <w:rPr>
          <w:rFonts w:hint="eastAsia" w:ascii="宋体" w:hAnsi="宋体" w:eastAsia="宋体" w:cs="宋体"/>
          <w:sz w:val="24"/>
          <w:szCs w:val="24"/>
        </w:rPr>
        <w:t>招标委员会办公室</w:t>
      </w:r>
    </w:p>
    <w:p w14:paraId="3D1BA5DC">
      <w:pPr>
        <w:tabs>
          <w:tab w:val="left" w:pos="1446"/>
        </w:tabs>
        <w:spacing w:line="360" w:lineRule="auto"/>
        <w:rPr>
          <w:rFonts w:hint="eastAsia" w:ascii="宋体" w:hAnsi="宋体" w:eastAsia="宋体" w:cs="宋体"/>
          <w:sz w:val="24"/>
          <w:szCs w:val="24"/>
        </w:rPr>
      </w:pPr>
      <w:r>
        <w:rPr>
          <w:rFonts w:hint="eastAsia" w:ascii="宋体" w:hAnsi="宋体" w:eastAsia="宋体" w:cs="宋体"/>
          <w:sz w:val="24"/>
          <w:szCs w:val="24"/>
        </w:rPr>
        <w:t xml:space="preserve">                                                2025年05月26日</w:t>
      </w:r>
    </w:p>
    <w:p w14:paraId="68B6B86B">
      <w:pPr>
        <w:spacing w:before="79" w:line="360" w:lineRule="auto"/>
        <w:jc w:val="center"/>
        <w:rPr>
          <w:b/>
          <w:kern w:val="24"/>
          <w:sz w:val="24"/>
          <w:szCs w:val="24"/>
        </w:rPr>
      </w:pPr>
    </w:p>
    <w:p w14:paraId="44CDD65C">
      <w:pPr>
        <w:spacing w:before="79" w:line="360" w:lineRule="auto"/>
        <w:jc w:val="center"/>
        <w:rPr>
          <w:b/>
          <w:kern w:val="24"/>
          <w:sz w:val="24"/>
          <w:szCs w:val="24"/>
        </w:rPr>
      </w:pPr>
    </w:p>
    <w:p w14:paraId="27A55A12">
      <w:pPr>
        <w:spacing w:line="360" w:lineRule="auto"/>
        <w:rPr>
          <w:rFonts w:hint="eastAsia" w:ascii="宋体" w:hAnsi="宋体" w:eastAsia="宋体" w:cs="宋体"/>
          <w:b/>
          <w:sz w:val="36"/>
          <w:szCs w:val="36"/>
          <w14:textOutline w14:w="6527" w14:cap="flat" w14:cmpd="sng" w14:algn="ctr">
            <w14:solidFill>
              <w14:srgbClr w14:val="000000"/>
            </w14:solidFill>
            <w14:prstDash w14:val="solid"/>
            <w14:miter w14:val="0"/>
          </w14:textOutline>
        </w:rPr>
      </w:pPr>
      <w:r>
        <w:rPr>
          <w:rFonts w:hint="eastAsia" w:ascii="宋体" w:hAnsi="宋体" w:eastAsia="宋体" w:cs="宋体"/>
          <w:b/>
          <w:sz w:val="24"/>
          <w:szCs w:val="24"/>
          <w14:textOutline w14:w="6527" w14:cap="flat" w14:cmpd="sng" w14:algn="ctr">
            <w14:solidFill>
              <w14:srgbClr w14:val="000000"/>
            </w14:solidFill>
            <w14:prstDash w14:val="solid"/>
            <w14:miter w14:val="0"/>
          </w14:textOutline>
        </w:rPr>
        <w:br w:type="page"/>
      </w:r>
    </w:p>
    <w:p w14:paraId="0D7D256E">
      <w:pPr>
        <w:jc w:val="both"/>
        <w:outlineLvl w:val="0"/>
        <w:rPr>
          <w:rFonts w:hint="eastAsia" w:ascii="宋体" w:hAnsi="宋体" w:eastAsia="宋体" w:cs="宋体"/>
          <w:b/>
          <w:sz w:val="36"/>
          <w:szCs w:val="36"/>
          <w14:textOutline w14:w="6527" w14:cap="flat" w14:cmpd="sng" w14:algn="ctr">
            <w14:solidFill>
              <w14:srgbClr w14:val="000000"/>
            </w14:solidFill>
            <w14:prstDash w14:val="solid"/>
            <w14:miter w14:val="0"/>
          </w14:textOutline>
        </w:rPr>
      </w:pPr>
      <w:r>
        <w:rPr>
          <w:rFonts w:hint="eastAsia" w:ascii="宋体" w:hAnsi="宋体" w:eastAsia="宋体" w:cs="宋体"/>
          <w:b/>
          <w:sz w:val="36"/>
          <w:szCs w:val="36"/>
          <w14:textOutline w14:w="6527" w14:cap="flat" w14:cmpd="sng" w14:algn="ctr">
            <w14:solidFill>
              <w14:srgbClr w14:val="000000"/>
            </w14:solidFill>
            <w14:prstDash w14:val="solid"/>
            <w14:miter w14:val="0"/>
          </w14:textOutline>
        </w:rPr>
        <w:t>附件：技术要求</w:t>
      </w:r>
    </w:p>
    <w:p w14:paraId="1511ABFB">
      <w:pPr>
        <w:pStyle w:val="2"/>
        <w:ind w:firstLine="0" w:firstLineChars="0"/>
        <w:rPr>
          <w:b/>
          <w:bCs/>
          <w:highlight w:val="none"/>
        </w:rPr>
      </w:pPr>
      <w:r>
        <w:rPr>
          <w:rFonts w:hint="eastAsia"/>
          <w:b/>
          <w:bCs/>
          <w:highlight w:val="none"/>
        </w:rPr>
        <w:t>一、技术参数、配置要求</w:t>
      </w:r>
    </w:p>
    <w:tbl>
      <w:tblPr>
        <w:tblStyle w:val="14"/>
        <w:tblW w:w="9220" w:type="dxa"/>
        <w:jc w:val="center"/>
        <w:tblLayout w:type="fixed"/>
        <w:tblCellMar>
          <w:top w:w="0" w:type="dxa"/>
          <w:left w:w="0" w:type="dxa"/>
          <w:bottom w:w="0" w:type="dxa"/>
          <w:right w:w="0" w:type="dxa"/>
        </w:tblCellMar>
      </w:tblPr>
      <w:tblGrid>
        <w:gridCol w:w="551"/>
        <w:gridCol w:w="7265"/>
        <w:gridCol w:w="141"/>
        <w:gridCol w:w="1263"/>
      </w:tblGrid>
      <w:tr w14:paraId="5A23FC5C">
        <w:tblPrEx>
          <w:tblCellMar>
            <w:top w:w="0" w:type="dxa"/>
            <w:left w:w="0" w:type="dxa"/>
            <w:bottom w:w="0" w:type="dxa"/>
            <w:right w:w="0" w:type="dxa"/>
          </w:tblCellMar>
        </w:tblPrEx>
        <w:trPr>
          <w:trHeight w:val="595" w:hRule="atLeast"/>
          <w:jc w:val="center"/>
        </w:trPr>
        <w:tc>
          <w:tcPr>
            <w:tcW w:w="5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FF6671">
            <w:pPr>
              <w:jc w:val="center"/>
              <w:textAlignment w:val="center"/>
              <w:rPr>
                <w:rFonts w:hint="eastAsia" w:ascii="宋体" w:hAnsi="宋体" w:eastAsia="宋体" w:cs="宋体"/>
                <w:b/>
                <w:highlight w:val="none"/>
              </w:rPr>
            </w:pPr>
            <w:bookmarkStart w:id="4" w:name="_Toc14127"/>
            <w:r>
              <w:rPr>
                <w:rFonts w:hint="eastAsia" w:ascii="宋体" w:hAnsi="宋体" w:eastAsia="宋体" w:cs="宋体"/>
                <w:b/>
                <w:highlight w:val="none"/>
              </w:rPr>
              <w:t>设备名称</w:t>
            </w:r>
          </w:p>
        </w:tc>
        <w:tc>
          <w:tcPr>
            <w:tcW w:w="7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09E7FA">
            <w:pPr>
              <w:jc w:val="center"/>
              <w:textAlignment w:val="center"/>
              <w:rPr>
                <w:rFonts w:hint="eastAsia" w:ascii="宋体" w:hAnsi="宋体" w:eastAsia="宋体" w:cs="宋体"/>
                <w:b/>
                <w:highlight w:val="none"/>
              </w:rPr>
            </w:pPr>
            <w:r>
              <w:rPr>
                <w:rFonts w:hint="eastAsia" w:ascii="宋体" w:hAnsi="宋体" w:eastAsia="宋体" w:cs="宋体"/>
                <w:b/>
                <w:highlight w:val="none"/>
              </w:rPr>
              <w:t>主要技术参数及配置要求</w:t>
            </w:r>
          </w:p>
        </w:tc>
        <w:tc>
          <w:tcPr>
            <w:tcW w:w="14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06E8F6">
            <w:pPr>
              <w:jc w:val="center"/>
              <w:textAlignment w:val="center"/>
              <w:rPr>
                <w:rFonts w:hint="eastAsia" w:ascii="宋体" w:hAnsi="宋体" w:eastAsia="宋体" w:cs="宋体"/>
                <w:b/>
                <w:highlight w:val="none"/>
              </w:rPr>
            </w:pPr>
            <w:r>
              <w:rPr>
                <w:rFonts w:hint="eastAsia" w:ascii="宋体" w:hAnsi="宋体" w:eastAsia="宋体" w:cs="宋体"/>
                <w:b/>
                <w:highlight w:val="none"/>
              </w:rPr>
              <w:t>技术支持要求</w:t>
            </w:r>
          </w:p>
        </w:tc>
      </w:tr>
      <w:tr w14:paraId="7F303A8A">
        <w:tblPrEx>
          <w:tblCellMar>
            <w:top w:w="0" w:type="dxa"/>
            <w:left w:w="0" w:type="dxa"/>
            <w:bottom w:w="0" w:type="dxa"/>
            <w:right w:w="0" w:type="dxa"/>
          </w:tblCellMar>
        </w:tblPrEx>
        <w:trPr>
          <w:trHeight w:val="2680" w:hRule="atLeast"/>
          <w:jc w:val="center"/>
        </w:trPr>
        <w:tc>
          <w:tcPr>
            <w:tcW w:w="5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952AD7">
            <w:pPr>
              <w:pStyle w:val="2"/>
              <w:ind w:firstLine="0" w:firstLineChars="0"/>
              <w:rPr>
                <w:rFonts w:hint="eastAsia" w:ascii="宋体" w:hAnsi="宋体" w:eastAsia="宋体" w:cs="宋体"/>
                <w:highlight w:val="none"/>
              </w:rPr>
            </w:pPr>
            <w:r>
              <w:rPr>
                <w:rFonts w:hint="eastAsia" w:ascii="宋体" w:hAnsi="宋体" w:eastAsia="宋体" w:cs="宋体"/>
                <w:b/>
                <w:sz w:val="24"/>
                <w:szCs w:val="24"/>
                <w:highlight w:val="none"/>
              </w:rPr>
              <w:t>超声波清洗线</w:t>
            </w:r>
          </w:p>
        </w:tc>
        <w:tc>
          <w:tcPr>
            <w:tcW w:w="740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D56271">
            <w:pPr>
              <w:pStyle w:val="21"/>
              <w:ind w:left="420" w:hanging="420" w:firstLineChars="0"/>
              <w:rPr>
                <w:rFonts w:hint="eastAsia" w:ascii="宋体" w:hAnsi="宋体" w:eastAsia="宋体" w:cs="宋体"/>
                <w:color w:val="auto"/>
                <w:sz w:val="24"/>
                <w:highlight w:val="none"/>
              </w:rPr>
            </w:pPr>
            <w:r>
              <w:rPr>
                <w:rFonts w:ascii="Times New Roman" w:hAnsi="Times New Roman" w:eastAsia="宋体" w:cs="宋体"/>
                <w:color w:val="auto"/>
                <w:sz w:val="24"/>
                <w:szCs w:val="24"/>
                <w:highlight w:val="none"/>
              </w:rPr>
              <w:t>（1）</w:t>
            </w:r>
            <w:r>
              <w:rPr>
                <w:rFonts w:hint="eastAsia" w:ascii="宋体" w:hAnsi="宋体" w:eastAsia="宋体" w:cs="宋体"/>
                <w:color w:val="auto"/>
                <w:sz w:val="24"/>
                <w:highlight w:val="none"/>
              </w:rPr>
              <w:t>*可满足最大产品尺寸3.3m*3.3m*0.8m，最大重量3.5T；</w:t>
            </w:r>
          </w:p>
          <w:p w14:paraId="062E3EDA">
            <w:pPr>
              <w:pStyle w:val="21"/>
              <w:ind w:left="420" w:hanging="420" w:firstLineChars="0"/>
              <w:rPr>
                <w:rFonts w:hint="eastAsia" w:ascii="宋体" w:hAnsi="宋体" w:eastAsia="宋体" w:cs="宋体"/>
                <w:color w:val="auto"/>
                <w:sz w:val="24"/>
                <w:highlight w:val="none"/>
              </w:rPr>
            </w:pPr>
            <w:r>
              <w:rPr>
                <w:rFonts w:hint="eastAsia" w:ascii="Times New Roman" w:hAnsi="Times New Roman" w:eastAsia="宋体" w:cs="宋体"/>
                <w:color w:val="auto"/>
                <w:sz w:val="24"/>
                <w:szCs w:val="24"/>
                <w:highlight w:val="none"/>
              </w:rPr>
              <w:t>（2）</w:t>
            </w:r>
            <w:r>
              <w:rPr>
                <w:rFonts w:hint="eastAsia" w:ascii="宋体" w:hAnsi="宋体" w:eastAsia="宋体" w:cs="宋体"/>
                <w:color w:val="auto"/>
                <w:sz w:val="24"/>
                <w:highlight w:val="none"/>
              </w:rPr>
              <w:t>*产品材质铝合金、铜合金、不锈钢等；</w:t>
            </w:r>
          </w:p>
          <w:p w14:paraId="372DF4B5">
            <w:pPr>
              <w:rPr>
                <w:rFonts w:hint="eastAsia" w:ascii="宋体" w:hAnsi="宋体" w:eastAsia="宋体" w:cs="宋体"/>
                <w:color w:val="auto"/>
                <w:sz w:val="24"/>
                <w:highlight w:val="none"/>
              </w:rPr>
            </w:pPr>
            <w:r>
              <w:rPr>
                <w:rFonts w:hint="eastAsia" w:ascii="宋体" w:hAnsi="宋体" w:eastAsia="宋体" w:cs="宋体"/>
                <w:color w:val="auto"/>
                <w:sz w:val="24"/>
                <w:highlight w:val="none"/>
              </w:rPr>
              <w:t>（3）*产品脏污类型：机加工铝屑、油污、打磨灰尘等（产品有深孔）；</w:t>
            </w:r>
          </w:p>
          <w:p w14:paraId="7911907A">
            <w:pPr>
              <w:pStyle w:val="21"/>
              <w:ind w:left="420" w:hanging="42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（4）*清洁后要求：表面清洁无油污、灰尘等附着物，用</w:t>
            </w:r>
            <w:r>
              <w:rPr>
                <w:rFonts w:ascii="宋体" w:hAnsi="宋体" w:eastAsia="宋体" w:cs="宋体"/>
                <w:color w:val="auto"/>
                <w:sz w:val="24"/>
                <w:highlight w:val="none"/>
              </w:rPr>
              <w:t>32</w:t>
            </w:r>
            <w:r>
              <w:rPr>
                <w:rFonts w:hint="eastAsia" w:ascii="宋体" w:hAnsi="宋体" w:eastAsia="宋体" w:cs="宋体"/>
                <w:color w:val="auto"/>
                <w:sz w:val="24"/>
                <w:highlight w:val="none"/>
              </w:rPr>
              <w:t>号达因笔在清洗后的工件上划线，中间无断线，并提供3支32号达因笔（德国arcotest）；</w:t>
            </w:r>
          </w:p>
          <w:p w14:paraId="31E09886">
            <w:pPr>
              <w:pStyle w:val="21"/>
              <w:ind w:left="420" w:hanging="42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（5）*产线组成：高压冲洗及风切工位1个、超声波清洗工位1个、鼓泡漂洗工位2个、纯水系统1套等；</w:t>
            </w:r>
          </w:p>
          <w:p w14:paraId="10481E6E">
            <w:pPr>
              <w:pStyle w:val="21"/>
              <w:ind w:left="420" w:hanging="42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（6）*超声波清洗工位具备加热功能，加热器材质SUS316L无缝钢管；</w:t>
            </w:r>
          </w:p>
          <w:p w14:paraId="39C41BF5">
            <w:pPr>
              <w:pStyle w:val="21"/>
              <w:ind w:left="420" w:hanging="42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（7）*超声波震荡子品牌：台湾先宁、美国必能信或同级品牌；</w:t>
            </w:r>
          </w:p>
          <w:p w14:paraId="3371501C">
            <w:pPr>
              <w:pStyle w:val="21"/>
              <w:ind w:left="420" w:hanging="42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（8）*超声波电源采用柜机形式；</w:t>
            </w:r>
          </w:p>
          <w:p w14:paraId="1D1B0E4D">
            <w:pPr>
              <w:pStyle w:val="21"/>
              <w:ind w:left="420" w:hanging="420" w:firstLineChars="0"/>
              <w:rPr>
                <w:rFonts w:hint="eastAsia" w:ascii="宋体" w:hAnsi="宋体" w:eastAsia="宋体" w:cs="宋体"/>
                <w:color w:val="auto"/>
                <w:sz w:val="24"/>
                <w:highlight w:val="none"/>
              </w:rPr>
            </w:pPr>
            <w:r>
              <w:rPr>
                <w:rFonts w:ascii="Times New Roman" w:hAnsi="Times New Roman" w:eastAsia="宋体" w:cs="宋体"/>
                <w:color w:val="auto"/>
                <w:sz w:val="24"/>
                <w:szCs w:val="24"/>
                <w:highlight w:val="none"/>
              </w:rPr>
              <w:t>（</w:t>
            </w:r>
            <w:r>
              <w:rPr>
                <w:rFonts w:hint="eastAsia" w:ascii="Times New Roman" w:hAnsi="Times New Roman" w:eastAsia="宋体" w:cs="宋体"/>
                <w:color w:val="auto"/>
                <w:sz w:val="24"/>
                <w:szCs w:val="24"/>
                <w:highlight w:val="none"/>
              </w:rPr>
              <w:t>9</w:t>
            </w:r>
            <w:r>
              <w:rPr>
                <w:rFonts w:ascii="Times New Roman" w:hAnsi="Times New Roman" w:eastAsia="宋体" w:cs="宋体"/>
                <w:color w:val="auto"/>
                <w:sz w:val="24"/>
                <w:szCs w:val="24"/>
                <w:highlight w:val="none"/>
              </w:rPr>
              <w:t>）</w:t>
            </w:r>
            <w:r>
              <w:rPr>
                <w:rFonts w:hint="eastAsia" w:ascii="宋体" w:hAnsi="宋体" w:eastAsia="宋体" w:cs="宋体"/>
                <w:color w:val="auto"/>
                <w:sz w:val="24"/>
                <w:highlight w:val="none"/>
              </w:rPr>
              <w:t>*清洗槽材质SUS304，厚度≥3mm，设置加强筋；</w:t>
            </w:r>
          </w:p>
          <w:p w14:paraId="3200686E">
            <w:pPr>
              <w:pStyle w:val="21"/>
              <w:ind w:left="420" w:hanging="420" w:firstLineChars="0"/>
              <w:rPr>
                <w:rFonts w:ascii="宋体" w:hAnsi="宋体" w:eastAsia="宋体" w:cs="宋体"/>
                <w:color w:val="auto"/>
                <w:sz w:val="24"/>
                <w:highlight w:val="none"/>
              </w:rPr>
            </w:pPr>
            <w:r>
              <w:rPr>
                <w:rFonts w:ascii="Times New Roman" w:hAnsi="Times New Roman" w:eastAsia="宋体" w:cs="宋体"/>
                <w:color w:val="auto"/>
                <w:sz w:val="24"/>
                <w:szCs w:val="24"/>
                <w:highlight w:val="none"/>
              </w:rPr>
              <w:t>（</w:t>
            </w:r>
            <w:r>
              <w:rPr>
                <w:rFonts w:hint="eastAsia" w:ascii="Times New Roman" w:hAnsi="Times New Roman" w:eastAsia="宋体" w:cs="宋体"/>
                <w:color w:val="auto"/>
                <w:sz w:val="24"/>
                <w:szCs w:val="24"/>
                <w:highlight w:val="none"/>
              </w:rPr>
              <w:t>10</w:t>
            </w:r>
            <w:r>
              <w:rPr>
                <w:rFonts w:ascii="Times New Roman" w:hAnsi="Times New Roman" w:eastAsia="宋体" w:cs="宋体"/>
                <w:color w:val="auto"/>
                <w:sz w:val="24"/>
                <w:szCs w:val="24"/>
                <w:highlight w:val="none"/>
              </w:rPr>
              <w:t>）</w:t>
            </w:r>
            <w:r>
              <w:rPr>
                <w:rFonts w:hint="eastAsia" w:ascii="宋体" w:hAnsi="宋体" w:eastAsia="宋体" w:cs="宋体"/>
                <w:color w:val="auto"/>
                <w:sz w:val="24"/>
                <w:highlight w:val="none"/>
              </w:rPr>
              <w:t>*纯水电导率≤20μs/cm，产水量≥1m^3/h，纯水箱容量≥15T，原水箱容量≥</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T，废水箱容量≥15T；</w:t>
            </w:r>
          </w:p>
          <w:p w14:paraId="54B3103D">
            <w:pPr>
              <w:pStyle w:val="21"/>
              <w:ind w:left="420" w:hanging="420" w:firstLineChars="0"/>
              <w:rPr>
                <w:rFonts w:hint="eastAsia" w:ascii="宋体" w:hAnsi="宋体" w:eastAsia="宋体" w:cs="宋体"/>
                <w:color w:val="auto"/>
                <w:sz w:val="24"/>
                <w:highlight w:val="none"/>
              </w:rPr>
            </w:pPr>
            <w:r>
              <w:rPr>
                <w:rFonts w:ascii="Times New Roman" w:hAnsi="Times New Roman" w:eastAsia="宋体" w:cs="宋体"/>
                <w:color w:val="auto"/>
                <w:sz w:val="24"/>
                <w:szCs w:val="24"/>
                <w:highlight w:val="none"/>
              </w:rPr>
              <w:t>（</w:t>
            </w:r>
            <w:r>
              <w:rPr>
                <w:rFonts w:hint="eastAsia" w:ascii="Times New Roman" w:hAnsi="Times New Roman" w:eastAsia="宋体" w:cs="宋体"/>
                <w:color w:val="auto"/>
                <w:sz w:val="24"/>
                <w:szCs w:val="24"/>
                <w:highlight w:val="none"/>
              </w:rPr>
              <w:t>11</w:t>
            </w:r>
            <w:r>
              <w:rPr>
                <w:rFonts w:ascii="Times New Roman" w:hAnsi="Times New Roman" w:eastAsia="宋体" w:cs="宋体"/>
                <w:color w:val="auto"/>
                <w:sz w:val="24"/>
                <w:szCs w:val="24"/>
                <w:highlight w:val="none"/>
              </w:rPr>
              <w:t>）</w:t>
            </w:r>
            <w:r>
              <w:rPr>
                <w:rFonts w:hint="eastAsia" w:ascii="宋体" w:hAnsi="宋体" w:eastAsia="宋体" w:cs="宋体"/>
                <w:color w:val="auto"/>
                <w:sz w:val="24"/>
                <w:highlight w:val="none"/>
              </w:rPr>
              <w:t>*配置排水泵，可将后级水槽的水打入前级水槽，配好固定管路；</w:t>
            </w:r>
          </w:p>
          <w:p w14:paraId="7482CA8D">
            <w:pPr>
              <w:pStyle w:val="21"/>
              <w:ind w:left="420" w:hanging="420" w:firstLineChars="0"/>
              <w:rPr>
                <w:rFonts w:hint="eastAsia" w:ascii="宋体" w:hAnsi="宋体" w:eastAsia="宋体" w:cs="宋体"/>
                <w:color w:val="auto"/>
                <w:sz w:val="24"/>
                <w:highlight w:val="none"/>
              </w:rPr>
            </w:pPr>
            <w:r>
              <w:rPr>
                <w:rFonts w:ascii="Times New Roman" w:hAnsi="Times New Roman" w:eastAsia="宋体" w:cs="宋体"/>
                <w:color w:val="auto"/>
                <w:sz w:val="24"/>
                <w:szCs w:val="24"/>
                <w:highlight w:val="none"/>
              </w:rPr>
              <w:t>（</w:t>
            </w:r>
            <w:r>
              <w:rPr>
                <w:rFonts w:hint="eastAsia" w:ascii="Times New Roman" w:hAnsi="Times New Roman" w:eastAsia="宋体" w:cs="宋体"/>
                <w:color w:val="auto"/>
                <w:sz w:val="24"/>
                <w:szCs w:val="24"/>
                <w:highlight w:val="none"/>
              </w:rPr>
              <w:t>12</w:t>
            </w:r>
            <w:r>
              <w:rPr>
                <w:rFonts w:ascii="Times New Roman" w:hAnsi="Times New Roman" w:eastAsia="宋体" w:cs="宋体"/>
                <w:color w:val="auto"/>
                <w:sz w:val="24"/>
                <w:szCs w:val="24"/>
                <w:highlight w:val="none"/>
              </w:rPr>
              <w:t>）</w:t>
            </w:r>
            <w:r>
              <w:rPr>
                <w:rFonts w:hint="eastAsia" w:ascii="宋体" w:hAnsi="宋体" w:eastAsia="宋体" w:cs="宋体"/>
                <w:color w:val="auto"/>
                <w:sz w:val="24"/>
                <w:highlight w:val="none"/>
              </w:rPr>
              <w:t>*RO膜采用美国陶氏、海德能；</w:t>
            </w:r>
          </w:p>
          <w:p w14:paraId="58A16D9F">
            <w:pPr>
              <w:pStyle w:val="21"/>
              <w:ind w:left="420" w:hanging="420" w:firstLineChars="0"/>
              <w:rPr>
                <w:rFonts w:hint="eastAsia" w:ascii="宋体" w:hAnsi="宋体" w:eastAsia="宋体" w:cs="宋体"/>
                <w:color w:val="auto"/>
                <w:sz w:val="24"/>
                <w:highlight w:val="none"/>
              </w:rPr>
            </w:pPr>
            <w:r>
              <w:rPr>
                <w:rFonts w:ascii="Times New Roman" w:hAnsi="Times New Roman" w:eastAsia="宋体" w:cs="宋体"/>
                <w:color w:val="auto"/>
                <w:sz w:val="24"/>
                <w:szCs w:val="24"/>
                <w:highlight w:val="none"/>
              </w:rPr>
              <w:t>（</w:t>
            </w:r>
            <w:r>
              <w:rPr>
                <w:rFonts w:hint="eastAsia" w:ascii="Times New Roman" w:hAnsi="Times New Roman" w:eastAsia="宋体" w:cs="宋体"/>
                <w:color w:val="auto"/>
                <w:sz w:val="24"/>
                <w:szCs w:val="24"/>
                <w:highlight w:val="none"/>
              </w:rPr>
              <w:t>13</w:t>
            </w:r>
            <w:r>
              <w:rPr>
                <w:rFonts w:ascii="Times New Roman" w:hAnsi="Times New Roman" w:eastAsia="宋体" w:cs="宋体"/>
                <w:color w:val="auto"/>
                <w:sz w:val="24"/>
                <w:szCs w:val="24"/>
                <w:highlight w:val="none"/>
              </w:rPr>
              <w:t>）</w:t>
            </w:r>
            <w:r>
              <w:rPr>
                <w:rFonts w:hint="eastAsia" w:ascii="宋体" w:hAnsi="宋体" w:eastAsia="宋体" w:cs="宋体"/>
                <w:color w:val="auto"/>
                <w:sz w:val="24"/>
                <w:highlight w:val="none"/>
              </w:rPr>
              <w:t>*纯水系统涵盖三级过滤：石英砂、活性炭、软化树脂；</w:t>
            </w:r>
          </w:p>
          <w:p w14:paraId="43F743E7">
            <w:pPr>
              <w:pStyle w:val="21"/>
              <w:ind w:left="420" w:hanging="420" w:firstLineChars="0"/>
              <w:rPr>
                <w:rFonts w:hint="eastAsia" w:ascii="宋体" w:hAnsi="宋体" w:eastAsia="宋体" w:cs="宋体"/>
                <w:color w:val="auto"/>
                <w:sz w:val="24"/>
                <w:highlight w:val="none"/>
              </w:rPr>
            </w:pPr>
            <w:r>
              <w:rPr>
                <w:rFonts w:ascii="Times New Roman" w:hAnsi="Times New Roman" w:eastAsia="宋体" w:cs="宋体"/>
                <w:color w:val="auto"/>
                <w:sz w:val="24"/>
                <w:szCs w:val="24"/>
                <w:highlight w:val="none"/>
              </w:rPr>
              <w:t>（</w:t>
            </w:r>
            <w:r>
              <w:rPr>
                <w:rFonts w:hint="eastAsia" w:ascii="Times New Roman" w:hAnsi="Times New Roman" w:eastAsia="宋体" w:cs="宋体"/>
                <w:color w:val="auto"/>
                <w:sz w:val="24"/>
                <w:szCs w:val="24"/>
                <w:highlight w:val="none"/>
              </w:rPr>
              <w:t>14</w:t>
            </w:r>
            <w:r>
              <w:rPr>
                <w:rFonts w:ascii="Times New Roman" w:hAnsi="Times New Roman" w:eastAsia="宋体" w:cs="宋体"/>
                <w:color w:val="auto"/>
                <w:sz w:val="24"/>
                <w:szCs w:val="24"/>
                <w:highlight w:val="none"/>
              </w:rPr>
              <w:t>）</w:t>
            </w:r>
            <w:r>
              <w:rPr>
                <w:rFonts w:hint="eastAsia" w:ascii="宋体" w:hAnsi="宋体" w:eastAsia="宋体" w:cs="宋体"/>
                <w:color w:val="auto"/>
                <w:sz w:val="24"/>
                <w:highlight w:val="none"/>
              </w:rPr>
              <w:t>*清洗线及纯水系统均预留废水处理接口（废水处理后期配置）；</w:t>
            </w:r>
          </w:p>
          <w:p w14:paraId="7FF4D845">
            <w:pPr>
              <w:pStyle w:val="21"/>
              <w:ind w:left="420" w:hanging="42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（15）*高压冲洗工位配置防护及集水装置，高压水枪压力≥200kgf，储液槽配置油水分离；</w:t>
            </w:r>
          </w:p>
          <w:p w14:paraId="6F19C9B9">
            <w:pPr>
              <w:pStyle w:val="21"/>
              <w:ind w:left="420" w:hanging="42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（16）*配置清洗篮4个（800*400*400mm），网眼10*10mm；</w:t>
            </w:r>
          </w:p>
          <w:p w14:paraId="4B5CA562">
            <w:pPr>
              <w:pStyle w:val="21"/>
              <w:ind w:left="420" w:hanging="42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r>
              <w:rPr>
                <w:rFonts w:ascii="宋体" w:hAnsi="宋体" w:eastAsia="宋体" w:cs="宋体"/>
                <w:color w:val="auto"/>
                <w:sz w:val="24"/>
                <w:highlight w:val="none"/>
              </w:rPr>
              <w:t>*</w:t>
            </w:r>
            <w:r>
              <w:rPr>
                <w:rFonts w:hint="eastAsia" w:ascii="宋体" w:hAnsi="宋体" w:eastAsia="宋体" w:cs="宋体"/>
                <w:color w:val="auto"/>
                <w:sz w:val="24"/>
                <w:highlight w:val="none"/>
              </w:rPr>
              <w:t>配置简单必要的</w:t>
            </w:r>
            <w:r>
              <w:rPr>
                <w:rFonts w:ascii="宋体" w:hAnsi="宋体" w:eastAsia="宋体" w:cs="宋体"/>
                <w:color w:val="auto"/>
                <w:sz w:val="24"/>
                <w:highlight w:val="none"/>
              </w:rPr>
              <w:t>PLC</w:t>
            </w:r>
            <w:r>
              <w:rPr>
                <w:rFonts w:hint="eastAsia" w:ascii="宋体" w:hAnsi="宋体" w:eastAsia="宋体" w:cs="宋体"/>
                <w:color w:val="auto"/>
                <w:sz w:val="24"/>
                <w:highlight w:val="none"/>
              </w:rPr>
              <w:t>控制，人工操作即可；PLC选用西门子、施耐德、伊顿、三菱等；</w:t>
            </w:r>
          </w:p>
          <w:p w14:paraId="3C417F16">
            <w:pPr>
              <w:pStyle w:val="21"/>
              <w:ind w:left="420" w:hanging="420" w:firstLineChars="0"/>
              <w:rPr>
                <w:rFonts w:hint="eastAsia" w:ascii="宋体" w:hAnsi="宋体" w:eastAsia="宋体" w:cs="宋体"/>
                <w:color w:val="auto"/>
                <w:sz w:val="24"/>
                <w:highlight w:val="none"/>
              </w:rPr>
            </w:pPr>
            <w:r>
              <w:rPr>
                <w:rFonts w:ascii="Times New Roman" w:hAnsi="Times New Roman" w:eastAsia="宋体" w:cs="宋体"/>
                <w:color w:val="auto"/>
                <w:sz w:val="24"/>
                <w:szCs w:val="24"/>
                <w:highlight w:val="none"/>
              </w:rPr>
              <w:t>（</w:t>
            </w:r>
            <w:r>
              <w:rPr>
                <w:rFonts w:hint="eastAsia" w:ascii="Times New Roman" w:hAnsi="Times New Roman" w:eastAsia="宋体" w:cs="宋体"/>
                <w:color w:val="auto"/>
                <w:sz w:val="24"/>
                <w:szCs w:val="24"/>
                <w:highlight w:val="none"/>
              </w:rPr>
              <w:t>18</w:t>
            </w:r>
            <w:r>
              <w:rPr>
                <w:rFonts w:ascii="Times New Roman" w:hAnsi="Times New Roman" w:eastAsia="宋体" w:cs="宋体"/>
                <w:color w:val="auto"/>
                <w:sz w:val="24"/>
                <w:szCs w:val="24"/>
                <w:highlight w:val="none"/>
              </w:rPr>
              <w:t>）</w:t>
            </w:r>
            <w:r>
              <w:rPr>
                <w:rFonts w:hint="eastAsia" w:ascii="宋体" w:hAnsi="宋体" w:eastAsia="宋体" w:cs="宋体"/>
                <w:color w:val="auto"/>
                <w:sz w:val="24"/>
                <w:highlight w:val="none"/>
              </w:rPr>
              <w:t>*触摸屏三菱、威纶通、西门子等；</w:t>
            </w:r>
          </w:p>
          <w:p w14:paraId="37B54AB5">
            <w:pPr>
              <w:rPr>
                <w:rFonts w:hint="eastAsia" w:ascii="宋体" w:hAnsi="宋体" w:eastAsia="宋体" w:cs="宋体"/>
                <w:color w:val="auto"/>
                <w:sz w:val="24"/>
                <w:highlight w:val="none"/>
              </w:rPr>
            </w:pPr>
            <w:r>
              <w:rPr>
                <w:rFonts w:hint="eastAsia" w:ascii="宋体" w:hAnsi="宋体" w:eastAsia="宋体" w:cs="宋体"/>
                <w:color w:val="auto"/>
                <w:sz w:val="24"/>
                <w:highlight w:val="none"/>
              </w:rPr>
              <w:t>（19）*所有电气元器件选取西门子、施耐德、伊顿等主流品牌；</w:t>
            </w:r>
          </w:p>
          <w:p w14:paraId="40FFC1D1">
            <w:pPr>
              <w:pStyle w:val="21"/>
              <w:ind w:left="420" w:hanging="42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（20）*具备液位、温度显示；</w:t>
            </w:r>
          </w:p>
          <w:p w14:paraId="2EBB5461">
            <w:pPr>
              <w:pStyle w:val="21"/>
              <w:ind w:left="420" w:hanging="42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（21）*产线设计应符合相关安全要求，安全保护措施齐全，配置脚踏板及护栏等；</w:t>
            </w:r>
          </w:p>
          <w:p w14:paraId="63A0E4D4">
            <w:pPr>
              <w:pStyle w:val="21"/>
              <w:ind w:left="420" w:hanging="420" w:firstLineChars="0"/>
              <w:rPr>
                <w:rFonts w:hint="eastAsia" w:ascii="宋体" w:hAnsi="宋体" w:eastAsia="宋体" w:cs="宋体"/>
                <w:color w:val="auto"/>
                <w:sz w:val="24"/>
                <w:highlight w:val="none"/>
              </w:rPr>
            </w:pPr>
            <w:r>
              <w:rPr>
                <w:rFonts w:ascii="宋体" w:hAnsi="宋体" w:eastAsia="宋体" w:cs="宋体"/>
                <w:color w:val="auto"/>
                <w:sz w:val="24"/>
                <w:highlight w:val="none"/>
              </w:rPr>
              <w:t>（</w:t>
            </w:r>
            <w:r>
              <w:rPr>
                <w:rFonts w:hint="eastAsia" w:ascii="宋体" w:hAnsi="宋体" w:eastAsia="宋体" w:cs="宋体"/>
                <w:color w:val="auto"/>
                <w:sz w:val="24"/>
                <w:highlight w:val="none"/>
              </w:rPr>
              <w:t>22</w:t>
            </w:r>
            <w:r>
              <w:rPr>
                <w:rFonts w:ascii="宋体" w:hAnsi="宋体" w:eastAsia="宋体" w:cs="宋体"/>
                <w:color w:val="auto"/>
                <w:sz w:val="24"/>
                <w:highlight w:val="none"/>
              </w:rPr>
              <w:t>）</w:t>
            </w:r>
            <w:r>
              <w:rPr>
                <w:rFonts w:hint="eastAsia" w:ascii="宋体" w:hAnsi="宋体" w:eastAsia="宋体" w:cs="宋体"/>
                <w:color w:val="auto"/>
                <w:sz w:val="24"/>
                <w:highlight w:val="none"/>
              </w:rPr>
              <w:t>*相关设计符合人机工程学，人机安全、便捷操作；</w:t>
            </w:r>
          </w:p>
          <w:p w14:paraId="2E777FD2">
            <w:pPr>
              <w:pStyle w:val="21"/>
              <w:ind w:left="420" w:hanging="420" w:firstLineChars="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（23）</w:t>
            </w:r>
            <w:r>
              <w:rPr>
                <w:rFonts w:hint="eastAsia" w:ascii="宋体" w:hAnsi="宋体" w:eastAsia="宋体" w:cs="宋体"/>
                <w:color w:val="auto"/>
                <w:sz w:val="24"/>
                <w:highlight w:val="none"/>
              </w:rPr>
              <w:t>*提供清洗方案及工艺（含药水组成及配比）；</w:t>
            </w:r>
          </w:p>
          <w:p w14:paraId="396F56DC">
            <w:pPr>
              <w:pStyle w:val="21"/>
              <w:ind w:left="420" w:hanging="42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（24）*外观美观、整洁，提供外观效果图。</w:t>
            </w:r>
          </w:p>
          <w:p w14:paraId="7F63F8E7">
            <w:pPr>
              <w:pStyle w:val="21"/>
              <w:ind w:left="420" w:hanging="42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注：产品吊装借用车间行车</w:t>
            </w:r>
          </w:p>
          <w:p w14:paraId="1995782A">
            <w:pPr>
              <w:pStyle w:val="21"/>
              <w:ind w:left="420" w:hanging="420" w:firstLineChars="0"/>
              <w:rPr>
                <w:rFonts w:hint="eastAsia" w:ascii="宋体" w:hAnsi="宋体" w:eastAsia="宋体" w:cs="宋体"/>
                <w:sz w:val="18"/>
                <w:szCs w:val="18"/>
                <w:highlight w:val="none"/>
              </w:rPr>
            </w:pP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9BEF18">
            <w:pPr>
              <w:jc w:val="center"/>
              <w:textAlignment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w:t>
            </w:r>
            <w:r>
              <w:rPr>
                <w:rFonts w:hint="eastAsia" w:ascii="Times New Roman" w:hAnsi="Times New Roman" w:eastAsia="宋体" w:cs="宋体"/>
                <w:color w:val="auto"/>
                <w:sz w:val="24"/>
                <w:highlight w:val="none"/>
              </w:rPr>
              <w:t>培训设备操作、编程及维修等，安排现场培训不少于3天</w:t>
            </w:r>
          </w:p>
        </w:tc>
      </w:tr>
    </w:tbl>
    <w:p w14:paraId="3457EF4D">
      <w:pPr>
        <w:spacing w:before="240" w:beforeLines="100" w:line="360" w:lineRule="auto"/>
        <w:jc w:val="both"/>
        <w:outlineLvl w:val="0"/>
        <w:rPr>
          <w:rFonts w:hint="eastAsia" w:ascii="宋体" w:hAnsi="宋体" w:eastAsia="宋体" w:cs="宋体"/>
          <w:b/>
          <w:sz w:val="36"/>
          <w:szCs w:val="36"/>
          <w14:textOutline w14:w="6527" w14:cap="flat" w14:cmpd="sng" w14:algn="ctr">
            <w14:solidFill>
              <w14:srgbClr w14:val="000000"/>
            </w14:solidFill>
            <w14:prstDash w14:val="solid"/>
            <w14:miter w14:val="0"/>
          </w14:textOutline>
        </w:rPr>
      </w:pPr>
    </w:p>
    <w:p w14:paraId="2C842189">
      <w:pPr>
        <w:pStyle w:val="2"/>
        <w:ind w:firstLine="0" w:firstLineChars="0"/>
        <w:rPr>
          <w:b/>
          <w:bCs/>
        </w:rPr>
      </w:pPr>
      <w:r>
        <w:rPr>
          <w:rFonts w:hint="eastAsia"/>
          <w:b/>
          <w:bCs/>
        </w:rPr>
        <w:t>二、交付资料和文件</w:t>
      </w:r>
    </w:p>
    <w:tbl>
      <w:tblPr>
        <w:tblStyle w:val="14"/>
        <w:tblW w:w="9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4367"/>
        <w:gridCol w:w="1035"/>
        <w:gridCol w:w="2745"/>
      </w:tblGrid>
      <w:tr w14:paraId="6BF13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19" w:type="dxa"/>
            <w:vAlign w:val="center"/>
          </w:tcPr>
          <w:p w14:paraId="64073FF6">
            <w:pPr>
              <w:jc w:val="center"/>
              <w:rPr>
                <w:rFonts w:ascii="Times New Roman" w:hAnsi="Times New Roman" w:eastAsia="宋体"/>
                <w:b/>
                <w:bCs/>
                <w:color w:val="auto"/>
                <w:spacing w:val="6"/>
                <w:sz w:val="24"/>
                <w:szCs w:val="24"/>
              </w:rPr>
            </w:pPr>
            <w:r>
              <w:rPr>
                <w:rFonts w:ascii="Times New Roman" w:hAnsi="Times New Roman" w:eastAsia="宋体"/>
                <w:b/>
                <w:bCs/>
                <w:color w:val="auto"/>
                <w:spacing w:val="6"/>
                <w:sz w:val="24"/>
                <w:szCs w:val="24"/>
              </w:rPr>
              <w:t>序号</w:t>
            </w:r>
          </w:p>
        </w:tc>
        <w:tc>
          <w:tcPr>
            <w:tcW w:w="4367" w:type="dxa"/>
            <w:vAlign w:val="center"/>
          </w:tcPr>
          <w:p w14:paraId="052DAD3E">
            <w:pPr>
              <w:jc w:val="center"/>
              <w:rPr>
                <w:rFonts w:ascii="Times New Roman" w:hAnsi="Times New Roman" w:eastAsia="宋体"/>
                <w:b/>
                <w:bCs/>
                <w:color w:val="auto"/>
                <w:spacing w:val="6"/>
                <w:sz w:val="24"/>
                <w:szCs w:val="24"/>
              </w:rPr>
            </w:pPr>
            <w:r>
              <w:rPr>
                <w:rFonts w:ascii="Times New Roman" w:hAnsi="Times New Roman" w:eastAsia="宋体"/>
                <w:b/>
                <w:bCs/>
                <w:color w:val="auto"/>
                <w:spacing w:val="6"/>
                <w:sz w:val="24"/>
                <w:szCs w:val="24"/>
              </w:rPr>
              <w:t>名称</w:t>
            </w:r>
          </w:p>
        </w:tc>
        <w:tc>
          <w:tcPr>
            <w:tcW w:w="1035" w:type="dxa"/>
            <w:vAlign w:val="center"/>
          </w:tcPr>
          <w:p w14:paraId="445BD414">
            <w:pPr>
              <w:jc w:val="center"/>
              <w:rPr>
                <w:rFonts w:ascii="Times New Roman" w:hAnsi="Times New Roman" w:eastAsia="宋体"/>
                <w:b/>
                <w:bCs/>
                <w:color w:val="auto"/>
                <w:spacing w:val="6"/>
                <w:sz w:val="24"/>
                <w:szCs w:val="24"/>
              </w:rPr>
            </w:pPr>
            <w:r>
              <w:rPr>
                <w:rFonts w:ascii="Times New Roman" w:hAnsi="Times New Roman" w:eastAsia="宋体"/>
                <w:b/>
                <w:bCs/>
                <w:color w:val="auto"/>
                <w:spacing w:val="6"/>
                <w:sz w:val="24"/>
                <w:szCs w:val="24"/>
              </w:rPr>
              <w:t>数量</w:t>
            </w:r>
          </w:p>
        </w:tc>
        <w:tc>
          <w:tcPr>
            <w:tcW w:w="2745" w:type="dxa"/>
            <w:vAlign w:val="center"/>
          </w:tcPr>
          <w:p w14:paraId="11E3D1B8">
            <w:pPr>
              <w:jc w:val="center"/>
              <w:rPr>
                <w:rFonts w:ascii="Times New Roman" w:hAnsi="Times New Roman" w:eastAsia="宋体"/>
                <w:b/>
                <w:bCs/>
                <w:color w:val="auto"/>
                <w:spacing w:val="6"/>
                <w:sz w:val="24"/>
                <w:szCs w:val="24"/>
              </w:rPr>
            </w:pPr>
            <w:r>
              <w:rPr>
                <w:rFonts w:ascii="Times New Roman" w:hAnsi="Times New Roman" w:eastAsia="宋体"/>
                <w:b/>
                <w:bCs/>
                <w:color w:val="auto"/>
                <w:spacing w:val="6"/>
                <w:sz w:val="24"/>
                <w:szCs w:val="24"/>
              </w:rPr>
              <w:t>备注</w:t>
            </w:r>
          </w:p>
        </w:tc>
      </w:tr>
      <w:tr w14:paraId="60BAC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19" w:type="dxa"/>
            <w:vAlign w:val="center"/>
          </w:tcPr>
          <w:p w14:paraId="205036B2">
            <w:pPr>
              <w:jc w:val="center"/>
              <w:rPr>
                <w:rFonts w:ascii="Times New Roman" w:hAnsi="Times New Roman" w:eastAsia="宋体"/>
                <w:b/>
                <w:bCs/>
                <w:color w:val="auto"/>
                <w:spacing w:val="6"/>
                <w:sz w:val="24"/>
                <w:szCs w:val="24"/>
              </w:rPr>
            </w:pPr>
            <w:r>
              <w:rPr>
                <w:rFonts w:hint="eastAsia" w:ascii="Times New Roman" w:hAnsi="Times New Roman" w:eastAsia="宋体"/>
                <w:color w:val="auto"/>
                <w:spacing w:val="6"/>
                <w:sz w:val="24"/>
                <w:szCs w:val="24"/>
              </w:rPr>
              <w:t>1</w:t>
            </w:r>
          </w:p>
        </w:tc>
        <w:tc>
          <w:tcPr>
            <w:tcW w:w="4367" w:type="dxa"/>
            <w:vAlign w:val="center"/>
          </w:tcPr>
          <w:p w14:paraId="404F0662">
            <w:pPr>
              <w:jc w:val="center"/>
              <w:rPr>
                <w:rFonts w:ascii="Times New Roman" w:hAnsi="Times New Roman" w:eastAsia="宋体"/>
                <w:b/>
                <w:bCs/>
                <w:color w:val="auto"/>
                <w:spacing w:val="6"/>
                <w:sz w:val="24"/>
                <w:szCs w:val="24"/>
              </w:rPr>
            </w:pPr>
            <w:r>
              <w:rPr>
                <w:rFonts w:hint="eastAsia" w:ascii="Times New Roman" w:hAnsi="Times New Roman" w:eastAsia="宋体" w:cs="宋体"/>
                <w:color w:val="auto"/>
                <w:spacing w:val="6"/>
                <w:sz w:val="24"/>
                <w:szCs w:val="24"/>
              </w:rPr>
              <w:t>安全操作及维护手册</w:t>
            </w:r>
          </w:p>
        </w:tc>
        <w:tc>
          <w:tcPr>
            <w:tcW w:w="1035" w:type="dxa"/>
            <w:vAlign w:val="center"/>
          </w:tcPr>
          <w:p w14:paraId="32B4AE86">
            <w:pPr>
              <w:jc w:val="center"/>
              <w:rPr>
                <w:rFonts w:ascii="Times New Roman" w:hAnsi="Times New Roman" w:eastAsia="宋体"/>
                <w:b/>
                <w:bCs/>
                <w:color w:val="auto"/>
                <w:spacing w:val="6"/>
                <w:sz w:val="24"/>
                <w:szCs w:val="24"/>
              </w:rPr>
            </w:pPr>
            <w:r>
              <w:rPr>
                <w:rFonts w:hint="eastAsia" w:ascii="Times New Roman" w:hAnsi="Times New Roman" w:eastAsia="宋体"/>
                <w:color w:val="auto"/>
                <w:spacing w:val="6"/>
                <w:sz w:val="24"/>
                <w:szCs w:val="24"/>
              </w:rPr>
              <w:t>1</w:t>
            </w:r>
            <w:r>
              <w:rPr>
                <w:rFonts w:ascii="Times New Roman" w:hAnsi="Times New Roman" w:eastAsia="宋体"/>
                <w:color w:val="auto"/>
                <w:spacing w:val="6"/>
                <w:sz w:val="24"/>
                <w:szCs w:val="24"/>
              </w:rPr>
              <w:t>份</w:t>
            </w:r>
          </w:p>
        </w:tc>
        <w:tc>
          <w:tcPr>
            <w:tcW w:w="2745" w:type="dxa"/>
            <w:vAlign w:val="center"/>
          </w:tcPr>
          <w:p w14:paraId="58982B1C">
            <w:pPr>
              <w:jc w:val="center"/>
              <w:rPr>
                <w:rFonts w:ascii="Times New Roman" w:hAnsi="Times New Roman" w:eastAsia="宋体"/>
                <w:b/>
                <w:bCs/>
                <w:color w:val="auto"/>
                <w:spacing w:val="6"/>
                <w:sz w:val="24"/>
                <w:szCs w:val="24"/>
              </w:rPr>
            </w:pPr>
            <w:r>
              <w:rPr>
                <w:rFonts w:hint="eastAsia" w:ascii="Times New Roman" w:hAnsi="Times New Roman" w:eastAsia="宋体"/>
                <w:color w:val="auto"/>
                <w:spacing w:val="6"/>
                <w:sz w:val="24"/>
                <w:szCs w:val="24"/>
              </w:rPr>
              <w:t>随货提供</w:t>
            </w:r>
          </w:p>
        </w:tc>
      </w:tr>
      <w:tr w14:paraId="3495B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19" w:type="dxa"/>
            <w:vAlign w:val="center"/>
          </w:tcPr>
          <w:p w14:paraId="78AED0AD">
            <w:pPr>
              <w:jc w:val="center"/>
              <w:rPr>
                <w:rFonts w:ascii="Times New Roman" w:hAnsi="Times New Roman" w:eastAsia="宋体"/>
                <w:color w:val="auto"/>
                <w:spacing w:val="6"/>
                <w:sz w:val="24"/>
                <w:szCs w:val="24"/>
              </w:rPr>
            </w:pPr>
            <w:r>
              <w:rPr>
                <w:rFonts w:hint="eastAsia" w:ascii="Times New Roman" w:hAnsi="Times New Roman" w:eastAsia="宋体"/>
                <w:color w:val="auto"/>
                <w:spacing w:val="6"/>
                <w:sz w:val="24"/>
                <w:szCs w:val="24"/>
              </w:rPr>
              <w:t>2</w:t>
            </w:r>
          </w:p>
        </w:tc>
        <w:tc>
          <w:tcPr>
            <w:tcW w:w="4367" w:type="dxa"/>
            <w:vAlign w:val="center"/>
          </w:tcPr>
          <w:p w14:paraId="65886C0A">
            <w:pPr>
              <w:jc w:val="center"/>
              <w:rPr>
                <w:rFonts w:ascii="Times New Roman" w:hAnsi="Times New Roman" w:eastAsia="宋体" w:cs="宋体"/>
                <w:color w:val="auto"/>
                <w:spacing w:val="6"/>
                <w:sz w:val="24"/>
                <w:szCs w:val="24"/>
              </w:rPr>
            </w:pPr>
            <w:r>
              <w:rPr>
                <w:rFonts w:hint="eastAsia" w:ascii="Times New Roman" w:hAnsi="Times New Roman" w:eastAsia="宋体" w:cs="宋体"/>
                <w:color w:val="auto"/>
                <w:spacing w:val="6"/>
                <w:sz w:val="24"/>
                <w:szCs w:val="24"/>
              </w:rPr>
              <w:t>产线平面布局图（预留废水处理工位）及3D图</w:t>
            </w:r>
          </w:p>
        </w:tc>
        <w:tc>
          <w:tcPr>
            <w:tcW w:w="1035" w:type="dxa"/>
            <w:vAlign w:val="center"/>
          </w:tcPr>
          <w:p w14:paraId="3DA5AAC0">
            <w:pPr>
              <w:jc w:val="center"/>
              <w:rPr>
                <w:rFonts w:ascii="Times New Roman" w:hAnsi="Times New Roman" w:eastAsia="宋体"/>
                <w:color w:val="auto"/>
                <w:spacing w:val="6"/>
                <w:sz w:val="24"/>
                <w:szCs w:val="24"/>
              </w:rPr>
            </w:pPr>
            <w:r>
              <w:rPr>
                <w:rFonts w:hint="eastAsia" w:ascii="Times New Roman" w:hAnsi="Times New Roman" w:eastAsia="宋体"/>
                <w:color w:val="auto"/>
                <w:spacing w:val="6"/>
                <w:sz w:val="24"/>
                <w:szCs w:val="24"/>
              </w:rPr>
              <w:t>1</w:t>
            </w:r>
            <w:r>
              <w:rPr>
                <w:rFonts w:ascii="Times New Roman" w:hAnsi="Times New Roman" w:eastAsia="宋体"/>
                <w:color w:val="auto"/>
                <w:spacing w:val="6"/>
                <w:sz w:val="24"/>
                <w:szCs w:val="24"/>
              </w:rPr>
              <w:t>份</w:t>
            </w:r>
          </w:p>
        </w:tc>
        <w:tc>
          <w:tcPr>
            <w:tcW w:w="2745" w:type="dxa"/>
            <w:vAlign w:val="center"/>
          </w:tcPr>
          <w:p w14:paraId="17946FE7">
            <w:pPr>
              <w:jc w:val="center"/>
              <w:rPr>
                <w:rFonts w:ascii="Times New Roman" w:hAnsi="Times New Roman" w:eastAsia="宋体"/>
                <w:color w:val="auto"/>
                <w:spacing w:val="6"/>
                <w:sz w:val="24"/>
                <w:szCs w:val="24"/>
              </w:rPr>
            </w:pPr>
            <w:r>
              <w:rPr>
                <w:rFonts w:hint="eastAsia" w:ascii="Times New Roman" w:hAnsi="Times New Roman" w:eastAsia="宋体"/>
                <w:color w:val="auto"/>
                <w:spacing w:val="6"/>
                <w:sz w:val="24"/>
                <w:szCs w:val="24"/>
              </w:rPr>
              <w:t>随货提供</w:t>
            </w:r>
          </w:p>
        </w:tc>
      </w:tr>
      <w:tr w14:paraId="52D00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19" w:type="dxa"/>
            <w:vAlign w:val="center"/>
          </w:tcPr>
          <w:p w14:paraId="6E93A88C">
            <w:pPr>
              <w:widowControl w:val="0"/>
              <w:kinsoku/>
              <w:autoSpaceDE/>
              <w:autoSpaceDN/>
              <w:spacing w:line="360" w:lineRule="auto"/>
              <w:jc w:val="center"/>
              <w:textAlignment w:val="auto"/>
              <w:rPr>
                <w:rFonts w:ascii="Times New Roman" w:hAnsi="Times New Roman" w:eastAsia="宋体"/>
                <w:color w:val="auto"/>
                <w:spacing w:val="6"/>
                <w:sz w:val="24"/>
                <w:szCs w:val="24"/>
              </w:rPr>
            </w:pPr>
            <w:r>
              <w:rPr>
                <w:rFonts w:hint="eastAsia" w:ascii="Times New Roman" w:hAnsi="Times New Roman" w:eastAsia="宋体"/>
                <w:color w:val="auto"/>
                <w:spacing w:val="6"/>
                <w:sz w:val="24"/>
                <w:szCs w:val="24"/>
              </w:rPr>
              <w:t>3</w:t>
            </w:r>
          </w:p>
        </w:tc>
        <w:tc>
          <w:tcPr>
            <w:tcW w:w="4367" w:type="dxa"/>
            <w:vAlign w:val="center"/>
          </w:tcPr>
          <w:p w14:paraId="31B5F247">
            <w:pPr>
              <w:jc w:val="center"/>
              <w:rPr>
                <w:rFonts w:ascii="Times New Roman" w:hAnsi="Times New Roman" w:eastAsia="宋体"/>
                <w:color w:val="auto"/>
                <w:spacing w:val="6"/>
                <w:sz w:val="24"/>
                <w:szCs w:val="24"/>
              </w:rPr>
            </w:pPr>
            <w:r>
              <w:rPr>
                <w:rFonts w:hint="eastAsia" w:ascii="Times New Roman" w:hAnsi="Times New Roman" w:eastAsia="宋体"/>
                <w:color w:val="auto"/>
                <w:spacing w:val="6"/>
                <w:sz w:val="24"/>
                <w:szCs w:val="24"/>
              </w:rPr>
              <w:t>电气图</w:t>
            </w:r>
          </w:p>
        </w:tc>
        <w:tc>
          <w:tcPr>
            <w:tcW w:w="1035" w:type="dxa"/>
            <w:vAlign w:val="center"/>
          </w:tcPr>
          <w:p w14:paraId="2C1C6B88">
            <w:pPr>
              <w:jc w:val="center"/>
              <w:rPr>
                <w:rFonts w:ascii="Times New Roman" w:hAnsi="Times New Roman" w:eastAsia="宋体"/>
                <w:color w:val="auto"/>
                <w:spacing w:val="6"/>
                <w:sz w:val="24"/>
                <w:szCs w:val="24"/>
              </w:rPr>
            </w:pPr>
            <w:r>
              <w:rPr>
                <w:rFonts w:hint="eastAsia" w:ascii="Times New Roman" w:hAnsi="Times New Roman" w:eastAsia="宋体"/>
                <w:color w:val="auto"/>
                <w:spacing w:val="6"/>
                <w:sz w:val="24"/>
                <w:szCs w:val="24"/>
              </w:rPr>
              <w:t>1</w:t>
            </w:r>
            <w:r>
              <w:rPr>
                <w:rFonts w:ascii="Times New Roman" w:hAnsi="Times New Roman" w:eastAsia="宋体"/>
                <w:color w:val="auto"/>
                <w:spacing w:val="6"/>
                <w:sz w:val="24"/>
                <w:szCs w:val="24"/>
              </w:rPr>
              <w:t>份</w:t>
            </w:r>
          </w:p>
        </w:tc>
        <w:tc>
          <w:tcPr>
            <w:tcW w:w="2745" w:type="dxa"/>
            <w:vAlign w:val="center"/>
          </w:tcPr>
          <w:p w14:paraId="5955FCCC">
            <w:pPr>
              <w:jc w:val="center"/>
              <w:rPr>
                <w:rFonts w:ascii="Times New Roman" w:hAnsi="Times New Roman" w:eastAsia="宋体"/>
                <w:color w:val="auto"/>
                <w:spacing w:val="6"/>
                <w:sz w:val="24"/>
                <w:szCs w:val="24"/>
              </w:rPr>
            </w:pPr>
            <w:r>
              <w:rPr>
                <w:rFonts w:hint="eastAsia" w:ascii="Times New Roman" w:hAnsi="Times New Roman" w:eastAsia="宋体"/>
                <w:color w:val="auto"/>
                <w:spacing w:val="6"/>
                <w:sz w:val="24"/>
                <w:szCs w:val="24"/>
              </w:rPr>
              <w:t>随货提供</w:t>
            </w:r>
          </w:p>
        </w:tc>
      </w:tr>
      <w:tr w14:paraId="3E6EC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19" w:type="dxa"/>
            <w:vAlign w:val="center"/>
          </w:tcPr>
          <w:p w14:paraId="11B81C50">
            <w:pPr>
              <w:widowControl w:val="0"/>
              <w:kinsoku/>
              <w:autoSpaceDE/>
              <w:autoSpaceDN/>
              <w:spacing w:line="360" w:lineRule="auto"/>
              <w:jc w:val="center"/>
              <w:textAlignment w:val="auto"/>
              <w:rPr>
                <w:rFonts w:ascii="Times New Roman" w:hAnsi="Times New Roman" w:eastAsia="宋体"/>
                <w:color w:val="auto"/>
                <w:spacing w:val="6"/>
                <w:sz w:val="24"/>
                <w:szCs w:val="24"/>
              </w:rPr>
            </w:pPr>
            <w:r>
              <w:rPr>
                <w:rFonts w:hint="eastAsia" w:ascii="Times New Roman" w:hAnsi="Times New Roman" w:eastAsia="宋体"/>
                <w:color w:val="auto"/>
                <w:spacing w:val="6"/>
                <w:sz w:val="24"/>
                <w:szCs w:val="24"/>
              </w:rPr>
              <w:t>4</w:t>
            </w:r>
          </w:p>
        </w:tc>
        <w:tc>
          <w:tcPr>
            <w:tcW w:w="4367" w:type="dxa"/>
            <w:vAlign w:val="center"/>
          </w:tcPr>
          <w:p w14:paraId="5F22D724">
            <w:pPr>
              <w:jc w:val="center"/>
              <w:rPr>
                <w:rFonts w:ascii="Times New Roman" w:hAnsi="Times New Roman" w:eastAsia="宋体"/>
                <w:color w:val="auto"/>
                <w:spacing w:val="6"/>
                <w:sz w:val="24"/>
                <w:szCs w:val="24"/>
              </w:rPr>
            </w:pPr>
            <w:r>
              <w:rPr>
                <w:rFonts w:hint="eastAsia" w:ascii="Times New Roman" w:hAnsi="Times New Roman" w:eastAsia="宋体"/>
                <w:color w:val="auto"/>
                <w:spacing w:val="6"/>
                <w:sz w:val="24"/>
                <w:szCs w:val="24"/>
              </w:rPr>
              <w:t>管路图</w:t>
            </w:r>
          </w:p>
        </w:tc>
        <w:tc>
          <w:tcPr>
            <w:tcW w:w="1035" w:type="dxa"/>
            <w:vAlign w:val="center"/>
          </w:tcPr>
          <w:p w14:paraId="56A4751D">
            <w:pPr>
              <w:jc w:val="center"/>
              <w:rPr>
                <w:rFonts w:ascii="Times New Roman" w:hAnsi="Times New Roman" w:eastAsia="宋体"/>
                <w:color w:val="auto"/>
                <w:spacing w:val="6"/>
                <w:sz w:val="24"/>
                <w:szCs w:val="24"/>
              </w:rPr>
            </w:pPr>
            <w:r>
              <w:rPr>
                <w:rFonts w:ascii="Times New Roman" w:hAnsi="Times New Roman" w:eastAsia="宋体"/>
                <w:color w:val="auto"/>
                <w:spacing w:val="6"/>
                <w:sz w:val="24"/>
                <w:szCs w:val="24"/>
              </w:rPr>
              <w:t>1份</w:t>
            </w:r>
          </w:p>
        </w:tc>
        <w:tc>
          <w:tcPr>
            <w:tcW w:w="2745" w:type="dxa"/>
            <w:vAlign w:val="center"/>
          </w:tcPr>
          <w:p w14:paraId="7E2DCF18">
            <w:pPr>
              <w:jc w:val="center"/>
              <w:rPr>
                <w:rFonts w:ascii="Times New Roman" w:hAnsi="Times New Roman" w:eastAsia="宋体"/>
                <w:color w:val="auto"/>
                <w:spacing w:val="6"/>
                <w:sz w:val="24"/>
                <w:szCs w:val="24"/>
              </w:rPr>
            </w:pPr>
            <w:r>
              <w:rPr>
                <w:rFonts w:hint="eastAsia" w:ascii="Times New Roman" w:hAnsi="Times New Roman" w:eastAsia="宋体"/>
                <w:color w:val="auto"/>
                <w:spacing w:val="6"/>
                <w:sz w:val="24"/>
                <w:szCs w:val="24"/>
              </w:rPr>
              <w:t>随货提供</w:t>
            </w:r>
          </w:p>
        </w:tc>
      </w:tr>
      <w:tr w14:paraId="34E5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19" w:type="dxa"/>
            <w:vAlign w:val="center"/>
          </w:tcPr>
          <w:p w14:paraId="3B894ECB">
            <w:pPr>
              <w:widowControl w:val="0"/>
              <w:kinsoku/>
              <w:autoSpaceDE/>
              <w:autoSpaceDN/>
              <w:spacing w:line="360" w:lineRule="auto"/>
              <w:jc w:val="center"/>
              <w:textAlignment w:val="auto"/>
              <w:rPr>
                <w:rFonts w:ascii="Times New Roman" w:hAnsi="Times New Roman" w:eastAsia="宋体"/>
                <w:color w:val="auto"/>
                <w:spacing w:val="6"/>
                <w:sz w:val="24"/>
                <w:szCs w:val="24"/>
              </w:rPr>
            </w:pPr>
            <w:r>
              <w:rPr>
                <w:rFonts w:hint="eastAsia" w:ascii="Times New Roman" w:hAnsi="Times New Roman" w:eastAsia="宋体"/>
                <w:color w:val="auto"/>
                <w:spacing w:val="6"/>
                <w:sz w:val="24"/>
                <w:szCs w:val="24"/>
              </w:rPr>
              <w:t>5</w:t>
            </w:r>
          </w:p>
        </w:tc>
        <w:tc>
          <w:tcPr>
            <w:tcW w:w="4367" w:type="dxa"/>
            <w:vAlign w:val="center"/>
          </w:tcPr>
          <w:p w14:paraId="1DA0A780">
            <w:pPr>
              <w:jc w:val="center"/>
              <w:rPr>
                <w:rFonts w:ascii="Times New Roman" w:hAnsi="Times New Roman" w:eastAsia="宋体"/>
                <w:color w:val="auto"/>
                <w:spacing w:val="6"/>
                <w:sz w:val="24"/>
                <w:szCs w:val="24"/>
              </w:rPr>
            </w:pPr>
            <w:r>
              <w:rPr>
                <w:rFonts w:hint="eastAsia" w:ascii="Times New Roman" w:hAnsi="Times New Roman" w:eastAsia="宋体" w:cs="宋体"/>
                <w:color w:val="auto"/>
                <w:spacing w:val="6"/>
                <w:sz w:val="24"/>
              </w:rPr>
              <w:t>备品备件清单</w:t>
            </w:r>
          </w:p>
        </w:tc>
        <w:tc>
          <w:tcPr>
            <w:tcW w:w="1035" w:type="dxa"/>
            <w:vAlign w:val="center"/>
          </w:tcPr>
          <w:p w14:paraId="3746A69A">
            <w:pPr>
              <w:jc w:val="center"/>
              <w:rPr>
                <w:rFonts w:ascii="Times New Roman" w:hAnsi="Times New Roman" w:eastAsia="宋体"/>
                <w:color w:val="auto"/>
                <w:spacing w:val="6"/>
                <w:sz w:val="24"/>
                <w:szCs w:val="24"/>
              </w:rPr>
            </w:pPr>
            <w:r>
              <w:rPr>
                <w:rFonts w:ascii="Times New Roman" w:hAnsi="Times New Roman" w:eastAsia="宋体"/>
                <w:color w:val="auto"/>
                <w:spacing w:val="6"/>
                <w:sz w:val="24"/>
              </w:rPr>
              <w:t>1份</w:t>
            </w:r>
          </w:p>
        </w:tc>
        <w:tc>
          <w:tcPr>
            <w:tcW w:w="2745" w:type="dxa"/>
            <w:vAlign w:val="center"/>
          </w:tcPr>
          <w:p w14:paraId="2C723844">
            <w:pPr>
              <w:jc w:val="center"/>
              <w:rPr>
                <w:rFonts w:ascii="Times New Roman" w:hAnsi="Times New Roman" w:eastAsia="宋体"/>
                <w:color w:val="auto"/>
                <w:spacing w:val="6"/>
                <w:sz w:val="24"/>
                <w:szCs w:val="24"/>
              </w:rPr>
            </w:pPr>
            <w:r>
              <w:rPr>
                <w:rFonts w:ascii="Times New Roman" w:hAnsi="Times New Roman" w:eastAsia="宋体"/>
                <w:color w:val="auto"/>
                <w:spacing w:val="6"/>
                <w:sz w:val="24"/>
              </w:rPr>
              <w:t>随货提供</w:t>
            </w:r>
          </w:p>
        </w:tc>
      </w:tr>
      <w:tr w14:paraId="762BE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19" w:type="dxa"/>
            <w:vAlign w:val="center"/>
          </w:tcPr>
          <w:p w14:paraId="5AB271D4">
            <w:pPr>
              <w:widowControl w:val="0"/>
              <w:kinsoku/>
              <w:autoSpaceDE/>
              <w:autoSpaceDN/>
              <w:spacing w:line="360" w:lineRule="auto"/>
              <w:jc w:val="center"/>
              <w:textAlignment w:val="auto"/>
              <w:rPr>
                <w:rFonts w:ascii="Times New Roman" w:hAnsi="Times New Roman" w:eastAsia="宋体"/>
                <w:color w:val="auto"/>
                <w:spacing w:val="6"/>
                <w:sz w:val="24"/>
                <w:szCs w:val="24"/>
              </w:rPr>
            </w:pPr>
            <w:r>
              <w:rPr>
                <w:rFonts w:hint="eastAsia" w:ascii="Times New Roman" w:hAnsi="Times New Roman" w:eastAsia="宋体"/>
                <w:color w:val="auto"/>
                <w:spacing w:val="6"/>
                <w:sz w:val="24"/>
                <w:szCs w:val="24"/>
              </w:rPr>
              <w:t>6</w:t>
            </w:r>
          </w:p>
        </w:tc>
        <w:tc>
          <w:tcPr>
            <w:tcW w:w="4367" w:type="dxa"/>
            <w:vAlign w:val="center"/>
          </w:tcPr>
          <w:p w14:paraId="0AC5B500">
            <w:pPr>
              <w:jc w:val="center"/>
              <w:rPr>
                <w:rFonts w:ascii="Times New Roman" w:hAnsi="Times New Roman" w:eastAsia="宋体" w:cs="宋体"/>
                <w:color w:val="auto"/>
                <w:spacing w:val="6"/>
                <w:sz w:val="24"/>
              </w:rPr>
            </w:pPr>
            <w:r>
              <w:rPr>
                <w:rFonts w:hint="eastAsia" w:ascii="Times New Roman" w:hAnsi="Times New Roman" w:eastAsia="宋体" w:cs="宋体"/>
                <w:color w:val="auto"/>
                <w:spacing w:val="6"/>
                <w:sz w:val="24"/>
              </w:rPr>
              <w:t>易损易耗件清单</w:t>
            </w:r>
          </w:p>
        </w:tc>
        <w:tc>
          <w:tcPr>
            <w:tcW w:w="1035" w:type="dxa"/>
            <w:vAlign w:val="center"/>
          </w:tcPr>
          <w:p w14:paraId="5DBD7274">
            <w:pPr>
              <w:jc w:val="center"/>
              <w:rPr>
                <w:rFonts w:ascii="Times New Roman" w:hAnsi="Times New Roman" w:eastAsia="宋体"/>
                <w:color w:val="auto"/>
                <w:spacing w:val="6"/>
                <w:sz w:val="24"/>
              </w:rPr>
            </w:pPr>
            <w:r>
              <w:rPr>
                <w:rFonts w:ascii="Times New Roman" w:hAnsi="Times New Roman" w:eastAsia="宋体"/>
                <w:color w:val="auto"/>
                <w:spacing w:val="6"/>
                <w:sz w:val="24"/>
              </w:rPr>
              <w:t>1份</w:t>
            </w:r>
          </w:p>
        </w:tc>
        <w:tc>
          <w:tcPr>
            <w:tcW w:w="2745" w:type="dxa"/>
            <w:vAlign w:val="center"/>
          </w:tcPr>
          <w:p w14:paraId="47DCA17C">
            <w:pPr>
              <w:jc w:val="center"/>
              <w:rPr>
                <w:rFonts w:ascii="Times New Roman" w:hAnsi="Times New Roman" w:eastAsia="宋体"/>
                <w:color w:val="auto"/>
                <w:spacing w:val="6"/>
                <w:sz w:val="24"/>
              </w:rPr>
            </w:pPr>
            <w:r>
              <w:rPr>
                <w:rFonts w:ascii="Times New Roman" w:hAnsi="Times New Roman" w:eastAsia="宋体"/>
                <w:color w:val="auto"/>
                <w:spacing w:val="6"/>
                <w:sz w:val="24"/>
              </w:rPr>
              <w:t>随货提供</w:t>
            </w:r>
          </w:p>
        </w:tc>
      </w:tr>
      <w:tr w14:paraId="61117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19" w:type="dxa"/>
            <w:vAlign w:val="center"/>
          </w:tcPr>
          <w:p w14:paraId="0D615C83">
            <w:pPr>
              <w:widowControl w:val="0"/>
              <w:kinsoku/>
              <w:autoSpaceDE/>
              <w:autoSpaceDN/>
              <w:spacing w:line="360" w:lineRule="auto"/>
              <w:jc w:val="center"/>
              <w:textAlignment w:val="auto"/>
              <w:rPr>
                <w:rFonts w:ascii="Times New Roman" w:hAnsi="Times New Roman" w:eastAsia="宋体"/>
                <w:color w:val="auto"/>
                <w:spacing w:val="6"/>
                <w:sz w:val="24"/>
                <w:szCs w:val="24"/>
              </w:rPr>
            </w:pPr>
            <w:r>
              <w:rPr>
                <w:rFonts w:hint="eastAsia" w:ascii="Times New Roman" w:hAnsi="Times New Roman" w:eastAsia="宋体"/>
                <w:color w:val="auto"/>
                <w:spacing w:val="6"/>
                <w:sz w:val="24"/>
                <w:szCs w:val="24"/>
              </w:rPr>
              <w:t>7</w:t>
            </w:r>
          </w:p>
        </w:tc>
        <w:tc>
          <w:tcPr>
            <w:tcW w:w="4367" w:type="dxa"/>
            <w:vAlign w:val="center"/>
          </w:tcPr>
          <w:p w14:paraId="6B26C569">
            <w:pPr>
              <w:jc w:val="center"/>
              <w:rPr>
                <w:rFonts w:ascii="Times New Roman" w:hAnsi="Times New Roman" w:eastAsia="宋体"/>
                <w:color w:val="auto"/>
                <w:spacing w:val="6"/>
                <w:sz w:val="24"/>
                <w:szCs w:val="24"/>
              </w:rPr>
            </w:pPr>
            <w:r>
              <w:rPr>
                <w:rFonts w:hint="eastAsia" w:ascii="Times New Roman" w:hAnsi="Times New Roman" w:eastAsia="宋体"/>
                <w:color w:val="auto"/>
                <w:spacing w:val="6"/>
                <w:sz w:val="24"/>
                <w:szCs w:val="24"/>
              </w:rPr>
              <w:t>日常点检保养明细</w:t>
            </w:r>
          </w:p>
        </w:tc>
        <w:tc>
          <w:tcPr>
            <w:tcW w:w="1035" w:type="dxa"/>
            <w:vAlign w:val="center"/>
          </w:tcPr>
          <w:p w14:paraId="49703359">
            <w:pPr>
              <w:jc w:val="center"/>
              <w:rPr>
                <w:rFonts w:ascii="Times New Roman" w:hAnsi="Times New Roman" w:eastAsia="宋体"/>
                <w:color w:val="auto"/>
                <w:spacing w:val="6"/>
                <w:sz w:val="24"/>
                <w:szCs w:val="24"/>
              </w:rPr>
            </w:pPr>
            <w:r>
              <w:rPr>
                <w:rFonts w:ascii="Times New Roman" w:hAnsi="Times New Roman" w:eastAsia="宋体"/>
                <w:color w:val="auto"/>
                <w:spacing w:val="6"/>
                <w:sz w:val="24"/>
                <w:szCs w:val="24"/>
              </w:rPr>
              <w:t>1份</w:t>
            </w:r>
          </w:p>
        </w:tc>
        <w:tc>
          <w:tcPr>
            <w:tcW w:w="2745" w:type="dxa"/>
            <w:vAlign w:val="center"/>
          </w:tcPr>
          <w:p w14:paraId="706EADE1">
            <w:pPr>
              <w:pStyle w:val="24"/>
              <w:kinsoku w:val="0"/>
              <w:overflowPunct w:val="0"/>
              <w:jc w:val="center"/>
              <w:rPr>
                <w:rFonts w:eastAsia="宋体"/>
              </w:rPr>
            </w:pPr>
            <w:r>
              <w:rPr>
                <w:rFonts w:hint="eastAsia" w:eastAsia="宋体"/>
                <w:spacing w:val="6"/>
              </w:rPr>
              <w:t>随货提供</w:t>
            </w:r>
          </w:p>
        </w:tc>
      </w:tr>
      <w:tr w14:paraId="2116F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19" w:type="dxa"/>
            <w:vAlign w:val="center"/>
          </w:tcPr>
          <w:p w14:paraId="75B69020">
            <w:pPr>
              <w:widowControl w:val="0"/>
              <w:kinsoku/>
              <w:autoSpaceDE/>
              <w:autoSpaceDN/>
              <w:spacing w:line="360" w:lineRule="auto"/>
              <w:ind w:firstLine="252" w:firstLineChars="100"/>
              <w:textAlignment w:val="auto"/>
              <w:rPr>
                <w:rFonts w:ascii="Times New Roman" w:hAnsi="Times New Roman" w:eastAsia="宋体"/>
                <w:color w:val="auto"/>
                <w:spacing w:val="6"/>
                <w:sz w:val="24"/>
                <w:szCs w:val="24"/>
              </w:rPr>
            </w:pPr>
            <w:r>
              <w:rPr>
                <w:rFonts w:hint="eastAsia" w:ascii="Times New Roman" w:hAnsi="Times New Roman" w:eastAsia="宋体"/>
                <w:color w:val="auto"/>
                <w:spacing w:val="6"/>
                <w:sz w:val="24"/>
                <w:szCs w:val="24"/>
              </w:rPr>
              <w:t>8</w:t>
            </w:r>
          </w:p>
        </w:tc>
        <w:tc>
          <w:tcPr>
            <w:tcW w:w="4367" w:type="dxa"/>
            <w:vAlign w:val="center"/>
          </w:tcPr>
          <w:p w14:paraId="77C4160E">
            <w:pPr>
              <w:jc w:val="center"/>
              <w:rPr>
                <w:rFonts w:ascii="Times New Roman" w:hAnsi="Times New Roman" w:eastAsia="宋体"/>
                <w:color w:val="auto"/>
                <w:spacing w:val="6"/>
                <w:sz w:val="24"/>
                <w:szCs w:val="24"/>
              </w:rPr>
            </w:pPr>
            <w:r>
              <w:rPr>
                <w:rFonts w:ascii="Times New Roman" w:hAnsi="Times New Roman" w:eastAsia="宋体"/>
                <w:color w:val="auto"/>
                <w:spacing w:val="6"/>
                <w:sz w:val="24"/>
                <w:szCs w:val="24"/>
              </w:rPr>
              <w:t>上述文件电子文档</w:t>
            </w:r>
            <w:r>
              <w:rPr>
                <w:rFonts w:hint="eastAsia" w:ascii="Times New Roman" w:hAnsi="Times New Roman" w:eastAsia="宋体"/>
                <w:color w:val="auto"/>
                <w:spacing w:val="6"/>
                <w:sz w:val="24"/>
                <w:szCs w:val="24"/>
              </w:rPr>
              <w:t>U盘</w:t>
            </w:r>
          </w:p>
        </w:tc>
        <w:tc>
          <w:tcPr>
            <w:tcW w:w="1035" w:type="dxa"/>
            <w:vAlign w:val="center"/>
          </w:tcPr>
          <w:p w14:paraId="388F0FCC">
            <w:pPr>
              <w:jc w:val="center"/>
              <w:rPr>
                <w:rFonts w:ascii="Times New Roman" w:hAnsi="Times New Roman" w:eastAsia="宋体"/>
                <w:color w:val="auto"/>
                <w:spacing w:val="6"/>
                <w:sz w:val="24"/>
                <w:szCs w:val="24"/>
              </w:rPr>
            </w:pPr>
            <w:r>
              <w:rPr>
                <w:rFonts w:ascii="Times New Roman" w:hAnsi="Times New Roman" w:eastAsia="宋体"/>
                <w:color w:val="auto"/>
                <w:spacing w:val="6"/>
                <w:sz w:val="24"/>
                <w:szCs w:val="24"/>
              </w:rPr>
              <w:t>1份</w:t>
            </w:r>
          </w:p>
        </w:tc>
        <w:tc>
          <w:tcPr>
            <w:tcW w:w="2745" w:type="dxa"/>
            <w:vAlign w:val="center"/>
          </w:tcPr>
          <w:p w14:paraId="635DD08F">
            <w:pPr>
              <w:pStyle w:val="24"/>
              <w:kinsoku w:val="0"/>
              <w:overflowPunct w:val="0"/>
              <w:jc w:val="center"/>
              <w:rPr>
                <w:rFonts w:eastAsia="宋体" w:cs="宋体"/>
                <w:spacing w:val="12"/>
              </w:rPr>
            </w:pPr>
            <w:r>
              <w:rPr>
                <w:rFonts w:hint="eastAsia" w:eastAsia="宋体" w:cs="宋体"/>
                <w:spacing w:val="12"/>
              </w:rPr>
              <w:t>随货提供</w:t>
            </w:r>
          </w:p>
        </w:tc>
      </w:tr>
    </w:tbl>
    <w:p w14:paraId="099F95AA">
      <w:pPr>
        <w:pStyle w:val="2"/>
        <w:ind w:firstLine="0" w:firstLineChars="0"/>
      </w:pPr>
    </w:p>
    <w:p w14:paraId="4A3D476A">
      <w:pPr>
        <w:pStyle w:val="2"/>
        <w:rPr>
          <w:rFonts w:eastAsia="宋体"/>
        </w:rPr>
      </w:pPr>
    </w:p>
    <w:p w14:paraId="2BE9913D">
      <w:pPr>
        <w:pStyle w:val="2"/>
        <w:rPr>
          <w:rFonts w:eastAsia="宋体"/>
        </w:rPr>
      </w:pPr>
    </w:p>
    <w:p w14:paraId="3A75A1EF">
      <w:pPr>
        <w:pStyle w:val="2"/>
      </w:pPr>
    </w:p>
    <w:p w14:paraId="4DD22052">
      <w:pPr>
        <w:pStyle w:val="2"/>
      </w:pPr>
    </w:p>
    <w:p w14:paraId="112EC31B">
      <w:pPr>
        <w:pStyle w:val="2"/>
      </w:pPr>
    </w:p>
    <w:p w14:paraId="49FFAA11">
      <w:pPr>
        <w:pStyle w:val="2"/>
      </w:pPr>
    </w:p>
    <w:p w14:paraId="702C1E0C">
      <w:pPr>
        <w:pStyle w:val="2"/>
      </w:pPr>
    </w:p>
    <w:p w14:paraId="6789A453">
      <w:pPr>
        <w:pStyle w:val="2"/>
      </w:pPr>
    </w:p>
    <w:p w14:paraId="2671E8A2">
      <w:pPr>
        <w:pStyle w:val="2"/>
      </w:pPr>
    </w:p>
    <w:p w14:paraId="7AF65894">
      <w:pPr>
        <w:pStyle w:val="2"/>
      </w:pPr>
    </w:p>
    <w:p w14:paraId="57B11BC7">
      <w:pPr>
        <w:pStyle w:val="2"/>
      </w:pPr>
    </w:p>
    <w:p w14:paraId="40837E6E">
      <w:pPr>
        <w:pStyle w:val="2"/>
      </w:pPr>
    </w:p>
    <w:p w14:paraId="0F961356">
      <w:pPr>
        <w:pStyle w:val="2"/>
      </w:pPr>
    </w:p>
    <w:p w14:paraId="0B7087C3">
      <w:pPr>
        <w:pStyle w:val="2"/>
      </w:pPr>
    </w:p>
    <w:p w14:paraId="7714FC2F">
      <w:pPr>
        <w:pStyle w:val="2"/>
      </w:pPr>
    </w:p>
    <w:p w14:paraId="7B1B87B0">
      <w:pPr>
        <w:pStyle w:val="2"/>
      </w:pPr>
    </w:p>
    <w:p w14:paraId="6A316B70">
      <w:pPr>
        <w:pStyle w:val="2"/>
      </w:pPr>
    </w:p>
    <w:p w14:paraId="04F39550">
      <w:pPr>
        <w:pStyle w:val="2"/>
      </w:pPr>
    </w:p>
    <w:p w14:paraId="0FB3C793">
      <w:pPr>
        <w:pStyle w:val="2"/>
      </w:pPr>
    </w:p>
    <w:p w14:paraId="7EFC1E00">
      <w:pPr>
        <w:pStyle w:val="2"/>
      </w:pPr>
    </w:p>
    <w:p w14:paraId="2917F0C5">
      <w:pPr>
        <w:pStyle w:val="2"/>
      </w:pPr>
    </w:p>
    <w:p w14:paraId="167C7855">
      <w:pPr>
        <w:pStyle w:val="2"/>
      </w:pPr>
    </w:p>
    <w:p w14:paraId="40210249">
      <w:pPr>
        <w:pStyle w:val="2"/>
      </w:pPr>
    </w:p>
    <w:p w14:paraId="4D618735">
      <w:pPr>
        <w:spacing w:before="240" w:beforeLines="100" w:line="360" w:lineRule="auto"/>
        <w:jc w:val="both"/>
        <w:outlineLvl w:val="0"/>
        <w:rPr>
          <w:rFonts w:hint="eastAsia" w:ascii="宋体" w:hAnsi="宋体" w:eastAsia="宋体" w:cs="宋体"/>
          <w:b/>
          <w:sz w:val="36"/>
          <w:szCs w:val="36"/>
          <w14:textOutline w14:w="6527" w14:cap="flat" w14:cmpd="sng" w14:algn="ctr">
            <w14:solidFill>
              <w14:srgbClr w14:val="000000"/>
            </w14:solidFill>
            <w14:prstDash w14:val="solid"/>
            <w14:miter w14:val="0"/>
          </w14:textOutline>
        </w:rPr>
      </w:pPr>
      <w:r>
        <w:rPr>
          <w:rFonts w:hint="eastAsia" w:ascii="宋体" w:hAnsi="宋体" w:eastAsia="宋体" w:cs="宋体"/>
          <w:b/>
          <w:sz w:val="36"/>
          <w:szCs w:val="36"/>
          <w14:textOutline w14:w="6527" w14:cap="flat" w14:cmpd="sng" w14:algn="ctr">
            <w14:solidFill>
              <w14:srgbClr w14:val="000000"/>
            </w14:solidFill>
            <w14:prstDash w14:val="solid"/>
            <w14:miter w14:val="0"/>
          </w14:textOutline>
        </w:rPr>
        <w:t>附件：商务要求</w:t>
      </w:r>
      <w:bookmarkEnd w:id="4"/>
    </w:p>
    <w:p w14:paraId="318CCA2E">
      <w:pPr>
        <w:widowControl w:val="0"/>
        <w:kinsoku/>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1、设备交付、安装调试与验收</w:t>
      </w:r>
    </w:p>
    <w:p w14:paraId="01351CF5">
      <w:pPr>
        <w:widowControl w:val="0"/>
        <w:kinsoku/>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交货时间为合同签订后内，交货地点为福建省三明市沙县区创新东路4</w:t>
      </w:r>
      <w:r>
        <w:rPr>
          <w:rFonts w:ascii="宋体" w:hAnsi="宋体" w:eastAsia="宋体" w:cs="宋体"/>
          <w:color w:val="auto"/>
          <w:sz w:val="24"/>
          <w:szCs w:val="24"/>
          <w:highlight w:val="none"/>
        </w:rPr>
        <w:t>13</w:t>
      </w:r>
      <w:r>
        <w:rPr>
          <w:rFonts w:hint="eastAsia" w:ascii="宋体" w:hAnsi="宋体" w:eastAsia="宋体" w:cs="宋体"/>
          <w:color w:val="auto"/>
          <w:sz w:val="24"/>
          <w:szCs w:val="24"/>
          <w:highlight w:val="none"/>
        </w:rPr>
        <w:t>号。</w:t>
      </w:r>
    </w:p>
    <w:p w14:paraId="6DA4991A">
      <w:pPr>
        <w:widowControl w:val="0"/>
        <w:kinsoku/>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卖方负责设备在买方工厂安装调试。到货后5天内完成安装调试，通知甲方终验收，验收收所用的专用工具、量具由卖方自备。</w:t>
      </w:r>
    </w:p>
    <w:p w14:paraId="5E9259D4">
      <w:pPr>
        <w:widowControl w:val="0"/>
        <w:kinsoku/>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投标文件中要写明供货期及安装、调试直至完成终验收所需用的时间。</w:t>
      </w:r>
    </w:p>
    <w:p w14:paraId="2F8D083D">
      <w:pPr>
        <w:widowControl w:val="0"/>
        <w:kinsoku/>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.4</w:t>
      </w:r>
      <w:r>
        <w:rPr>
          <w:rFonts w:hint="eastAsia" w:ascii="宋体" w:hAnsi="宋体" w:eastAsia="宋体" w:cs="宋体"/>
          <w:color w:val="auto"/>
          <w:sz w:val="24"/>
          <w:szCs w:val="24"/>
          <w:highlight w:val="none"/>
        </w:rPr>
        <w:t>使用现场安装后进行验收，由买方组织进行，卖方代表参加。设备验收时按合同设备</w:t>
      </w:r>
      <w:r>
        <w:rPr>
          <w:rFonts w:hint="eastAsia" w:ascii="宋体" w:hAnsi="宋体" w:eastAsia="宋体" w:cs="宋体"/>
          <w:color w:val="auto"/>
          <w:sz w:val="24"/>
          <w:szCs w:val="24"/>
        </w:rPr>
        <w:t>技术文件涉及的所有内容逐一检验。重点做好以下检验：</w:t>
      </w:r>
    </w:p>
    <w:p w14:paraId="5081C70E">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.4.1</w:t>
      </w:r>
      <w:r>
        <w:rPr>
          <w:rFonts w:hint="eastAsia" w:ascii="宋体" w:hAnsi="宋体" w:eastAsia="宋体" w:cs="宋体"/>
          <w:sz w:val="24"/>
          <w:szCs w:val="24"/>
        </w:rPr>
        <w:t>外观质量、规格型号、附件和工具。</w:t>
      </w:r>
    </w:p>
    <w:p w14:paraId="1DBE3516">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.4.2</w:t>
      </w:r>
      <w:r>
        <w:rPr>
          <w:rFonts w:hint="eastAsia" w:ascii="宋体" w:hAnsi="宋体" w:eastAsia="宋体" w:cs="宋体"/>
          <w:sz w:val="24"/>
          <w:szCs w:val="24"/>
        </w:rPr>
        <w:t>关键零部件的检验。</w:t>
      </w:r>
    </w:p>
    <w:p w14:paraId="25074E08">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.4.3</w:t>
      </w:r>
      <w:r>
        <w:rPr>
          <w:rFonts w:hint="eastAsia" w:ascii="宋体" w:hAnsi="宋体" w:eastAsia="宋体" w:cs="宋体"/>
          <w:sz w:val="24"/>
          <w:szCs w:val="24"/>
        </w:rPr>
        <w:t>参数检验：对合同设备主要技术参数进行检验。</w:t>
      </w:r>
    </w:p>
    <w:p w14:paraId="2C6FA14E">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.4.</w:t>
      </w:r>
      <w:r>
        <w:rPr>
          <w:rFonts w:hint="eastAsia" w:ascii="宋体" w:hAnsi="宋体" w:eastAsia="宋体" w:cs="宋体"/>
          <w:sz w:val="24"/>
          <w:szCs w:val="24"/>
          <w:lang w:val="en-US" w:eastAsia="zh-CN"/>
        </w:rPr>
        <w:t>4</w:t>
      </w:r>
      <w:r>
        <w:rPr>
          <w:rFonts w:hint="eastAsia" w:ascii="宋体" w:hAnsi="宋体" w:eastAsia="宋体" w:cs="宋体"/>
          <w:sz w:val="24"/>
          <w:szCs w:val="24"/>
        </w:rPr>
        <w:t>技术资料清点。</w:t>
      </w:r>
    </w:p>
    <w:p w14:paraId="518BF2A5">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.4.6</w:t>
      </w:r>
      <w:r>
        <w:rPr>
          <w:rFonts w:hint="eastAsia" w:ascii="宋体" w:hAnsi="宋体" w:eastAsia="宋体" w:cs="宋体"/>
          <w:sz w:val="24"/>
          <w:szCs w:val="24"/>
        </w:rPr>
        <w:t>设备预验收，终验收，相关验收条款，后期双方协商确认。验收时若有不满足要求的情况，卖方需负全部责任。</w:t>
      </w:r>
    </w:p>
    <w:p w14:paraId="00E87E75">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.5</w:t>
      </w:r>
      <w:r>
        <w:rPr>
          <w:rFonts w:hint="eastAsia" w:ascii="宋体" w:hAnsi="宋体" w:eastAsia="宋体" w:cs="宋体"/>
          <w:sz w:val="24"/>
          <w:szCs w:val="24"/>
        </w:rPr>
        <w:t>卖方负责买方相关人员的培训，包括并不限于操作、编程、安全、保养、维护等内容。</w:t>
      </w:r>
    </w:p>
    <w:p w14:paraId="72481229">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1.6付款方式：</w:t>
      </w:r>
    </w:p>
    <w:p w14:paraId="51EDAFEC">
      <w:pPr>
        <w:widowControl w:val="0"/>
        <w:kinsoku/>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（1）银行转账或者银承电子承兑汇票；</w:t>
      </w:r>
    </w:p>
    <w:p w14:paraId="2682CDDF">
      <w:pPr>
        <w:widowControl w:val="0"/>
        <w:kinsoku/>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（2）合同签订后付第一笔款30%；</w:t>
      </w:r>
    </w:p>
    <w:p w14:paraId="0320B563">
      <w:pPr>
        <w:widowControl w:val="0"/>
        <w:kinsoku/>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（3）产品按照甲方要求生产完毕具备发货条件，通知甲方支付第二笔款30%；</w:t>
      </w:r>
    </w:p>
    <w:p w14:paraId="18DB547C">
      <w:pPr>
        <w:pStyle w:val="2"/>
        <w:ind w:firstLine="0" w:firstLineChars="0"/>
        <w:rPr>
          <w:highlight w:val="none"/>
        </w:rPr>
      </w:pPr>
      <w:r>
        <w:rPr>
          <w:rFonts w:hint="eastAsia" w:ascii="宋体" w:hAnsi="宋体" w:eastAsia="宋体" w:cs="宋体"/>
          <w:sz w:val="24"/>
          <w:szCs w:val="24"/>
          <w:highlight w:val="none"/>
        </w:rPr>
        <w:t>（4）产品交付使用，甲方组织终验收，技术指标达到合同规定要求，且经甲方确认后，甲方付第三笔款30%；</w:t>
      </w:r>
    </w:p>
    <w:p w14:paraId="3144D166">
      <w:pPr>
        <w:widowControl w:val="0"/>
        <w:kinsoku/>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（5）剩余10%转为质保金，在验收合格后一年后无质量问题一次性支付（无息）。</w:t>
      </w:r>
    </w:p>
    <w:p w14:paraId="3821F0F3">
      <w:pPr>
        <w:widowControl w:val="0"/>
        <w:kinsoku/>
        <w:spacing w:line="360" w:lineRule="auto"/>
        <w:rPr>
          <w:rFonts w:hint="eastAsia" w:ascii="宋体" w:hAnsi="宋体" w:eastAsia="宋体" w:cs="宋体"/>
          <w:b/>
          <w:sz w:val="24"/>
          <w:szCs w:val="24"/>
        </w:rPr>
      </w:pPr>
      <w:r>
        <w:rPr>
          <w:rFonts w:hint="eastAsia" w:ascii="宋体" w:hAnsi="宋体" w:eastAsia="宋体" w:cs="宋体"/>
          <w:b/>
          <w:sz w:val="24"/>
          <w:szCs w:val="24"/>
        </w:rPr>
        <w:t>2、售后服务</w:t>
      </w:r>
    </w:p>
    <w:p w14:paraId="09256B47">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1</w:t>
      </w:r>
      <w:r>
        <w:rPr>
          <w:rFonts w:hint="eastAsia" w:ascii="宋体" w:hAnsi="宋体" w:eastAsia="宋体" w:cs="宋体"/>
          <w:sz w:val="24"/>
          <w:szCs w:val="24"/>
        </w:rPr>
        <w:t>质保期为终验收合格之日起一年。</w:t>
      </w:r>
    </w:p>
    <w:p w14:paraId="7B9143D4">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2</w:t>
      </w:r>
      <w:r>
        <w:rPr>
          <w:rFonts w:hint="eastAsia" w:ascii="宋体" w:hAnsi="宋体" w:eastAsia="宋体" w:cs="宋体"/>
          <w:sz w:val="24"/>
          <w:szCs w:val="24"/>
        </w:rPr>
        <w:t>在质保期内，若因机床故障造成停工，卖方应在</w:t>
      </w:r>
      <w:r>
        <w:rPr>
          <w:rFonts w:ascii="宋体" w:hAnsi="宋体" w:eastAsia="宋体" w:cs="宋体"/>
          <w:sz w:val="24"/>
          <w:szCs w:val="24"/>
        </w:rPr>
        <w:t>4</w:t>
      </w:r>
      <w:r>
        <w:rPr>
          <w:rFonts w:hint="eastAsia" w:ascii="宋体" w:hAnsi="宋体" w:eastAsia="宋体" w:cs="宋体"/>
          <w:sz w:val="24"/>
          <w:szCs w:val="24"/>
        </w:rPr>
        <w:t>小时内进行答复，24小时内到达用户现场。</w:t>
      </w:r>
    </w:p>
    <w:p w14:paraId="0EE40F55">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3</w:t>
      </w:r>
      <w:r>
        <w:rPr>
          <w:rFonts w:hint="eastAsia" w:ascii="宋体" w:hAnsi="宋体" w:eastAsia="宋体" w:cs="宋体"/>
          <w:sz w:val="24"/>
          <w:szCs w:val="24"/>
        </w:rPr>
        <w:t>卖方应明确提出设备运行所需的配套风、水、气、电等设施及相应条件，如动力电源、空气压力和用量以及供给口等具体要求。</w:t>
      </w:r>
    </w:p>
    <w:p w14:paraId="5E2CF855">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4</w:t>
      </w:r>
      <w:r>
        <w:rPr>
          <w:rFonts w:hint="eastAsia" w:ascii="宋体" w:hAnsi="宋体" w:eastAsia="宋体" w:cs="宋体"/>
          <w:sz w:val="24"/>
          <w:szCs w:val="24"/>
        </w:rPr>
        <w:t>卖方应保证用户方在使用卖方提供的货物或其任何一部分时不受第三方提出侵犯专利权、商标权或工业设计权的指控。如果有第三方提出侵权指控，卖方须与第三方交涉并承担可能发生的一切法律责任和费用。</w:t>
      </w:r>
    </w:p>
    <w:p w14:paraId="7E3FC784">
      <w:pPr>
        <w:widowControl w:val="0"/>
        <w:kinsoku/>
        <w:spacing w:line="360" w:lineRule="auto"/>
        <w:rPr>
          <w:rFonts w:hint="eastAsia" w:ascii="宋体" w:hAnsi="宋体" w:eastAsia="宋体" w:cs="宋体"/>
          <w:b/>
          <w:sz w:val="24"/>
          <w:szCs w:val="24"/>
        </w:rPr>
      </w:pPr>
      <w:r>
        <w:rPr>
          <w:rFonts w:hint="eastAsia" w:ascii="宋体" w:hAnsi="宋体" w:eastAsia="宋体" w:cs="宋体"/>
          <w:b/>
          <w:sz w:val="24"/>
          <w:szCs w:val="24"/>
        </w:rPr>
        <w:t>3、其他要求</w:t>
      </w:r>
    </w:p>
    <w:p w14:paraId="6FD60FB5">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.1</w:t>
      </w:r>
      <w:r>
        <w:rPr>
          <w:rFonts w:hint="eastAsia" w:ascii="宋体" w:hAnsi="宋体" w:eastAsia="宋体" w:cs="宋体"/>
          <w:sz w:val="24"/>
          <w:szCs w:val="24"/>
        </w:rPr>
        <w:t>投标方应对以上条款进行逐条响应，完全响应注明“</w:t>
      </w:r>
      <w:r>
        <w:rPr>
          <w:rFonts w:hint="eastAsia" w:ascii="宋体" w:hAnsi="宋体" w:eastAsia="宋体" w:cs="宋体"/>
          <w:b/>
          <w:sz w:val="24"/>
          <w:szCs w:val="24"/>
        </w:rPr>
        <w:t>符合</w:t>
      </w:r>
      <w:r>
        <w:rPr>
          <w:rFonts w:hint="eastAsia" w:ascii="宋体" w:hAnsi="宋体" w:eastAsia="宋体" w:cs="宋体"/>
          <w:sz w:val="24"/>
          <w:szCs w:val="24"/>
        </w:rPr>
        <w:t>”，如有偏离须注明“</w:t>
      </w:r>
      <w:r>
        <w:rPr>
          <w:rFonts w:hint="eastAsia" w:ascii="宋体" w:hAnsi="宋体" w:eastAsia="宋体" w:cs="宋体"/>
          <w:b/>
          <w:sz w:val="24"/>
          <w:szCs w:val="24"/>
        </w:rPr>
        <w:t>偏离</w:t>
      </w:r>
      <w:r>
        <w:rPr>
          <w:rFonts w:hint="eastAsia" w:ascii="宋体" w:hAnsi="宋体" w:eastAsia="宋体" w:cs="宋体"/>
          <w:sz w:val="24"/>
          <w:szCs w:val="24"/>
        </w:rPr>
        <w:t>”并描述偏离内容，是“</w:t>
      </w:r>
      <w:r>
        <w:rPr>
          <w:rFonts w:hint="eastAsia" w:ascii="宋体" w:hAnsi="宋体" w:eastAsia="宋体" w:cs="宋体"/>
          <w:b/>
          <w:sz w:val="24"/>
          <w:szCs w:val="24"/>
        </w:rPr>
        <w:t>优于</w:t>
      </w:r>
      <w:r>
        <w:rPr>
          <w:rFonts w:hint="eastAsia" w:ascii="宋体" w:hAnsi="宋体" w:eastAsia="宋体" w:cs="宋体"/>
          <w:sz w:val="24"/>
          <w:szCs w:val="24"/>
        </w:rPr>
        <w:t>”条款要求还是“</w:t>
      </w:r>
      <w:r>
        <w:rPr>
          <w:rFonts w:hint="eastAsia" w:ascii="宋体" w:hAnsi="宋体" w:eastAsia="宋体" w:cs="宋体"/>
          <w:b/>
          <w:sz w:val="24"/>
          <w:szCs w:val="24"/>
        </w:rPr>
        <w:t>未达到</w:t>
      </w:r>
      <w:r>
        <w:rPr>
          <w:rFonts w:hint="eastAsia" w:ascii="宋体" w:hAnsi="宋体" w:eastAsia="宋体" w:cs="宋体"/>
          <w:sz w:val="24"/>
          <w:szCs w:val="24"/>
        </w:rPr>
        <w:t>”条款要求。标★的条款关键参数。</w:t>
      </w:r>
    </w:p>
    <w:p w14:paraId="02257D3B">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.2</w:t>
      </w:r>
      <w:r>
        <w:rPr>
          <w:rFonts w:hint="eastAsia" w:ascii="宋体" w:hAnsi="宋体" w:eastAsia="宋体" w:cs="宋体"/>
          <w:sz w:val="24"/>
          <w:szCs w:val="24"/>
        </w:rPr>
        <w:t>本招标文件中涉及产品的品牌、型号，仅为供应商提供报价产品的技术指标、产品质量的客观参考，帮助供应商准确理解采购人的需求，其建议产品的品牌、型号具有可替代性，但必须明确说明。</w:t>
      </w:r>
    </w:p>
    <w:p w14:paraId="7341F841">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.3</w:t>
      </w:r>
      <w:r>
        <w:rPr>
          <w:rFonts w:hint="eastAsia" w:ascii="宋体" w:hAnsi="宋体" w:eastAsia="宋体" w:cs="宋体"/>
          <w:sz w:val="24"/>
          <w:szCs w:val="24"/>
        </w:rPr>
        <w:t>本文件中甲方、用户、需方、买方等泛指采购人，乙方、供方、卖方等泛指供应商。</w:t>
      </w:r>
    </w:p>
    <w:p w14:paraId="44DDBBD1">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.4</w:t>
      </w:r>
      <w:r>
        <w:rPr>
          <w:rFonts w:hint="eastAsia" w:ascii="宋体" w:hAnsi="宋体" w:eastAsia="宋体" w:cs="宋体"/>
          <w:sz w:val="24"/>
          <w:szCs w:val="24"/>
        </w:rPr>
        <w:t>投标方应另附独立章节详细说明设备结构特点、技术参数、配置等。</w:t>
      </w:r>
    </w:p>
    <w:p w14:paraId="097B288E">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.5</w:t>
      </w:r>
      <w:r>
        <w:rPr>
          <w:rFonts w:hint="eastAsia" w:ascii="宋体" w:hAnsi="宋体" w:eastAsia="宋体" w:cs="宋体"/>
          <w:sz w:val="24"/>
          <w:szCs w:val="24"/>
        </w:rPr>
        <w:t>投标方应另附独立章节详细说明原厂商规模实力、技术服务能力，卖方规模实力、技术服务能力。</w:t>
      </w:r>
    </w:p>
    <w:p w14:paraId="54CF8B14">
      <w:pPr>
        <w:pStyle w:val="2"/>
        <w:ind w:firstLine="480"/>
        <w:rPr>
          <w:rFonts w:hint="eastAsia" w:ascii="宋体" w:hAnsi="宋体" w:eastAsia="宋体" w:cs="宋体"/>
          <w:sz w:val="24"/>
          <w:szCs w:val="24"/>
        </w:rPr>
      </w:pPr>
    </w:p>
    <w:p w14:paraId="391760A6">
      <w:pPr>
        <w:widowControl w:val="0"/>
        <w:kinsoku/>
        <w:autoSpaceDE/>
        <w:autoSpaceDN/>
        <w:adjustRightInd/>
        <w:snapToGrid/>
        <w:spacing w:line="360" w:lineRule="auto"/>
        <w:ind w:firstLine="723" w:firstLineChars="200"/>
        <w:jc w:val="center"/>
        <w:textAlignment w:val="auto"/>
        <w:rPr>
          <w:rFonts w:hint="eastAsia" w:ascii="宋体" w:hAnsi="宋体" w:eastAsia="宋体" w:cs="宋体"/>
          <w:b/>
          <w:bCs/>
          <w:sz w:val="36"/>
          <w:szCs w:val="44"/>
        </w:rPr>
      </w:pPr>
    </w:p>
    <w:p w14:paraId="50E386BD">
      <w:pPr>
        <w:widowControl w:val="0"/>
        <w:kinsoku/>
        <w:autoSpaceDE/>
        <w:autoSpaceDN/>
        <w:adjustRightInd/>
        <w:snapToGrid/>
        <w:spacing w:line="360" w:lineRule="auto"/>
        <w:ind w:firstLine="723" w:firstLineChars="200"/>
        <w:jc w:val="center"/>
        <w:textAlignment w:val="auto"/>
        <w:rPr>
          <w:rFonts w:hint="eastAsia" w:ascii="宋体" w:hAnsi="宋体" w:eastAsia="宋体" w:cs="宋体"/>
          <w:b/>
          <w:bCs/>
          <w:sz w:val="36"/>
          <w:szCs w:val="44"/>
        </w:rPr>
      </w:pPr>
    </w:p>
    <w:p w14:paraId="43B4D09C">
      <w:pPr>
        <w:widowControl w:val="0"/>
        <w:kinsoku/>
        <w:autoSpaceDE/>
        <w:autoSpaceDN/>
        <w:adjustRightInd/>
        <w:snapToGrid/>
        <w:spacing w:line="360" w:lineRule="auto"/>
        <w:ind w:firstLine="723" w:firstLineChars="200"/>
        <w:jc w:val="center"/>
        <w:textAlignment w:val="auto"/>
        <w:rPr>
          <w:rFonts w:hint="eastAsia" w:ascii="宋体" w:hAnsi="宋体" w:eastAsia="宋体" w:cs="宋体"/>
          <w:b/>
          <w:bCs/>
          <w:sz w:val="36"/>
          <w:szCs w:val="44"/>
        </w:rPr>
      </w:pPr>
    </w:p>
    <w:p w14:paraId="0AB3C33F">
      <w:pPr>
        <w:widowControl w:val="0"/>
        <w:kinsoku/>
        <w:autoSpaceDE/>
        <w:autoSpaceDN/>
        <w:adjustRightInd/>
        <w:snapToGrid/>
        <w:spacing w:line="360" w:lineRule="auto"/>
        <w:ind w:firstLine="723" w:firstLineChars="200"/>
        <w:jc w:val="center"/>
        <w:textAlignment w:val="auto"/>
        <w:rPr>
          <w:rFonts w:hint="eastAsia" w:ascii="宋体" w:hAnsi="宋体" w:eastAsia="宋体" w:cs="宋体"/>
          <w:b/>
          <w:bCs/>
          <w:sz w:val="36"/>
          <w:szCs w:val="44"/>
        </w:rPr>
      </w:pPr>
    </w:p>
    <w:p w14:paraId="2D5601CF">
      <w:pPr>
        <w:widowControl w:val="0"/>
        <w:kinsoku/>
        <w:autoSpaceDE/>
        <w:autoSpaceDN/>
        <w:adjustRightInd/>
        <w:snapToGrid/>
        <w:spacing w:line="360" w:lineRule="auto"/>
        <w:ind w:firstLine="723" w:firstLineChars="200"/>
        <w:jc w:val="center"/>
        <w:textAlignment w:val="auto"/>
        <w:rPr>
          <w:rFonts w:hint="eastAsia" w:ascii="宋体" w:hAnsi="宋体" w:eastAsia="宋体" w:cs="宋体"/>
          <w:b/>
          <w:bCs/>
          <w:sz w:val="36"/>
          <w:szCs w:val="44"/>
        </w:rPr>
      </w:pPr>
    </w:p>
    <w:p w14:paraId="57902555">
      <w:pPr>
        <w:pStyle w:val="2"/>
        <w:ind w:firstLine="723"/>
        <w:rPr>
          <w:rFonts w:hint="eastAsia" w:ascii="宋体" w:hAnsi="宋体" w:eastAsia="宋体" w:cs="宋体"/>
          <w:b/>
          <w:bCs/>
          <w:sz w:val="36"/>
          <w:szCs w:val="44"/>
        </w:rPr>
      </w:pPr>
    </w:p>
    <w:p w14:paraId="4FF5247D">
      <w:pPr>
        <w:pStyle w:val="2"/>
        <w:ind w:firstLine="0" w:firstLineChars="0"/>
        <w:rPr>
          <w:rFonts w:hint="eastAsia" w:ascii="宋体" w:hAnsi="宋体" w:eastAsia="宋体" w:cs="宋体"/>
          <w:b/>
          <w:bCs/>
          <w:sz w:val="36"/>
          <w:szCs w:val="44"/>
        </w:rPr>
      </w:pPr>
    </w:p>
    <w:p w14:paraId="0A85BDDC">
      <w:pPr>
        <w:spacing w:before="240" w:beforeLines="100" w:line="360" w:lineRule="auto"/>
        <w:jc w:val="center"/>
        <w:outlineLvl w:val="0"/>
        <w:rPr>
          <w:rFonts w:hint="eastAsia" w:ascii="宋体" w:hAnsi="宋体" w:eastAsia="宋体" w:cs="宋体"/>
          <w:b/>
          <w:sz w:val="36"/>
          <w:szCs w:val="36"/>
          <w14:textOutline w14:w="6527" w14:cap="flat" w14:cmpd="sng" w14:algn="ctr">
            <w14:solidFill>
              <w14:srgbClr w14:val="000000"/>
            </w14:solidFill>
            <w14:prstDash w14:val="solid"/>
            <w14:miter w14:val="0"/>
          </w14:textOutline>
        </w:rPr>
      </w:pPr>
      <w:bookmarkStart w:id="5" w:name="_Toc22926"/>
    </w:p>
    <w:p w14:paraId="47D14A5B">
      <w:pPr>
        <w:spacing w:before="240" w:beforeLines="100" w:line="360" w:lineRule="auto"/>
        <w:jc w:val="center"/>
        <w:outlineLvl w:val="0"/>
        <w:rPr>
          <w:rFonts w:hint="eastAsia" w:ascii="宋体" w:hAnsi="宋体" w:eastAsia="宋体" w:cs="宋体"/>
          <w:b/>
          <w:sz w:val="36"/>
          <w:szCs w:val="36"/>
          <w14:textOutline w14:w="6527" w14:cap="flat" w14:cmpd="sng" w14:algn="ctr">
            <w14:solidFill>
              <w14:srgbClr w14:val="000000"/>
            </w14:solidFill>
            <w14:prstDash w14:val="solid"/>
            <w14:miter w14:val="0"/>
          </w14:textOutline>
        </w:rPr>
      </w:pPr>
    </w:p>
    <w:p w14:paraId="431E700E">
      <w:pPr>
        <w:spacing w:before="240" w:beforeLines="100" w:line="360" w:lineRule="auto"/>
        <w:jc w:val="center"/>
        <w:outlineLvl w:val="0"/>
        <w:rPr>
          <w:rFonts w:hint="eastAsia" w:ascii="宋体" w:hAnsi="宋体" w:eastAsia="宋体" w:cs="宋体"/>
          <w:b/>
          <w:sz w:val="36"/>
          <w:szCs w:val="36"/>
          <w14:textOutline w14:w="6527" w14:cap="flat" w14:cmpd="sng" w14:algn="ctr">
            <w14:solidFill>
              <w14:srgbClr w14:val="000000"/>
            </w14:solidFill>
            <w14:prstDash w14:val="solid"/>
            <w14:miter w14:val="0"/>
          </w14:textOutline>
        </w:rPr>
      </w:pPr>
      <w:r>
        <w:rPr>
          <w:rFonts w:hint="eastAsia" w:ascii="宋体" w:hAnsi="宋体" w:eastAsia="宋体" w:cs="宋体"/>
          <w:b/>
          <w:sz w:val="36"/>
          <w:szCs w:val="36"/>
          <w14:textOutline w14:w="6527" w14:cap="flat" w14:cmpd="sng" w14:algn="ctr">
            <w14:solidFill>
              <w14:srgbClr w14:val="000000"/>
            </w14:solidFill>
            <w14:prstDash w14:val="solid"/>
            <w14:miter w14:val="0"/>
          </w14:textOutline>
        </w:rPr>
        <w:t>二、投标人须知</w:t>
      </w:r>
      <w:bookmarkEnd w:id="5"/>
    </w:p>
    <w:p w14:paraId="01BDB19D">
      <w:pPr>
        <w:spacing w:before="329"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rPr>
        <w:t>（一）</w:t>
      </w:r>
      <w:r>
        <w:rPr>
          <w:rFonts w:ascii="黑体" w:hAnsi="黑体" w:eastAsia="黑体" w:cs="黑体"/>
          <w:sz w:val="28"/>
          <w:szCs w:val="28"/>
        </w:rPr>
        <w:t>投标要求</w:t>
      </w:r>
    </w:p>
    <w:p w14:paraId="6553966B">
      <w:pPr>
        <w:spacing w:before="255"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投标人应遵守国家有关招标投标法律、法规、部门规章和规范性文件。</w:t>
      </w:r>
    </w:p>
    <w:p w14:paraId="52BE8487">
      <w:pPr>
        <w:spacing w:before="22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投标资</w:t>
      </w:r>
      <w:r>
        <w:rPr>
          <w:rFonts w:hint="eastAsia" w:ascii="宋体" w:hAnsi="宋体" w:eastAsia="宋体" w:cs="宋体"/>
          <w:sz w:val="24"/>
          <w:szCs w:val="24"/>
        </w:rPr>
        <w:t>格（包括但不限于）：</w:t>
      </w:r>
    </w:p>
    <w:p w14:paraId="71EF10F9">
      <w:pPr>
        <w:tabs>
          <w:tab w:val="left" w:pos="620"/>
        </w:tabs>
        <w:spacing w:before="34"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具有独立承担民事责任的能力；具有良好的商业信誉和健全的财务会计制度；具有履合同所必需的产品和专业技术能力；有依法缴纳税收和社会保障资金的良好记录；参加政府采购活动前三年内，在经营活动中没有重大违法记录；法律、行政法规规定的其它条件；</w:t>
      </w:r>
    </w:p>
    <w:p w14:paraId="7B6B09CE">
      <w:pPr>
        <w:tabs>
          <w:tab w:val="left" w:pos="620"/>
        </w:tabs>
        <w:spacing w:before="34" w:line="360" w:lineRule="auto"/>
        <w:ind w:firstLine="480" w:firstLineChars="200"/>
      </w:pPr>
      <w:r>
        <w:rPr>
          <w:rFonts w:hint="eastAsia" w:ascii="宋体" w:hAnsi="宋体" w:eastAsia="宋体" w:cs="宋体"/>
          <w:color w:val="auto"/>
          <w:sz w:val="24"/>
          <w:szCs w:val="24"/>
        </w:rPr>
        <w:t>2.2满足招标文件中招标公告及项目要求等的其它条件。</w:t>
      </w:r>
    </w:p>
    <w:p w14:paraId="54640CA9">
      <w:pPr>
        <w:numPr>
          <w:ilvl w:val="0"/>
          <w:numId w:val="1"/>
        </w:numPr>
        <w:tabs>
          <w:tab w:val="left" w:pos="620"/>
        </w:tabs>
        <w:spacing w:before="34"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投标费用：投标人应承担投标过程中所涉及的一切费用，不管投标结果如何，招标人对上述费用不负任何责任。</w:t>
      </w:r>
    </w:p>
    <w:p w14:paraId="1D468DBB">
      <w:pPr>
        <w:spacing w:before="22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4、货物及伴随服务</w:t>
      </w:r>
    </w:p>
    <w:p w14:paraId="36B80CB6">
      <w:pPr>
        <w:tabs>
          <w:tab w:val="left" w:pos="620"/>
        </w:tabs>
        <w:spacing w:before="34"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除按照招标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14:paraId="4DCC6A6C">
      <w:pPr>
        <w:spacing w:before="329"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rPr>
        <w:t>（二）投标报价</w:t>
      </w:r>
    </w:p>
    <w:p w14:paraId="361B95F0">
      <w:pPr>
        <w:spacing w:before="257" w:line="360" w:lineRule="auto"/>
        <w:ind w:right="75" w:firstLine="480" w:firstLineChars="200"/>
        <w:rPr>
          <w:rFonts w:hint="eastAsia" w:ascii="宋体" w:hAnsi="宋体" w:eastAsia="宋体" w:cs="宋体"/>
          <w:sz w:val="24"/>
          <w:szCs w:val="24"/>
        </w:rPr>
      </w:pPr>
      <w:r>
        <w:rPr>
          <w:rFonts w:hint="eastAsia" w:ascii="宋体" w:hAnsi="宋体" w:eastAsia="宋体" w:cs="宋体"/>
          <w:sz w:val="24"/>
          <w:szCs w:val="24"/>
        </w:rPr>
        <w:t>1、投标报价要求按招标文件要求报价，并按招标文件中所</w:t>
      </w:r>
      <w:r>
        <w:rPr>
          <w:rFonts w:ascii="宋体" w:hAnsi="宋体" w:eastAsia="宋体" w:cs="宋体"/>
          <w:sz w:val="24"/>
          <w:szCs w:val="24"/>
        </w:rPr>
        <w:t>附《投标函》</w:t>
      </w:r>
      <w:r>
        <w:rPr>
          <w:rFonts w:hint="eastAsia" w:ascii="宋体" w:hAnsi="宋体" w:eastAsia="宋体" w:cs="宋体"/>
          <w:sz w:val="24"/>
          <w:szCs w:val="24"/>
        </w:rPr>
        <w:t>、</w:t>
      </w:r>
      <w:r>
        <w:rPr>
          <w:rFonts w:ascii="宋体" w:hAnsi="宋体" w:eastAsia="宋体" w:cs="宋体"/>
          <w:sz w:val="24"/>
          <w:szCs w:val="24"/>
        </w:rPr>
        <w:t>《投标报价表》格式填写。</w:t>
      </w:r>
    </w:p>
    <w:p w14:paraId="5B53F6D2">
      <w:pPr>
        <w:spacing w:before="228"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所有投标均以人民币报价。</w:t>
      </w:r>
    </w:p>
    <w:p w14:paraId="3F30BFF0">
      <w:pPr>
        <w:spacing w:before="257" w:line="360" w:lineRule="auto"/>
        <w:ind w:right="75" w:firstLine="480" w:firstLineChars="200"/>
        <w:rPr>
          <w:rFonts w:hint="eastAsia" w:ascii="宋体" w:hAnsi="宋体" w:eastAsia="宋体" w:cs="宋体"/>
          <w:sz w:val="24"/>
          <w:szCs w:val="24"/>
        </w:rPr>
      </w:pPr>
      <w:r>
        <w:rPr>
          <w:rFonts w:hint="eastAsia" w:ascii="宋体" w:hAnsi="宋体" w:eastAsia="宋体" w:cs="宋体"/>
          <w:sz w:val="24"/>
          <w:szCs w:val="24"/>
        </w:rPr>
        <w:t>3、投标人所报单价在本招标文件项下的合同履行期间不能因市场变化因素而变动。</w:t>
      </w:r>
    </w:p>
    <w:p w14:paraId="4C40385F">
      <w:pPr>
        <w:spacing w:before="257" w:line="360" w:lineRule="auto"/>
        <w:ind w:right="75" w:firstLine="480" w:firstLineChars="200"/>
        <w:rPr>
          <w:rFonts w:hint="eastAsia" w:ascii="宋体" w:hAnsi="宋体" w:eastAsia="宋体" w:cs="宋体"/>
          <w:sz w:val="24"/>
          <w:szCs w:val="24"/>
        </w:rPr>
      </w:pPr>
      <w:r>
        <w:rPr>
          <w:rFonts w:hint="eastAsia" w:ascii="宋体" w:hAnsi="宋体" w:eastAsia="宋体" w:cs="宋体"/>
          <w:sz w:val="24"/>
          <w:szCs w:val="24"/>
        </w:rPr>
        <w:t>4、投标人所报的各种价格均为含税到招标人指定地点交货价（包含产品包装、运输、装卸等相关费用）；投标报价以元为单位，精确到小数点后两位数，超出两位按四舍五入计；包装物投标人不回收，费用由投标人负担。</w:t>
      </w:r>
    </w:p>
    <w:p w14:paraId="56BF7AB6">
      <w:pPr>
        <w:spacing w:before="257" w:line="360" w:lineRule="auto"/>
        <w:ind w:right="75" w:firstLine="480" w:firstLineChars="200"/>
        <w:rPr>
          <w:rFonts w:hint="eastAsia" w:ascii="宋体" w:hAnsi="宋体" w:eastAsia="宋体" w:cs="宋体"/>
          <w:sz w:val="24"/>
          <w:szCs w:val="24"/>
        </w:rPr>
      </w:pPr>
      <w:r>
        <w:rPr>
          <w:rFonts w:hint="eastAsia" w:ascii="宋体" w:hAnsi="宋体" w:eastAsia="宋体" w:cs="宋体"/>
          <w:sz w:val="24"/>
          <w:szCs w:val="24"/>
        </w:rPr>
        <w:t>5、招标人有权重视各投标人全部报价的合理性。所有投标人不能相互串通、哄抬报价，若有发现，招标人有权宣布其投标无效。</w:t>
      </w:r>
    </w:p>
    <w:p w14:paraId="0AD38F08">
      <w:pPr>
        <w:spacing w:before="231"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rPr>
        <w:t>（</w:t>
      </w:r>
      <w:r>
        <w:rPr>
          <w:rFonts w:ascii="黑体" w:hAnsi="黑体" w:eastAsia="黑体" w:cs="黑体"/>
          <w:sz w:val="28"/>
          <w:szCs w:val="28"/>
        </w:rPr>
        <w:t>三</w:t>
      </w:r>
      <w:r>
        <w:rPr>
          <w:rFonts w:hint="eastAsia" w:ascii="黑体" w:hAnsi="黑体" w:eastAsia="黑体" w:cs="黑体"/>
          <w:sz w:val="28"/>
          <w:szCs w:val="28"/>
        </w:rPr>
        <w:t>）</w:t>
      </w:r>
      <w:r>
        <w:rPr>
          <w:rFonts w:ascii="黑体" w:hAnsi="黑体" w:eastAsia="黑体" w:cs="黑体"/>
          <w:sz w:val="28"/>
          <w:szCs w:val="28"/>
        </w:rPr>
        <w:t>投标文件</w:t>
      </w:r>
    </w:p>
    <w:p w14:paraId="7122E37F">
      <w:pPr>
        <w:spacing w:before="256"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1、投标人应填写其单位名称全称。</w:t>
      </w:r>
    </w:p>
    <w:p w14:paraId="627E64D0">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投标文件包括《投标函》、《投标报价表》、《技术协议》、《技术和商务条款响应表》、《投标人产品质量承诺函》、《售后服务承诺》、《投资人的资格申明》、《法定代表人授权书》、《业绩表》、《制造商资质证明条件》、《制造商授权代理商文件》、《企业信用等级证书（如果有）》、《质量、环境、健康体系证书（如果有）》、《上一年度企业财务会计报告》、《近三年的相关业绩，列出用户名称及金额。》</w:t>
      </w:r>
    </w:p>
    <w:p w14:paraId="25EE6C23">
      <w:pPr>
        <w:spacing w:line="440" w:lineRule="exact"/>
        <w:rPr>
          <w:rFonts w:hint="eastAsia" w:ascii="宋体" w:hAnsi="宋体" w:eastAsia="宋体" w:cs="宋体"/>
          <w:sz w:val="24"/>
          <w:szCs w:val="24"/>
        </w:rPr>
      </w:pPr>
      <w:r>
        <w:rPr>
          <w:rFonts w:hint="eastAsia" w:ascii="宋体" w:hAnsi="宋体" w:eastAsia="宋体" w:cs="宋体"/>
          <w:sz w:val="24"/>
          <w:szCs w:val="24"/>
        </w:rPr>
        <w:t>《投标人企业概况及综合情况说明》、《服务承诺》和投标人认为需要提供的其他相关数据和资料。</w:t>
      </w:r>
    </w:p>
    <w:p w14:paraId="46B735C2">
      <w:pPr>
        <w:spacing w:before="226" w:line="360" w:lineRule="auto"/>
        <w:ind w:right="61" w:firstLine="480" w:firstLineChars="200"/>
        <w:rPr>
          <w:rFonts w:hint="eastAsia" w:ascii="宋体" w:hAnsi="宋体" w:eastAsia="宋体" w:cs="宋体"/>
          <w:sz w:val="24"/>
          <w:szCs w:val="24"/>
        </w:rPr>
      </w:pPr>
      <w:r>
        <w:rPr>
          <w:rFonts w:hint="eastAsia" w:ascii="宋体" w:hAnsi="宋体" w:eastAsia="宋体" w:cs="宋体"/>
          <w:sz w:val="24"/>
          <w:szCs w:val="24"/>
        </w:rPr>
        <w:t>3、《投标函》、《投标报价表》须加盖投标人公章，由其法定代表人或其委托代理人亲笔签字。</w:t>
      </w:r>
    </w:p>
    <w:p w14:paraId="7D963268">
      <w:pPr>
        <w:spacing w:before="226" w:line="360" w:lineRule="auto"/>
        <w:ind w:right="61" w:firstLine="480" w:firstLineChars="200"/>
        <w:rPr>
          <w:rFonts w:hint="eastAsia" w:ascii="黑体" w:hAnsi="黑体" w:eastAsia="黑体" w:cs="黑体"/>
          <w:sz w:val="28"/>
          <w:szCs w:val="28"/>
        </w:rPr>
      </w:pPr>
      <w:r>
        <w:rPr>
          <w:rFonts w:hint="eastAsia" w:ascii="宋体" w:hAnsi="宋体" w:eastAsia="宋体" w:cs="宋体"/>
          <w:sz w:val="24"/>
          <w:szCs w:val="24"/>
        </w:rPr>
        <w:t>4、自开标之日起60天内，投标文件应保持有效。有效期短于前述规定期限的投标，将被拒绝。</w:t>
      </w:r>
    </w:p>
    <w:p w14:paraId="0618C54F">
      <w:pPr>
        <w:spacing w:before="231"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rPr>
        <w:t>（</w:t>
      </w:r>
      <w:r>
        <w:rPr>
          <w:rFonts w:ascii="黑体" w:hAnsi="黑体" w:eastAsia="黑体" w:cs="黑体"/>
          <w:sz w:val="28"/>
          <w:szCs w:val="28"/>
        </w:rPr>
        <w:t>四</w:t>
      </w:r>
      <w:r>
        <w:rPr>
          <w:rFonts w:hint="eastAsia" w:ascii="黑体" w:hAnsi="黑体" w:eastAsia="黑体" w:cs="黑体"/>
          <w:sz w:val="28"/>
          <w:szCs w:val="28"/>
        </w:rPr>
        <w:t>）</w:t>
      </w:r>
      <w:r>
        <w:rPr>
          <w:rFonts w:ascii="黑体" w:hAnsi="黑体" w:eastAsia="黑体" w:cs="黑体"/>
          <w:sz w:val="28"/>
          <w:szCs w:val="28"/>
        </w:rPr>
        <w:t>开标、评标、定标</w:t>
      </w:r>
    </w:p>
    <w:p w14:paraId="7F560F2F">
      <w:pPr>
        <w:spacing w:before="256"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1、开标时，将按照招标人有关招投标规定执行。</w:t>
      </w:r>
    </w:p>
    <w:p w14:paraId="239173B7">
      <w:pPr>
        <w:spacing w:before="256"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2、开标后由招标人组建的评标委员会进行评标，</w:t>
      </w:r>
      <w:r>
        <w:rPr>
          <w:rFonts w:ascii="宋体" w:hAnsi="宋体" w:eastAsia="宋体" w:cs="宋体"/>
          <w:sz w:val="24"/>
          <w:szCs w:val="24"/>
        </w:rPr>
        <w:t>以经评审的</w:t>
      </w:r>
      <w:r>
        <w:rPr>
          <w:rFonts w:hint="eastAsia" w:ascii="宋体" w:hAnsi="宋体" w:eastAsia="宋体" w:cs="宋体"/>
          <w:sz w:val="24"/>
          <w:szCs w:val="24"/>
        </w:rPr>
        <w:t>综合评分</w:t>
      </w:r>
      <w:r>
        <w:rPr>
          <w:rFonts w:ascii="宋体" w:hAnsi="宋体" w:eastAsia="宋体" w:cs="宋体"/>
          <w:sz w:val="24"/>
          <w:szCs w:val="24"/>
        </w:rPr>
        <w:t>法确定中标人。</w:t>
      </w:r>
    </w:p>
    <w:p w14:paraId="1E10EDDA">
      <w:pPr>
        <w:spacing w:before="225"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招标人不对未中标的投标人作任何解释，不退还投标文件。</w:t>
      </w:r>
    </w:p>
    <w:p w14:paraId="0A818AC8">
      <w:pPr>
        <w:spacing w:before="231"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rPr>
        <w:t>（</w:t>
      </w:r>
      <w:r>
        <w:rPr>
          <w:rFonts w:ascii="黑体" w:hAnsi="黑体" w:eastAsia="黑体" w:cs="黑体"/>
          <w:sz w:val="28"/>
          <w:szCs w:val="28"/>
        </w:rPr>
        <w:t>五</w:t>
      </w:r>
      <w:r>
        <w:rPr>
          <w:rFonts w:hint="eastAsia" w:ascii="黑体" w:hAnsi="黑体" w:eastAsia="黑体" w:cs="黑体"/>
          <w:sz w:val="28"/>
          <w:szCs w:val="28"/>
        </w:rPr>
        <w:t>）</w:t>
      </w:r>
      <w:r>
        <w:rPr>
          <w:rFonts w:ascii="黑体" w:hAnsi="黑体" w:eastAsia="黑体" w:cs="黑体"/>
          <w:sz w:val="28"/>
          <w:szCs w:val="28"/>
        </w:rPr>
        <w:t>合同签订</w:t>
      </w:r>
    </w:p>
    <w:p w14:paraId="26B5D22E">
      <w:pPr>
        <w:spacing w:before="257" w:line="360" w:lineRule="auto"/>
        <w:ind w:right="82"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中标人应在接到中标通知书之日起</w:t>
      </w:r>
      <w:r>
        <w:rPr>
          <w:rFonts w:hint="eastAsia" w:ascii="宋体" w:hAnsi="宋体" w:eastAsia="宋体" w:cs="宋体"/>
          <w:sz w:val="24"/>
          <w:szCs w:val="24"/>
        </w:rPr>
        <w:t>10</w:t>
      </w:r>
      <w:r>
        <w:rPr>
          <w:rFonts w:ascii="宋体" w:hAnsi="宋体" w:eastAsia="宋体" w:cs="宋体"/>
          <w:sz w:val="24"/>
          <w:szCs w:val="24"/>
        </w:rPr>
        <w:t>日内（含节假日）与招标人签订买卖合同，中标人因自身原因不与招标人签订买卖合同的，视为自愿放弃该次中标。</w:t>
      </w:r>
    </w:p>
    <w:p w14:paraId="284CF90B">
      <w:pPr>
        <w:spacing w:before="228" w:line="360" w:lineRule="auto"/>
        <w:ind w:right="82"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中标人必须保证中标产品质量的稳定，如果招标人发现产品质量不符合本招标文件要求的标准，或者发生质量下降，招标人有权单方面终止买卖合同。</w:t>
      </w:r>
    </w:p>
    <w:p w14:paraId="2BFAD5AB">
      <w:pPr>
        <w:spacing w:before="228"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中标人延误买卖合同约定的产品交付期限，招标人有权追究中标人责任。</w:t>
      </w:r>
    </w:p>
    <w:p w14:paraId="50E3BD36">
      <w:pPr>
        <w:spacing w:before="226" w:line="360" w:lineRule="auto"/>
        <w:ind w:right="80" w:firstLine="480" w:firstLineChars="200"/>
      </w:pPr>
      <w:r>
        <w:rPr>
          <w:rFonts w:hint="eastAsia" w:ascii="宋体" w:hAnsi="宋体" w:eastAsia="宋体" w:cs="宋体"/>
          <w:sz w:val="24"/>
          <w:szCs w:val="24"/>
        </w:rPr>
        <w:t>4、</w:t>
      </w:r>
      <w:r>
        <w:rPr>
          <w:rFonts w:ascii="宋体" w:hAnsi="宋体" w:eastAsia="宋体" w:cs="宋体"/>
          <w:sz w:val="24"/>
          <w:szCs w:val="24"/>
        </w:rPr>
        <w:t>在买卖合同有效期内，中标人如违反买卖合同的约定，招标人有权单方面终止买卖合同。</w:t>
      </w:r>
    </w:p>
    <w:p w14:paraId="4BDEB462">
      <w:pPr>
        <w:spacing w:before="229"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rPr>
        <w:t>（</w:t>
      </w:r>
      <w:r>
        <w:rPr>
          <w:rFonts w:ascii="黑体" w:hAnsi="黑体" w:eastAsia="黑体" w:cs="黑体"/>
          <w:sz w:val="28"/>
          <w:szCs w:val="28"/>
        </w:rPr>
        <w:t>六</w:t>
      </w:r>
      <w:r>
        <w:rPr>
          <w:rFonts w:hint="eastAsia" w:ascii="黑体" w:hAnsi="黑体" w:eastAsia="黑体" w:cs="黑体"/>
          <w:sz w:val="28"/>
          <w:szCs w:val="28"/>
        </w:rPr>
        <w:t>）</w:t>
      </w:r>
      <w:r>
        <w:rPr>
          <w:rFonts w:ascii="黑体" w:hAnsi="黑体" w:eastAsia="黑体" w:cs="黑体"/>
          <w:sz w:val="28"/>
          <w:szCs w:val="28"/>
        </w:rPr>
        <w:t>纪律要求</w:t>
      </w:r>
    </w:p>
    <w:p w14:paraId="39BADF6E">
      <w:pPr>
        <w:spacing w:before="228" w:line="360" w:lineRule="auto"/>
        <w:ind w:right="82"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投标人不得相互串通投标或者与招标人串通投标，不得向招标人或者评标委员会及其组成人员行贿谋取中标，不得以他人名义投标或者以其他方式弄虚作假骗取中标；投标人不得以任何方式干扰、影响评标工作。</w:t>
      </w:r>
    </w:p>
    <w:p w14:paraId="511A51E8">
      <w:pPr>
        <w:spacing w:before="228" w:line="360" w:lineRule="auto"/>
        <w:ind w:right="82"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评标委员会及其组成人员应严格自律，严格遵守国家法律、法规，并接受监察部门的监督。</w:t>
      </w:r>
    </w:p>
    <w:p w14:paraId="79C50E0A">
      <w:pPr>
        <w:spacing w:before="231"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rPr>
        <w:t>（</w:t>
      </w:r>
      <w:r>
        <w:rPr>
          <w:rFonts w:ascii="黑体" w:hAnsi="黑体" w:eastAsia="黑体" w:cs="黑体"/>
          <w:sz w:val="28"/>
          <w:szCs w:val="28"/>
        </w:rPr>
        <w:t>七</w:t>
      </w:r>
      <w:r>
        <w:rPr>
          <w:rFonts w:hint="eastAsia" w:ascii="黑体" w:hAnsi="黑体" w:eastAsia="黑体" w:cs="黑体"/>
          <w:sz w:val="28"/>
          <w:szCs w:val="28"/>
        </w:rPr>
        <w:t>）</w:t>
      </w:r>
      <w:r>
        <w:rPr>
          <w:rFonts w:ascii="黑体" w:hAnsi="黑体" w:eastAsia="黑体" w:cs="黑体"/>
          <w:sz w:val="28"/>
          <w:szCs w:val="28"/>
        </w:rPr>
        <w:t>其他</w:t>
      </w:r>
    </w:p>
    <w:p w14:paraId="17B890E5">
      <w:pPr>
        <w:spacing w:before="256"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中标人若改变生产工艺，需征得招标人同意，并需重新认可。</w:t>
      </w:r>
    </w:p>
    <w:p w14:paraId="1E9B4D07">
      <w:pPr>
        <w:spacing w:before="225" w:line="360" w:lineRule="auto"/>
        <w:ind w:right="82"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参加招投标活动的各方应视本次招投标活动的任何信息为秘密，在没有事先征得对方的书面同意的情况下，任何一方不得以任何方式向第三人公布、传递或透露任何信息，违者应对由此造成的后果承担法律</w:t>
      </w:r>
      <w:r>
        <w:rPr>
          <w:rFonts w:hint="eastAsia" w:ascii="宋体" w:hAnsi="宋体" w:eastAsia="宋体" w:cs="宋体"/>
          <w:sz w:val="24"/>
          <w:szCs w:val="24"/>
        </w:rPr>
        <w:t>。</w:t>
      </w:r>
    </w:p>
    <w:p w14:paraId="46E6C2FC">
      <w:pPr>
        <w:pStyle w:val="2"/>
        <w:ind w:firstLine="480"/>
        <w:rPr>
          <w:rFonts w:hint="eastAsia" w:ascii="宋体" w:hAnsi="宋体" w:eastAsia="宋体" w:cs="宋体"/>
          <w:sz w:val="24"/>
          <w:szCs w:val="24"/>
        </w:rPr>
      </w:pPr>
    </w:p>
    <w:p w14:paraId="1DD3154A">
      <w:pPr>
        <w:pStyle w:val="2"/>
        <w:ind w:firstLine="480"/>
        <w:rPr>
          <w:rFonts w:hint="eastAsia" w:ascii="宋体" w:hAnsi="宋体" w:eastAsia="宋体" w:cs="宋体"/>
          <w:sz w:val="24"/>
          <w:szCs w:val="24"/>
        </w:rPr>
      </w:pPr>
    </w:p>
    <w:p w14:paraId="45E48642">
      <w:pPr>
        <w:kinsoku/>
        <w:autoSpaceDE/>
        <w:autoSpaceDN/>
        <w:adjustRightInd/>
        <w:snapToGrid/>
        <w:spacing w:line="360" w:lineRule="auto"/>
        <w:textAlignment w:val="auto"/>
        <w:rPr>
          <w:rFonts w:hint="eastAsia" w:ascii="宋体" w:hAnsi="宋体" w:eastAsia="宋体" w:cs="宋体"/>
          <w:b/>
          <w:bCs/>
          <w:sz w:val="36"/>
          <w:szCs w:val="44"/>
        </w:rPr>
      </w:pPr>
      <w:r>
        <w:rPr>
          <w:rFonts w:ascii="宋体" w:hAnsi="宋体" w:eastAsia="宋体" w:cs="宋体"/>
          <w:b/>
          <w:bCs/>
          <w:sz w:val="36"/>
          <w:szCs w:val="44"/>
        </w:rPr>
        <w:br w:type="page"/>
      </w:r>
    </w:p>
    <w:p w14:paraId="6AFF6BAA">
      <w:pPr>
        <w:widowControl w:val="0"/>
        <w:kinsoku/>
        <w:autoSpaceDE/>
        <w:autoSpaceDN/>
        <w:adjustRightInd/>
        <w:snapToGrid/>
        <w:spacing w:line="360" w:lineRule="auto"/>
        <w:ind w:firstLine="480" w:firstLineChars="200"/>
        <w:jc w:val="center"/>
        <w:textAlignment w:val="auto"/>
        <w:rPr>
          <w:rFonts w:hint="eastAsia" w:ascii="宋体" w:hAnsi="宋体" w:eastAsia="宋体" w:cs="宋体"/>
          <w:sz w:val="24"/>
          <w:szCs w:val="32"/>
        </w:rPr>
      </w:pPr>
    </w:p>
    <w:p w14:paraId="63D242DB">
      <w:pPr>
        <w:widowControl w:val="0"/>
        <w:kinsoku/>
        <w:autoSpaceDE/>
        <w:autoSpaceDN/>
        <w:adjustRightInd/>
        <w:snapToGrid/>
        <w:spacing w:line="360" w:lineRule="auto"/>
        <w:ind w:firstLine="723" w:firstLineChars="200"/>
        <w:jc w:val="center"/>
        <w:textAlignment w:val="auto"/>
        <w:rPr>
          <w:rFonts w:hint="eastAsia" w:ascii="宋体" w:hAnsi="宋体" w:eastAsia="宋体" w:cs="宋体"/>
          <w:sz w:val="24"/>
          <w:szCs w:val="32"/>
          <w:highlight w:val="none"/>
        </w:rPr>
      </w:pPr>
      <w:r>
        <w:rPr>
          <w:rFonts w:hint="eastAsia" w:ascii="宋体" w:hAnsi="宋体" w:eastAsia="宋体" w:cs="宋体"/>
          <w:b/>
          <w:bCs/>
          <w:sz w:val="36"/>
          <w:szCs w:val="44"/>
          <w:highlight w:val="none"/>
        </w:rPr>
        <w:t>综合评标评分标准</w:t>
      </w:r>
    </w:p>
    <w:p w14:paraId="145BAD31">
      <w:pPr>
        <w:widowControl w:val="0"/>
        <w:kinsoku/>
        <w:autoSpaceDE/>
        <w:autoSpaceDN/>
        <w:adjustRightInd/>
        <w:snapToGrid/>
        <w:spacing w:before="120" w:beforeLines="50" w:line="360" w:lineRule="auto"/>
        <w:ind w:firstLine="482" w:firstLineChars="200"/>
        <w:jc w:val="both"/>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1、技术部分（分值2</w:t>
      </w:r>
      <w:r>
        <w:rPr>
          <w:rFonts w:ascii="宋体" w:hAnsi="宋体" w:eastAsia="宋体" w:cs="宋体"/>
          <w:b/>
          <w:bCs/>
          <w:sz w:val="24"/>
          <w:highlight w:val="none"/>
        </w:rPr>
        <w:t>0</w:t>
      </w:r>
      <w:r>
        <w:rPr>
          <w:rFonts w:hint="eastAsia" w:ascii="宋体" w:hAnsi="宋体" w:eastAsia="宋体" w:cs="宋体"/>
          <w:b/>
          <w:bCs/>
          <w:sz w:val="24"/>
          <w:highlight w:val="none"/>
        </w:rPr>
        <w:t>分）</w:t>
      </w:r>
    </w:p>
    <w:tbl>
      <w:tblPr>
        <w:tblStyle w:val="14"/>
        <w:tblW w:w="91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710"/>
        <w:gridCol w:w="1180"/>
        <w:gridCol w:w="860"/>
        <w:gridCol w:w="5296"/>
        <w:gridCol w:w="1134"/>
      </w:tblGrid>
      <w:tr w14:paraId="55951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87" w:hRule="atLeast"/>
        </w:trPr>
        <w:tc>
          <w:tcPr>
            <w:tcW w:w="710" w:type="dxa"/>
            <w:tcMar>
              <w:left w:w="103" w:type="dxa"/>
            </w:tcMar>
            <w:vAlign w:val="center"/>
          </w:tcPr>
          <w:p w14:paraId="1C0FFE47">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80" w:type="dxa"/>
            <w:tcMar>
              <w:left w:w="103" w:type="dxa"/>
            </w:tcMar>
            <w:vAlign w:val="center"/>
          </w:tcPr>
          <w:p w14:paraId="2C9ABC97">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860" w:type="dxa"/>
            <w:tcMar>
              <w:left w:w="103" w:type="dxa"/>
            </w:tcMar>
            <w:vAlign w:val="center"/>
          </w:tcPr>
          <w:p w14:paraId="4741BBAE">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满分</w:t>
            </w:r>
          </w:p>
        </w:tc>
        <w:tc>
          <w:tcPr>
            <w:tcW w:w="5296" w:type="dxa"/>
            <w:tcMar>
              <w:left w:w="103" w:type="dxa"/>
            </w:tcMar>
            <w:vAlign w:val="center"/>
          </w:tcPr>
          <w:p w14:paraId="3FC9DF59">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评审内容</w:t>
            </w:r>
          </w:p>
        </w:tc>
        <w:tc>
          <w:tcPr>
            <w:tcW w:w="1134" w:type="dxa"/>
            <w:tcMar>
              <w:left w:w="103" w:type="dxa"/>
            </w:tcMar>
            <w:vAlign w:val="center"/>
          </w:tcPr>
          <w:p w14:paraId="3E8A2AB4">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实得分</w:t>
            </w:r>
          </w:p>
        </w:tc>
      </w:tr>
      <w:tr w14:paraId="40FB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10" w:hRule="atLeast"/>
        </w:trPr>
        <w:tc>
          <w:tcPr>
            <w:tcW w:w="710" w:type="dxa"/>
            <w:tcMar>
              <w:left w:w="103" w:type="dxa"/>
            </w:tcMar>
            <w:vAlign w:val="center"/>
          </w:tcPr>
          <w:p w14:paraId="54DD78C6">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80" w:type="dxa"/>
            <w:tcMar>
              <w:left w:w="103" w:type="dxa"/>
            </w:tcMar>
            <w:vAlign w:val="center"/>
          </w:tcPr>
          <w:p w14:paraId="4F6F348C">
            <w:pPr>
              <w:pStyle w:val="8"/>
              <w:widowControl w:val="0"/>
              <w:kinsoku/>
              <w:autoSpaceDE/>
              <w:autoSpaceDN/>
              <w:spacing w:line="360" w:lineRule="auto"/>
              <w:jc w:val="center"/>
              <w:textAlignment w:val="auto"/>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技术要求</w:t>
            </w:r>
          </w:p>
        </w:tc>
        <w:tc>
          <w:tcPr>
            <w:tcW w:w="860" w:type="dxa"/>
            <w:tcMar>
              <w:left w:w="103" w:type="dxa"/>
            </w:tcMar>
            <w:vAlign w:val="center"/>
          </w:tcPr>
          <w:p w14:paraId="783FB8EC">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20分</w:t>
            </w:r>
          </w:p>
        </w:tc>
        <w:tc>
          <w:tcPr>
            <w:tcW w:w="5296" w:type="dxa"/>
            <w:tcMar>
              <w:left w:w="103" w:type="dxa"/>
            </w:tcMar>
            <w:vAlign w:val="center"/>
          </w:tcPr>
          <w:p w14:paraId="3FA61C50">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p>
          <w:p w14:paraId="6298F629">
            <w:pPr>
              <w:widowControl w:val="0"/>
              <w:kinsoku/>
              <w:autoSpaceDE/>
              <w:autoSpaceDN/>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技术响应基础分10分；</w:t>
            </w:r>
          </w:p>
          <w:p w14:paraId="21287F94">
            <w:pPr>
              <w:widowControl w:val="0"/>
              <w:kinsoku/>
              <w:autoSpaceDE/>
              <w:autoSpaceDN/>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扣减：一项不响应扣2分（上限为10分）；</w:t>
            </w:r>
          </w:p>
          <w:p w14:paraId="5363D0A0">
            <w:pPr>
              <w:widowControl w:val="0"/>
              <w:kinsoku/>
              <w:autoSpaceDE/>
              <w:autoSpaceDN/>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加分：优于一项加2分（上限10分）；</w:t>
            </w:r>
          </w:p>
          <w:p w14:paraId="29B30DD5">
            <w:pPr>
              <w:pStyle w:val="2"/>
              <w:ind w:firstLine="0" w:firstLineChars="0"/>
              <w:rPr>
                <w:rFonts w:eastAsiaTheme="minorEastAsia"/>
                <w:highlight w:val="none"/>
              </w:rPr>
            </w:pPr>
            <w:r>
              <w:rPr>
                <w:rFonts w:hint="eastAsia" w:ascii="宋体" w:hAnsi="宋体" w:eastAsia="宋体" w:cs="宋体"/>
                <w:color w:val="auto"/>
                <w:sz w:val="24"/>
                <w:szCs w:val="24"/>
                <w:highlight w:val="none"/>
              </w:rPr>
              <w:t>根据技术答辩情况可加减分（上下限均为5分）</w:t>
            </w:r>
          </w:p>
        </w:tc>
        <w:tc>
          <w:tcPr>
            <w:tcW w:w="1134" w:type="dxa"/>
            <w:tcMar>
              <w:left w:w="103" w:type="dxa"/>
            </w:tcMar>
            <w:vAlign w:val="center"/>
          </w:tcPr>
          <w:p w14:paraId="55267FA4">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p>
        </w:tc>
      </w:tr>
    </w:tbl>
    <w:p w14:paraId="0F3EDAC5">
      <w:pPr>
        <w:spacing w:line="360" w:lineRule="auto"/>
        <w:jc w:val="both"/>
        <w:rPr>
          <w:rFonts w:hint="eastAsia" w:ascii="宋体" w:hAnsi="宋体" w:eastAsia="宋体" w:cs="宋体"/>
          <w:b/>
          <w:bCs/>
          <w:sz w:val="24"/>
          <w:highlight w:val="none"/>
        </w:rPr>
      </w:pPr>
    </w:p>
    <w:p w14:paraId="795B668B">
      <w:pPr>
        <w:spacing w:line="360" w:lineRule="auto"/>
        <w:ind w:firstLine="482" w:firstLineChars="200"/>
        <w:jc w:val="both"/>
        <w:rPr>
          <w:rFonts w:hint="eastAsia" w:ascii="宋体" w:hAnsi="宋体" w:eastAsia="宋体" w:cs="宋体"/>
          <w:b/>
          <w:bCs/>
          <w:sz w:val="24"/>
          <w:highlight w:val="none"/>
        </w:rPr>
      </w:pPr>
      <w:r>
        <w:rPr>
          <w:rFonts w:hint="eastAsia" w:ascii="宋体" w:hAnsi="宋体" w:eastAsia="宋体" w:cs="宋体"/>
          <w:b/>
          <w:bCs/>
          <w:sz w:val="24"/>
          <w:highlight w:val="none"/>
        </w:rPr>
        <w:t>2、商务部分（分值3</w:t>
      </w:r>
      <w:r>
        <w:rPr>
          <w:rFonts w:ascii="宋体" w:hAnsi="宋体" w:eastAsia="宋体" w:cs="宋体"/>
          <w:b/>
          <w:bCs/>
          <w:sz w:val="24"/>
          <w:highlight w:val="none"/>
        </w:rPr>
        <w:t>0</w:t>
      </w:r>
      <w:r>
        <w:rPr>
          <w:rFonts w:hint="eastAsia" w:ascii="宋体" w:hAnsi="宋体" w:eastAsia="宋体" w:cs="宋体"/>
          <w:b/>
          <w:bCs/>
          <w:sz w:val="24"/>
          <w:highlight w:val="none"/>
        </w:rPr>
        <w:t>分）</w:t>
      </w:r>
    </w:p>
    <w:tbl>
      <w:tblPr>
        <w:tblStyle w:val="14"/>
        <w:tblW w:w="9180" w:type="dxa"/>
        <w:tblInd w:w="13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10"/>
        <w:gridCol w:w="1180"/>
        <w:gridCol w:w="860"/>
        <w:gridCol w:w="5296"/>
        <w:gridCol w:w="1134"/>
      </w:tblGrid>
      <w:tr w14:paraId="61D511CA">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87" w:hRule="atLeast"/>
        </w:trPr>
        <w:tc>
          <w:tcPr>
            <w:tcW w:w="710" w:type="dxa"/>
            <w:tcBorders>
              <w:top w:val="single" w:color="000000" w:sz="4" w:space="0"/>
              <w:left w:val="single" w:color="000000" w:sz="4" w:space="0"/>
              <w:bottom w:val="single" w:color="000000" w:sz="4" w:space="0"/>
            </w:tcBorders>
            <w:tcMar>
              <w:left w:w="103" w:type="dxa"/>
            </w:tcMar>
            <w:vAlign w:val="center"/>
          </w:tcPr>
          <w:p w14:paraId="4279DE6D">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80" w:type="dxa"/>
            <w:tcBorders>
              <w:top w:val="single" w:color="000000" w:sz="4" w:space="0"/>
              <w:left w:val="single" w:color="000000" w:sz="4" w:space="0"/>
              <w:bottom w:val="single" w:color="000000" w:sz="4" w:space="0"/>
            </w:tcBorders>
            <w:tcMar>
              <w:left w:w="103" w:type="dxa"/>
            </w:tcMar>
            <w:vAlign w:val="center"/>
          </w:tcPr>
          <w:p w14:paraId="5856E638">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860" w:type="dxa"/>
            <w:tcBorders>
              <w:top w:val="single" w:color="000000" w:sz="4" w:space="0"/>
              <w:left w:val="single" w:color="000000" w:sz="4" w:space="0"/>
              <w:bottom w:val="single" w:color="000000" w:sz="4" w:space="0"/>
            </w:tcBorders>
            <w:tcMar>
              <w:left w:w="103" w:type="dxa"/>
            </w:tcMar>
            <w:vAlign w:val="center"/>
          </w:tcPr>
          <w:p w14:paraId="18CADE65">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满分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39C27952">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评审内容</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74B51434">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实得分</w:t>
            </w:r>
          </w:p>
        </w:tc>
      </w:tr>
      <w:tr w14:paraId="64AE4A0E">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865" w:hRule="atLeast"/>
        </w:trPr>
        <w:tc>
          <w:tcPr>
            <w:tcW w:w="710" w:type="dxa"/>
            <w:vMerge w:val="restart"/>
            <w:tcBorders>
              <w:top w:val="single" w:color="000000" w:sz="4" w:space="0"/>
              <w:left w:val="single" w:color="000000" w:sz="4" w:space="0"/>
            </w:tcBorders>
            <w:tcMar>
              <w:left w:w="103" w:type="dxa"/>
            </w:tcMar>
            <w:vAlign w:val="center"/>
          </w:tcPr>
          <w:p w14:paraId="461858CF">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80" w:type="dxa"/>
            <w:vMerge w:val="restart"/>
            <w:tcBorders>
              <w:top w:val="single" w:color="000000" w:sz="4" w:space="0"/>
              <w:left w:val="single" w:color="000000" w:sz="4" w:space="0"/>
            </w:tcBorders>
            <w:tcMar>
              <w:left w:w="103" w:type="dxa"/>
            </w:tcMar>
            <w:vAlign w:val="center"/>
          </w:tcPr>
          <w:p w14:paraId="2F13E2A7">
            <w:pPr>
              <w:pStyle w:val="8"/>
              <w:widowControl w:val="0"/>
              <w:kinsoku/>
              <w:autoSpaceDE/>
              <w:autoSpaceDN/>
              <w:spacing w:line="360" w:lineRule="auto"/>
              <w:jc w:val="center"/>
              <w:textAlignment w:val="auto"/>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企业</w:t>
            </w:r>
            <w:r>
              <w:rPr>
                <w:rFonts w:hint="eastAsia" w:ascii="宋体" w:hAnsi="宋体" w:eastAsia="宋体" w:cs="宋体"/>
                <w:color w:val="auto"/>
                <w:szCs w:val="24"/>
                <w:highlight w:val="none"/>
              </w:rPr>
              <w:t>资质</w:t>
            </w:r>
          </w:p>
        </w:tc>
        <w:tc>
          <w:tcPr>
            <w:tcW w:w="860" w:type="dxa"/>
            <w:tcBorders>
              <w:top w:val="single" w:color="000000" w:sz="4" w:space="0"/>
              <w:left w:val="single" w:color="000000" w:sz="4" w:space="0"/>
              <w:bottom w:val="single" w:color="000000" w:sz="4" w:space="0"/>
            </w:tcBorders>
            <w:tcMar>
              <w:left w:w="103" w:type="dxa"/>
            </w:tcMar>
            <w:vAlign w:val="center"/>
          </w:tcPr>
          <w:p w14:paraId="28EAF843">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5942E2C7">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注册资本≥500万元</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分，每高于500万元加</w:t>
            </w:r>
            <w:r>
              <w:rPr>
                <w:rFonts w:ascii="宋体" w:hAnsi="宋体" w:eastAsia="宋体" w:cs="宋体"/>
                <w:color w:val="auto"/>
                <w:sz w:val="24"/>
                <w:szCs w:val="24"/>
                <w:highlight w:val="none"/>
              </w:rPr>
              <w:t>0.5</w:t>
            </w:r>
            <w:r>
              <w:rPr>
                <w:rFonts w:hint="eastAsia" w:ascii="宋体" w:hAnsi="宋体" w:eastAsia="宋体" w:cs="宋体"/>
                <w:color w:val="auto"/>
                <w:sz w:val="24"/>
                <w:szCs w:val="24"/>
                <w:highlight w:val="none"/>
              </w:rPr>
              <w:t>分，本小项最高得</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分。</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7602CE39">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p>
        </w:tc>
      </w:tr>
      <w:tr w14:paraId="21B865B5">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605" w:hRule="atLeast"/>
        </w:trPr>
        <w:tc>
          <w:tcPr>
            <w:tcW w:w="710" w:type="dxa"/>
            <w:vMerge w:val="continue"/>
            <w:tcBorders>
              <w:left w:val="single" w:color="000000" w:sz="4" w:space="0"/>
              <w:bottom w:val="single" w:color="000000" w:sz="4" w:space="0"/>
            </w:tcBorders>
            <w:tcMar>
              <w:left w:w="103" w:type="dxa"/>
            </w:tcMar>
            <w:vAlign w:val="center"/>
          </w:tcPr>
          <w:p w14:paraId="0D5BE3EA">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p>
        </w:tc>
        <w:tc>
          <w:tcPr>
            <w:tcW w:w="1180" w:type="dxa"/>
            <w:vMerge w:val="continue"/>
            <w:tcBorders>
              <w:left w:val="single" w:color="000000" w:sz="4" w:space="0"/>
            </w:tcBorders>
            <w:tcMar>
              <w:left w:w="103" w:type="dxa"/>
            </w:tcMar>
            <w:vAlign w:val="center"/>
          </w:tcPr>
          <w:p w14:paraId="19433FE8">
            <w:pPr>
              <w:pStyle w:val="8"/>
              <w:widowControl w:val="0"/>
              <w:kinsoku/>
              <w:autoSpaceDE/>
              <w:autoSpaceDN/>
              <w:spacing w:line="360" w:lineRule="auto"/>
              <w:jc w:val="center"/>
              <w:textAlignment w:val="auto"/>
              <w:rPr>
                <w:rFonts w:hint="eastAsia" w:ascii="宋体" w:hAnsi="宋体" w:eastAsia="宋体" w:cs="宋体"/>
                <w:color w:val="auto"/>
                <w:szCs w:val="24"/>
                <w:highlight w:val="none"/>
                <w:lang w:val="en-US"/>
              </w:rPr>
            </w:pPr>
          </w:p>
        </w:tc>
        <w:tc>
          <w:tcPr>
            <w:tcW w:w="860" w:type="dxa"/>
            <w:tcBorders>
              <w:top w:val="single" w:color="000000" w:sz="4" w:space="0"/>
              <w:left w:val="single" w:color="000000" w:sz="4" w:space="0"/>
              <w:bottom w:val="single" w:color="000000" w:sz="4" w:space="0"/>
            </w:tcBorders>
            <w:tcMar>
              <w:left w:w="103" w:type="dxa"/>
            </w:tcMar>
            <w:vAlign w:val="center"/>
          </w:tcPr>
          <w:p w14:paraId="43F76E17">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064734C9">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相关体系认证（质量、环境、职业健康安全、企业信用等级证明每项</w:t>
            </w:r>
            <w:r>
              <w:rPr>
                <w:rFonts w:ascii="宋体" w:hAnsi="宋体" w:eastAsia="宋体" w:cs="宋体"/>
                <w:color w:val="auto"/>
                <w:sz w:val="24"/>
                <w:szCs w:val="24"/>
                <w:highlight w:val="none"/>
              </w:rPr>
              <w:t>0.5</w:t>
            </w:r>
            <w:r>
              <w:rPr>
                <w:rFonts w:hint="eastAsia" w:ascii="宋体" w:hAnsi="宋体" w:eastAsia="宋体" w:cs="宋体"/>
                <w:color w:val="auto"/>
                <w:sz w:val="24"/>
                <w:szCs w:val="24"/>
                <w:highlight w:val="none"/>
              </w:rPr>
              <w:t>分）</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74C0C0FB">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p>
        </w:tc>
      </w:tr>
      <w:tr w14:paraId="1156DE4E">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093" w:hRule="atLeast"/>
        </w:trPr>
        <w:tc>
          <w:tcPr>
            <w:tcW w:w="710" w:type="dxa"/>
            <w:tcBorders>
              <w:top w:val="single" w:color="000000" w:sz="4" w:space="0"/>
              <w:left w:val="single" w:color="000000" w:sz="4" w:space="0"/>
              <w:bottom w:val="single" w:color="000000" w:sz="4" w:space="0"/>
            </w:tcBorders>
            <w:tcMar>
              <w:left w:w="103" w:type="dxa"/>
            </w:tcMar>
            <w:vAlign w:val="center"/>
          </w:tcPr>
          <w:p w14:paraId="3A22826F">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80" w:type="dxa"/>
            <w:tcBorders>
              <w:left w:val="single" w:color="000000" w:sz="4" w:space="0"/>
            </w:tcBorders>
            <w:tcMar>
              <w:left w:w="103" w:type="dxa"/>
            </w:tcMar>
            <w:vAlign w:val="center"/>
          </w:tcPr>
          <w:p w14:paraId="58F2A035">
            <w:pPr>
              <w:pStyle w:val="8"/>
              <w:widowControl w:val="0"/>
              <w:kinsoku/>
              <w:autoSpaceDE/>
              <w:autoSpaceDN/>
              <w:spacing w:line="360" w:lineRule="auto"/>
              <w:jc w:val="center"/>
              <w:textAlignment w:val="auto"/>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rPr>
              <w:t>类似</w:t>
            </w:r>
            <w:r>
              <w:rPr>
                <w:rFonts w:hint="eastAsia" w:ascii="宋体" w:hAnsi="宋体" w:eastAsia="宋体" w:cs="宋体"/>
                <w:color w:val="auto"/>
                <w:szCs w:val="24"/>
                <w:highlight w:val="none"/>
                <w:lang w:val="en-US"/>
              </w:rPr>
              <w:t>业务</w:t>
            </w:r>
            <w:r>
              <w:rPr>
                <w:rFonts w:hint="eastAsia" w:ascii="宋体" w:hAnsi="宋体" w:eastAsia="宋体" w:cs="宋体"/>
                <w:color w:val="auto"/>
                <w:szCs w:val="24"/>
                <w:highlight w:val="none"/>
              </w:rPr>
              <w:t>业绩</w:t>
            </w:r>
          </w:p>
        </w:tc>
        <w:tc>
          <w:tcPr>
            <w:tcW w:w="860" w:type="dxa"/>
            <w:tcBorders>
              <w:top w:val="single" w:color="000000" w:sz="4" w:space="0"/>
              <w:left w:val="single" w:color="000000" w:sz="4" w:space="0"/>
              <w:bottom w:val="single" w:color="000000" w:sz="4" w:space="0"/>
            </w:tcBorders>
            <w:tcMar>
              <w:left w:w="103" w:type="dxa"/>
            </w:tcMar>
            <w:vAlign w:val="center"/>
          </w:tcPr>
          <w:p w14:paraId="6EF900D2">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61A163E2">
            <w:pPr>
              <w:pStyle w:val="21"/>
              <w:widowControl w:val="0"/>
              <w:kinsoku/>
              <w:autoSpaceDE/>
              <w:autoSpaceDN/>
              <w:adjustRightInd/>
              <w:snapToGrid/>
              <w:spacing w:line="360" w:lineRule="auto"/>
              <w:ind w:firstLine="0" w:firstLineChars="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投标人近三年来承接过合同金额100万元及以上类似业绩且验收合格的，提供一项目业绩的得5分（未能提供验收证明的得1分）。</w:t>
            </w:r>
          </w:p>
          <w:p w14:paraId="0781CF03">
            <w:pPr>
              <w:pStyle w:val="21"/>
              <w:widowControl w:val="0"/>
              <w:kinsoku/>
              <w:autoSpaceDE/>
              <w:autoSpaceDN/>
              <w:adjustRightInd/>
              <w:snapToGrid/>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投标人应当提供合同、验收证明复印件（须加盖验收方公章）等证明材料。</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19EF6DE0">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p>
        </w:tc>
      </w:tr>
      <w:tr w14:paraId="2ADB2765">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90" w:hRule="atLeast"/>
        </w:trPr>
        <w:tc>
          <w:tcPr>
            <w:tcW w:w="710" w:type="dxa"/>
            <w:tcBorders>
              <w:top w:val="single" w:color="000000" w:sz="4" w:space="0"/>
              <w:left w:val="single" w:color="000000" w:sz="4" w:space="0"/>
              <w:bottom w:val="single" w:color="000000" w:sz="4" w:space="0"/>
            </w:tcBorders>
            <w:tcMar>
              <w:left w:w="103" w:type="dxa"/>
            </w:tcMar>
            <w:vAlign w:val="center"/>
          </w:tcPr>
          <w:p w14:paraId="4C9B0517">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80" w:type="dxa"/>
            <w:tcBorders>
              <w:left w:val="single" w:color="000000" w:sz="4" w:space="0"/>
            </w:tcBorders>
            <w:tcMar>
              <w:left w:w="103" w:type="dxa"/>
            </w:tcMar>
            <w:vAlign w:val="center"/>
          </w:tcPr>
          <w:p w14:paraId="721F2A61">
            <w:pPr>
              <w:pStyle w:val="8"/>
              <w:widowControl w:val="0"/>
              <w:kinsoku/>
              <w:autoSpaceDE/>
              <w:autoSpaceDN/>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付款方式</w:t>
            </w:r>
          </w:p>
        </w:tc>
        <w:tc>
          <w:tcPr>
            <w:tcW w:w="860" w:type="dxa"/>
            <w:tcBorders>
              <w:top w:val="single" w:color="000000" w:sz="4" w:space="0"/>
              <w:left w:val="single" w:color="000000" w:sz="4" w:space="0"/>
              <w:bottom w:val="single" w:color="000000" w:sz="4" w:space="0"/>
            </w:tcBorders>
            <w:tcMar>
              <w:left w:w="103" w:type="dxa"/>
            </w:tcMar>
            <w:vAlign w:val="center"/>
          </w:tcPr>
          <w:p w14:paraId="30A9C213">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7B873009">
            <w:pPr>
              <w:kinsoku/>
              <w:autoSpaceDE/>
              <w:autoSpaceDN/>
              <w:adjustRightInd/>
              <w:snapToGrid/>
              <w:spacing w:line="360" w:lineRule="auto"/>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不响应扣4分。</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0C4AC102">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p>
        </w:tc>
      </w:tr>
      <w:tr w14:paraId="61FD377A">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90" w:hRule="atLeast"/>
        </w:trPr>
        <w:tc>
          <w:tcPr>
            <w:tcW w:w="710" w:type="dxa"/>
            <w:tcBorders>
              <w:top w:val="single" w:color="000000" w:sz="4" w:space="0"/>
              <w:left w:val="single" w:color="000000" w:sz="4" w:space="0"/>
              <w:bottom w:val="single" w:color="000000" w:sz="4" w:space="0"/>
            </w:tcBorders>
            <w:tcMar>
              <w:left w:w="103" w:type="dxa"/>
            </w:tcMar>
            <w:vAlign w:val="center"/>
          </w:tcPr>
          <w:p w14:paraId="348313FA">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80" w:type="dxa"/>
            <w:tcBorders>
              <w:left w:val="single" w:color="000000" w:sz="4" w:space="0"/>
            </w:tcBorders>
            <w:tcMar>
              <w:left w:w="103" w:type="dxa"/>
            </w:tcMar>
            <w:vAlign w:val="center"/>
          </w:tcPr>
          <w:p w14:paraId="23A21FD6">
            <w:pPr>
              <w:pStyle w:val="8"/>
              <w:widowControl w:val="0"/>
              <w:kinsoku/>
              <w:autoSpaceDE/>
              <w:autoSpaceDN/>
              <w:spacing w:line="360" w:lineRule="auto"/>
              <w:jc w:val="center"/>
              <w:textAlignment w:val="auto"/>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交货期</w:t>
            </w:r>
          </w:p>
        </w:tc>
        <w:tc>
          <w:tcPr>
            <w:tcW w:w="860" w:type="dxa"/>
            <w:tcBorders>
              <w:top w:val="single" w:color="000000" w:sz="4" w:space="0"/>
              <w:left w:val="single" w:color="000000" w:sz="4" w:space="0"/>
              <w:bottom w:val="single" w:color="000000" w:sz="4" w:space="0"/>
            </w:tcBorders>
            <w:tcMar>
              <w:left w:w="103" w:type="dxa"/>
            </w:tcMar>
            <w:vAlign w:val="center"/>
          </w:tcPr>
          <w:p w14:paraId="1DAC0932">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6BE97C5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邀标文件中规定的交货期为45天，基础分为1分，每提前5天加1分，每超过5天扣1分，上限为3分。</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7753B96B">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p>
        </w:tc>
      </w:tr>
      <w:tr w14:paraId="5D20BD6A">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90" w:hRule="atLeast"/>
        </w:trPr>
        <w:tc>
          <w:tcPr>
            <w:tcW w:w="710" w:type="dxa"/>
            <w:tcBorders>
              <w:top w:val="single" w:color="000000" w:sz="4" w:space="0"/>
              <w:left w:val="single" w:color="000000" w:sz="4" w:space="0"/>
              <w:bottom w:val="single" w:color="000000" w:sz="4" w:space="0"/>
            </w:tcBorders>
            <w:tcMar>
              <w:left w:w="103" w:type="dxa"/>
            </w:tcMar>
            <w:vAlign w:val="center"/>
          </w:tcPr>
          <w:p w14:paraId="4A463C08">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80" w:type="dxa"/>
            <w:tcBorders>
              <w:left w:val="single" w:color="000000" w:sz="4" w:space="0"/>
              <w:bottom w:val="single" w:color="000000" w:sz="4" w:space="0"/>
            </w:tcBorders>
            <w:tcMar>
              <w:left w:w="103" w:type="dxa"/>
            </w:tcMar>
            <w:vAlign w:val="center"/>
          </w:tcPr>
          <w:p w14:paraId="0379CA4A">
            <w:pPr>
              <w:pStyle w:val="8"/>
              <w:widowControl w:val="0"/>
              <w:kinsoku/>
              <w:autoSpaceDE/>
              <w:autoSpaceDN/>
              <w:spacing w:line="360" w:lineRule="auto"/>
              <w:jc w:val="center"/>
              <w:textAlignment w:val="auto"/>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售后服务</w:t>
            </w:r>
          </w:p>
        </w:tc>
        <w:tc>
          <w:tcPr>
            <w:tcW w:w="860" w:type="dxa"/>
            <w:tcBorders>
              <w:top w:val="single" w:color="000000" w:sz="4" w:space="0"/>
              <w:left w:val="single" w:color="000000" w:sz="4" w:space="0"/>
              <w:bottom w:val="single" w:color="000000" w:sz="4" w:space="0"/>
            </w:tcBorders>
            <w:tcMar>
              <w:left w:w="103" w:type="dxa"/>
            </w:tcMar>
            <w:vAlign w:val="center"/>
          </w:tcPr>
          <w:p w14:paraId="72522204">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53EFE8F1">
            <w:pPr>
              <w:kinsoku/>
              <w:autoSpaceDE/>
              <w:autoSpaceDN/>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须对所售出的产品实行三包:即产品在正常使用情况下发生质量问题时，投标人应按使用方的要求，负责对产品实行包修、包换、包退。2、投标人在质保期内应负责硬件及软件产品的日常维护。（每项1分）</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35C83833">
            <w:pPr>
              <w:widowControl w:val="0"/>
              <w:kinsoku/>
              <w:autoSpaceDE/>
              <w:autoSpaceDN/>
              <w:spacing w:line="360" w:lineRule="auto"/>
              <w:jc w:val="center"/>
              <w:textAlignment w:val="auto"/>
              <w:rPr>
                <w:rFonts w:hint="eastAsia" w:ascii="宋体" w:hAnsi="宋体" w:eastAsia="宋体" w:cs="宋体"/>
                <w:color w:val="auto"/>
                <w:sz w:val="24"/>
                <w:szCs w:val="24"/>
                <w:highlight w:val="none"/>
              </w:rPr>
            </w:pPr>
          </w:p>
        </w:tc>
      </w:tr>
    </w:tbl>
    <w:p w14:paraId="4C0F70E3">
      <w:pPr>
        <w:pStyle w:val="2"/>
        <w:rPr>
          <w:highlight w:val="none"/>
        </w:rPr>
      </w:pPr>
    </w:p>
    <w:p w14:paraId="076A8517">
      <w:pPr>
        <w:spacing w:line="360" w:lineRule="auto"/>
        <w:ind w:firstLine="482" w:firstLineChars="200"/>
        <w:jc w:val="both"/>
        <w:rPr>
          <w:rFonts w:hint="eastAsia" w:ascii="宋体" w:hAnsi="宋体" w:eastAsia="宋体" w:cs="宋体"/>
          <w:b/>
          <w:bCs/>
          <w:sz w:val="24"/>
          <w:highlight w:val="none"/>
        </w:rPr>
      </w:pPr>
      <w:r>
        <w:rPr>
          <w:rFonts w:hint="eastAsia" w:ascii="宋体" w:hAnsi="宋体" w:eastAsia="宋体" w:cs="宋体"/>
          <w:b/>
          <w:bCs/>
          <w:sz w:val="24"/>
          <w:highlight w:val="none"/>
        </w:rPr>
        <w:t>3、价格部分（分值50分）</w:t>
      </w:r>
    </w:p>
    <w:tbl>
      <w:tblPr>
        <w:tblStyle w:val="14"/>
        <w:tblW w:w="9190" w:type="dxa"/>
        <w:tblInd w:w="12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40"/>
        <w:gridCol w:w="1160"/>
        <w:gridCol w:w="800"/>
        <w:gridCol w:w="5356"/>
        <w:gridCol w:w="1134"/>
      </w:tblGrid>
      <w:tr w14:paraId="6C67FADD">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24" w:hRule="atLeast"/>
        </w:trPr>
        <w:tc>
          <w:tcPr>
            <w:tcW w:w="740" w:type="dxa"/>
            <w:tcBorders>
              <w:top w:val="single" w:color="000000" w:sz="4" w:space="0"/>
              <w:left w:val="single" w:color="000000" w:sz="4" w:space="0"/>
              <w:bottom w:val="single" w:color="000000" w:sz="4" w:space="0"/>
            </w:tcBorders>
            <w:tcMar>
              <w:left w:w="103" w:type="dxa"/>
            </w:tcMar>
            <w:vAlign w:val="center"/>
          </w:tcPr>
          <w:p w14:paraId="1C8087EB">
            <w:pPr>
              <w:spacing w:line="360" w:lineRule="auto"/>
              <w:jc w:val="center"/>
              <w:rPr>
                <w:rFonts w:ascii="宋体;SimSun" w:hAnsi="宋体;SimSun" w:cs="宋体;SimSun"/>
                <w:b/>
                <w:bCs/>
                <w:sz w:val="24"/>
                <w:szCs w:val="24"/>
                <w:highlight w:val="none"/>
              </w:rPr>
            </w:pPr>
            <w:r>
              <w:rPr>
                <w:rFonts w:hint="eastAsia" w:ascii="宋体" w:hAnsi="宋体" w:eastAsia="宋体" w:cs="宋体"/>
                <w:b/>
                <w:bCs/>
                <w:sz w:val="24"/>
                <w:szCs w:val="24"/>
                <w:highlight w:val="none"/>
              </w:rPr>
              <w:t>序号</w:t>
            </w:r>
          </w:p>
        </w:tc>
        <w:tc>
          <w:tcPr>
            <w:tcW w:w="1160" w:type="dxa"/>
            <w:tcBorders>
              <w:top w:val="single" w:color="000000" w:sz="4" w:space="0"/>
              <w:left w:val="single" w:color="000000" w:sz="4" w:space="0"/>
              <w:bottom w:val="single" w:color="000000" w:sz="4" w:space="0"/>
            </w:tcBorders>
            <w:tcMar>
              <w:left w:w="103" w:type="dxa"/>
            </w:tcMar>
            <w:vAlign w:val="center"/>
          </w:tcPr>
          <w:p w14:paraId="09EAFD91">
            <w:pPr>
              <w:spacing w:line="360" w:lineRule="auto"/>
              <w:jc w:val="center"/>
              <w:rPr>
                <w:rFonts w:ascii="宋体;SimSun" w:hAnsi="宋体;SimSun" w:cs="宋体;SimSun"/>
                <w:b/>
                <w:bCs/>
                <w:sz w:val="24"/>
                <w:szCs w:val="24"/>
                <w:highlight w:val="none"/>
              </w:rPr>
            </w:pPr>
            <w:r>
              <w:rPr>
                <w:rFonts w:hint="eastAsia" w:ascii="宋体" w:hAnsi="宋体" w:eastAsia="宋体" w:cs="宋体"/>
                <w:b/>
                <w:bCs/>
                <w:sz w:val="24"/>
                <w:szCs w:val="24"/>
                <w:highlight w:val="none"/>
              </w:rPr>
              <w:t>类别</w:t>
            </w:r>
          </w:p>
        </w:tc>
        <w:tc>
          <w:tcPr>
            <w:tcW w:w="800" w:type="dxa"/>
            <w:tcBorders>
              <w:top w:val="single" w:color="000000" w:sz="4" w:space="0"/>
              <w:left w:val="single" w:color="000000" w:sz="4" w:space="0"/>
              <w:bottom w:val="single" w:color="000000" w:sz="4" w:space="0"/>
            </w:tcBorders>
            <w:tcMar>
              <w:left w:w="103" w:type="dxa"/>
            </w:tcMar>
            <w:vAlign w:val="center"/>
          </w:tcPr>
          <w:p w14:paraId="170E6A30">
            <w:pPr>
              <w:spacing w:line="360" w:lineRule="auto"/>
              <w:jc w:val="center"/>
              <w:rPr>
                <w:rFonts w:ascii="宋体;SimSun" w:hAnsi="宋体;SimSun" w:cs="宋体;SimSun"/>
                <w:b/>
                <w:bCs/>
                <w:sz w:val="24"/>
                <w:szCs w:val="24"/>
                <w:highlight w:val="none"/>
              </w:rPr>
            </w:pPr>
            <w:r>
              <w:rPr>
                <w:rFonts w:hint="eastAsia" w:ascii="宋体" w:hAnsi="宋体" w:eastAsia="宋体" w:cs="宋体"/>
                <w:b/>
                <w:bCs/>
                <w:sz w:val="24"/>
                <w:szCs w:val="24"/>
                <w:highlight w:val="none"/>
              </w:rPr>
              <w:t>满分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1F0C63FE">
            <w:pPr>
              <w:spacing w:line="360" w:lineRule="auto"/>
              <w:jc w:val="center"/>
              <w:rPr>
                <w:rFonts w:ascii="宋体;SimSun" w:hAnsi="宋体;SimSun" w:cs="宋体;SimSun"/>
                <w:b/>
                <w:bCs/>
                <w:sz w:val="24"/>
                <w:szCs w:val="24"/>
                <w:highlight w:val="none"/>
              </w:rPr>
            </w:pPr>
            <w:r>
              <w:rPr>
                <w:rFonts w:hint="eastAsia" w:ascii="宋体" w:hAnsi="宋体" w:eastAsia="宋体" w:cs="宋体"/>
                <w:b/>
                <w:bCs/>
                <w:sz w:val="24"/>
                <w:szCs w:val="24"/>
                <w:highlight w:val="none"/>
              </w:rPr>
              <w:t>评审内容</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3964D5B9">
            <w:pPr>
              <w:spacing w:line="360" w:lineRule="auto"/>
              <w:jc w:val="center"/>
              <w:rPr>
                <w:rFonts w:ascii="宋体;SimSun" w:hAnsi="宋体;SimSun" w:cs="宋体;SimSun"/>
                <w:b/>
                <w:bCs/>
                <w:sz w:val="24"/>
                <w:szCs w:val="24"/>
                <w:highlight w:val="none"/>
              </w:rPr>
            </w:pPr>
            <w:r>
              <w:rPr>
                <w:rFonts w:hint="eastAsia" w:ascii="宋体" w:hAnsi="宋体" w:eastAsia="宋体" w:cs="宋体"/>
                <w:b/>
                <w:bCs/>
                <w:sz w:val="24"/>
                <w:szCs w:val="24"/>
                <w:highlight w:val="none"/>
              </w:rPr>
              <w:t>实得分</w:t>
            </w:r>
          </w:p>
        </w:tc>
      </w:tr>
      <w:tr w14:paraId="0A0212A3">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319" w:hRule="atLeast"/>
        </w:trPr>
        <w:tc>
          <w:tcPr>
            <w:tcW w:w="740" w:type="dxa"/>
            <w:tcBorders>
              <w:top w:val="single" w:color="000000" w:sz="4" w:space="0"/>
              <w:left w:val="single" w:color="000000" w:sz="4" w:space="0"/>
              <w:bottom w:val="single" w:color="000000" w:sz="4" w:space="0"/>
            </w:tcBorders>
            <w:tcMar>
              <w:left w:w="103" w:type="dxa"/>
            </w:tcMar>
            <w:vAlign w:val="center"/>
          </w:tcPr>
          <w:p w14:paraId="6C0FD643">
            <w:pPr>
              <w:spacing w:line="360" w:lineRule="auto"/>
              <w:jc w:val="center"/>
              <w:rPr>
                <w:rFonts w:hint="eastAsia" w:ascii="仿宋_GB2312" w:hAnsi="宋体" w:eastAsia="仿宋_GB2312"/>
                <w:sz w:val="24"/>
                <w:szCs w:val="24"/>
                <w:highlight w:val="none"/>
              </w:rPr>
            </w:pPr>
            <w:r>
              <w:rPr>
                <w:rFonts w:hint="eastAsia" w:ascii="仿宋_GB2312" w:hAnsi="宋体" w:eastAsia="仿宋_GB2312"/>
                <w:sz w:val="24"/>
                <w:szCs w:val="24"/>
                <w:highlight w:val="none"/>
              </w:rPr>
              <w:t>1</w:t>
            </w:r>
          </w:p>
        </w:tc>
        <w:tc>
          <w:tcPr>
            <w:tcW w:w="1160" w:type="dxa"/>
            <w:tcBorders>
              <w:top w:val="single" w:color="000000" w:sz="4" w:space="0"/>
              <w:left w:val="single" w:color="000000" w:sz="4" w:space="0"/>
              <w:bottom w:val="single" w:color="000000" w:sz="4" w:space="0"/>
            </w:tcBorders>
            <w:tcMar>
              <w:left w:w="103" w:type="dxa"/>
            </w:tcMar>
            <w:vAlign w:val="center"/>
          </w:tcPr>
          <w:p w14:paraId="369BAA6C">
            <w:pPr>
              <w:spacing w:line="360" w:lineRule="auto"/>
              <w:jc w:val="center"/>
              <w:rPr>
                <w:rFonts w:hint="eastAsia" w:ascii="仿宋_GB2312" w:hAnsi="宋体" w:eastAsia="仿宋_GB2312"/>
                <w:sz w:val="24"/>
                <w:szCs w:val="24"/>
                <w:highlight w:val="none"/>
              </w:rPr>
            </w:pPr>
            <w:r>
              <w:rPr>
                <w:rFonts w:hint="eastAsia" w:ascii="宋体" w:hAnsi="宋体" w:eastAsia="宋体" w:cs="宋体"/>
                <w:sz w:val="24"/>
                <w:szCs w:val="24"/>
                <w:highlight w:val="none"/>
              </w:rPr>
              <w:t>投标分</w:t>
            </w:r>
          </w:p>
        </w:tc>
        <w:tc>
          <w:tcPr>
            <w:tcW w:w="800" w:type="dxa"/>
            <w:tcBorders>
              <w:top w:val="single" w:color="000000" w:sz="4" w:space="0"/>
              <w:left w:val="single" w:color="000000" w:sz="4" w:space="0"/>
              <w:bottom w:val="single" w:color="000000" w:sz="4" w:space="0"/>
            </w:tcBorders>
            <w:tcMar>
              <w:left w:w="103" w:type="dxa"/>
            </w:tcMar>
            <w:vAlign w:val="center"/>
          </w:tcPr>
          <w:p w14:paraId="0CE5C23C">
            <w:pPr>
              <w:spacing w:line="360" w:lineRule="auto"/>
              <w:jc w:val="center"/>
              <w:rPr>
                <w:rFonts w:hint="eastAsia" w:ascii="仿宋_GB2312" w:hAnsi="宋体" w:eastAsia="仿宋_GB2312"/>
                <w:sz w:val="24"/>
                <w:szCs w:val="24"/>
                <w:highlight w:val="none"/>
              </w:rPr>
            </w:pPr>
            <w:r>
              <w:rPr>
                <w:rFonts w:hint="eastAsia" w:ascii="宋体" w:hAnsi="宋体" w:eastAsia="宋体" w:cs="宋体"/>
                <w:sz w:val="24"/>
                <w:szCs w:val="24"/>
                <w:highlight w:val="none"/>
              </w:rPr>
              <w:t>50分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655938D5">
            <w:pPr>
              <w:spacing w:line="360" w:lineRule="auto"/>
              <w:ind w:firstLine="480" w:firstLineChars="200"/>
              <w:rPr>
                <w:rFonts w:ascii="宋体" w:hAnsi="宋体"/>
                <w:sz w:val="24"/>
                <w:highlight w:val="none"/>
              </w:rPr>
            </w:pPr>
            <w:r>
              <w:rPr>
                <w:rFonts w:hint="eastAsia" w:ascii="宋体" w:hAnsi="宋体"/>
                <w:sz w:val="24"/>
                <w:highlight w:val="none"/>
              </w:rPr>
              <w:t>价格分应当采用低价优先法计算，即满足招标文件要求且最后报价最低的价格为评标基准价，其价格分为满分。其他供应商的价格分统一按照下列公式计算：</w:t>
            </w:r>
          </w:p>
          <w:p w14:paraId="2AE636B2">
            <w:pPr>
              <w:spacing w:line="360" w:lineRule="auto"/>
              <w:ind w:firstLine="480" w:firstLineChars="200"/>
              <w:rPr>
                <w:rFonts w:ascii="宋体" w:hAnsi="宋体"/>
                <w:sz w:val="24"/>
                <w:highlight w:val="none"/>
              </w:rPr>
            </w:pPr>
            <w:r>
              <w:rPr>
                <w:rFonts w:hint="eastAsia" w:ascii="宋体" w:hAnsi="宋体"/>
                <w:sz w:val="24"/>
                <w:highlight w:val="none"/>
              </w:rPr>
              <w:t>报价得分=（评标基准价/最后报价）×100×</w:t>
            </w:r>
            <w:r>
              <w:rPr>
                <w:rFonts w:hint="eastAsia" w:ascii="宋体" w:hAnsi="宋体" w:eastAsia="宋体"/>
                <w:sz w:val="24"/>
                <w:highlight w:val="none"/>
              </w:rPr>
              <w:t>5</w:t>
            </w:r>
            <w:r>
              <w:rPr>
                <w:rFonts w:hint="eastAsia" w:ascii="宋体" w:hAnsi="宋体"/>
                <w:sz w:val="24"/>
                <w:highlight w:val="none"/>
              </w:rPr>
              <w:t>0%，评审过程中，不得去掉最后报价中的最高报价和最低报价。（保留到小数点后两位，第三位四舍五入。）</w:t>
            </w:r>
          </w:p>
          <w:p w14:paraId="5CCD130B">
            <w:pPr>
              <w:spacing w:line="360" w:lineRule="auto"/>
              <w:ind w:firstLine="480" w:firstLineChars="200"/>
              <w:rPr>
                <w:rFonts w:ascii="宋体"/>
                <w:b/>
                <w:sz w:val="24"/>
                <w:highlight w:val="none"/>
              </w:rPr>
            </w:pPr>
            <w:r>
              <w:rPr>
                <w:rFonts w:hint="eastAsia" w:ascii="宋体" w:hAnsi="宋体"/>
                <w:sz w:val="24"/>
                <w:highlight w:val="none"/>
              </w:rPr>
              <w:t>如报价出现异常，评标委员会由权要求相应投标人作出说明，如说明理由不合理或不说明理由，评标委员会有权将该投标人投标视为废标</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426078AB">
            <w:pPr>
              <w:spacing w:line="360" w:lineRule="auto"/>
              <w:rPr>
                <w:rFonts w:hint="eastAsia" w:ascii="仿宋_GB2312" w:hAnsi="宋体" w:eastAsia="仿宋_GB2312"/>
                <w:sz w:val="24"/>
                <w:szCs w:val="24"/>
                <w:highlight w:val="none"/>
              </w:rPr>
            </w:pPr>
          </w:p>
        </w:tc>
      </w:tr>
    </w:tbl>
    <w:p w14:paraId="0C91BAE1">
      <w:pPr>
        <w:spacing w:line="360" w:lineRule="auto"/>
        <w:rPr>
          <w:sz w:val="28"/>
          <w:szCs w:val="36"/>
        </w:rPr>
      </w:pPr>
    </w:p>
    <w:p w14:paraId="4DBAFE0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7.定标办法</w:t>
      </w:r>
    </w:p>
    <w:p w14:paraId="19B0973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7.1总得分</w:t>
      </w:r>
    </w:p>
    <w:p w14:paraId="26A684D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7.1各投标人得分 =（商务分+</w:t>
      </w:r>
      <w:r>
        <w:rPr>
          <w:rFonts w:hint="eastAsia" w:ascii="宋体" w:hAnsi="宋体"/>
          <w:color w:val="auto"/>
          <w:sz w:val="24"/>
        </w:rPr>
        <w:t>技术</w:t>
      </w:r>
      <w:r>
        <w:rPr>
          <w:rFonts w:hint="eastAsia" w:ascii="宋体" w:hAnsi="宋体" w:eastAsia="宋体" w:cs="宋体"/>
          <w:color w:val="auto"/>
          <w:sz w:val="24"/>
        </w:rPr>
        <w:t>分+价格分）。</w:t>
      </w:r>
    </w:p>
    <w:p w14:paraId="5D4397E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7.2评委评审打分、计分过程中各项分数均取小数点后两位，小数点后第三位四舍五入。根据各评委的打分结果，在计算投标人得分时，对评委的技术部分的打分结果分别汇总，再进行算术平均，计算出各有效投标人的得分。</w:t>
      </w:r>
    </w:p>
    <w:p w14:paraId="05276AA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8.评标小组评委依据得分高低顺序依次确定中标候选人，评分以得分最高者作为第一中标候选人。如果出现并列得分最高，则确定价格较低者排名在前；价格投标仍相同时则采用抽签方式现场确定中标候选人。</w:t>
      </w:r>
    </w:p>
    <w:p w14:paraId="5433A4E4">
      <w:pPr>
        <w:spacing w:line="360" w:lineRule="auto"/>
        <w:ind w:firstLine="480" w:firstLineChars="200"/>
        <w:rPr>
          <w:rFonts w:eastAsia="宋体"/>
        </w:rPr>
        <w:sectPr>
          <w:headerReference r:id="rId6" w:type="default"/>
          <w:footerReference r:id="rId7" w:type="default"/>
          <w:pgSz w:w="11907" w:h="16839"/>
          <w:pgMar w:top="1432" w:right="1335" w:bottom="1201" w:left="1389" w:header="852" w:footer="1021" w:gutter="0"/>
          <w:cols w:space="720" w:num="1"/>
        </w:sectPr>
      </w:pPr>
      <w:r>
        <w:rPr>
          <w:rFonts w:hint="eastAsia" w:ascii="宋体" w:hAnsi="宋体" w:eastAsia="宋体" w:cs="宋体"/>
          <w:color w:val="auto"/>
          <w:sz w:val="24"/>
        </w:rPr>
        <w:t>9.中标人因不可抗力或者自身原因放弃中标资格或者不能履行合同的，招标人可取消其中标资格，中标人还应对招标人造成的损失予以赔偿。同时，招标人可以视情况与排位在中标人之后第一位的中标候选人签订合同，以此类推</w:t>
      </w:r>
    </w:p>
    <w:p w14:paraId="5C49B450">
      <w:pPr>
        <w:pStyle w:val="2"/>
        <w:ind w:firstLine="0" w:firstLineChars="0"/>
        <w:rPr>
          <w:rFonts w:hint="eastAsia" w:ascii="宋体" w:hAnsi="宋体" w:eastAsia="宋体" w:cs="宋体"/>
          <w:sz w:val="24"/>
          <w:szCs w:val="24"/>
        </w:rPr>
      </w:pPr>
    </w:p>
    <w:p w14:paraId="12975A13">
      <w:pPr>
        <w:widowControl w:val="0"/>
        <w:kinsoku/>
        <w:autoSpaceDE/>
        <w:autoSpaceDN/>
        <w:adjustRightInd/>
        <w:snapToGrid/>
        <w:spacing w:line="360" w:lineRule="auto"/>
        <w:jc w:val="center"/>
        <w:textAlignment w:val="auto"/>
        <w:rPr>
          <w:b/>
          <w:color w:val="auto"/>
          <w:sz w:val="32"/>
          <w:szCs w:val="22"/>
        </w:rPr>
      </w:pPr>
      <w:r>
        <w:rPr>
          <w:rFonts w:hint="eastAsia"/>
          <w:b/>
          <w:color w:val="auto"/>
          <w:sz w:val="32"/>
          <w:szCs w:val="22"/>
        </w:rPr>
        <w:t>设备采购合同</w:t>
      </w:r>
    </w:p>
    <w:p w14:paraId="53674BCA">
      <w:pPr>
        <w:widowControl w:val="0"/>
        <w:kinsoku/>
        <w:autoSpaceDE/>
        <w:autoSpaceDN/>
        <w:adjustRightInd/>
        <w:snapToGrid/>
        <w:spacing w:line="360" w:lineRule="auto"/>
        <w:textAlignment w:val="auto"/>
        <w:rPr>
          <w:rFonts w:ascii="宋体"/>
          <w:b/>
          <w:color w:val="auto"/>
        </w:rPr>
      </w:pPr>
      <w:r>
        <w:rPr>
          <w:rFonts w:hint="eastAsia" w:ascii="宋体"/>
          <w:b/>
          <w:color w:val="auto"/>
        </w:rPr>
        <w:t>合同编号：                                         合同履行地：</w:t>
      </w:r>
      <w:r>
        <w:rPr>
          <w:rFonts w:hint="eastAsia" w:ascii="宋体"/>
          <w:b/>
          <w:bCs/>
          <w:color w:val="auto"/>
        </w:rPr>
        <w:t>福建省三明市沙县</w:t>
      </w:r>
    </w:p>
    <w:p w14:paraId="3CD369C3">
      <w:pPr>
        <w:widowControl w:val="0"/>
        <w:kinsoku/>
        <w:autoSpaceDE/>
        <w:autoSpaceDN/>
        <w:adjustRightInd/>
        <w:snapToGrid/>
        <w:spacing w:line="360" w:lineRule="auto"/>
        <w:textAlignment w:val="auto"/>
        <w:rPr>
          <w:rFonts w:ascii="宋体" w:hAnsi="宋体" w:cs="宋体"/>
          <w:b/>
          <w:bCs/>
          <w:color w:val="auto"/>
        </w:rPr>
      </w:pPr>
      <w:r>
        <w:rPr>
          <w:rFonts w:hint="eastAsia" w:ascii="宋体" w:hAnsi="宋体" w:cs="宋体"/>
          <w:b/>
          <w:bCs/>
          <w:color w:val="auto"/>
        </w:rPr>
        <w:t xml:space="preserve">采购方（甲方）：中国机械总院集团                    </w:t>
      </w:r>
      <w:r>
        <w:rPr>
          <w:rFonts w:hint="eastAsia" w:ascii="宋体"/>
          <w:b/>
          <w:bCs/>
          <w:color w:val="auto"/>
        </w:rPr>
        <w:t>签定地点：福建省三明市沙县</w:t>
      </w:r>
      <w:r>
        <w:rPr>
          <w:rFonts w:ascii="宋体"/>
          <w:b/>
          <w:bCs/>
          <w:color w:val="auto"/>
        </w:rPr>
        <w:t xml:space="preserve"> </w:t>
      </w:r>
    </w:p>
    <w:p w14:paraId="158D2E77">
      <w:pPr>
        <w:widowControl w:val="0"/>
        <w:kinsoku/>
        <w:autoSpaceDE/>
        <w:autoSpaceDN/>
        <w:adjustRightInd/>
        <w:snapToGrid/>
        <w:spacing w:line="360" w:lineRule="auto"/>
        <w:ind w:firstLine="840" w:firstLineChars="400"/>
        <w:textAlignment w:val="auto"/>
        <w:rPr>
          <w:rFonts w:hint="eastAsia" w:ascii="宋体" w:hAnsi="宋体" w:eastAsia="宋体" w:cs="宋体"/>
          <w:b/>
          <w:bCs/>
          <w:color w:val="auto"/>
        </w:rPr>
      </w:pPr>
      <w:r>
        <w:rPr>
          <w:rFonts w:hint="eastAsia" w:ascii="宋体" w:hAnsi="宋体" w:cs="宋体"/>
          <w:b/>
          <w:bCs/>
          <w:color w:val="auto"/>
        </w:rPr>
        <w:t xml:space="preserve">海西（福建）分院有限公司     </w:t>
      </w:r>
    </w:p>
    <w:p w14:paraId="643C4FCA">
      <w:pPr>
        <w:widowControl w:val="0"/>
        <w:kinsoku/>
        <w:autoSpaceDE/>
        <w:autoSpaceDN/>
        <w:adjustRightInd/>
        <w:snapToGrid/>
        <w:spacing w:line="360" w:lineRule="auto"/>
        <w:textAlignment w:val="auto"/>
        <w:rPr>
          <w:rFonts w:hint="eastAsia" w:ascii="宋体" w:hAnsi="宋体" w:eastAsia="宋体" w:cs="宋体"/>
          <w:color w:val="auto"/>
        </w:rPr>
      </w:pPr>
      <w:r>
        <w:rPr>
          <w:rFonts w:hint="eastAsia" w:ascii="宋体" w:hAnsi="宋体" w:cs="宋体"/>
          <w:b/>
          <w:bCs/>
          <w:color w:val="auto"/>
        </w:rPr>
        <w:t xml:space="preserve">供货方（乙方）：         有限公司 </w:t>
      </w:r>
      <w:r>
        <w:rPr>
          <w:rFonts w:hint="eastAsia" w:ascii="宋体" w:hAnsi="宋体" w:cs="宋体"/>
          <w:color w:val="auto"/>
        </w:rPr>
        <w:t xml:space="preserve">                   </w:t>
      </w:r>
      <w:r>
        <w:rPr>
          <w:rFonts w:hint="eastAsia" w:ascii="宋体"/>
          <w:b/>
          <w:color w:val="auto"/>
        </w:rPr>
        <w:t>签定日期：    年   月     日</w:t>
      </w:r>
    </w:p>
    <w:p w14:paraId="78CDD9F0">
      <w:pPr>
        <w:widowControl w:val="0"/>
        <w:kinsoku/>
        <w:autoSpaceDE/>
        <w:autoSpaceDN/>
        <w:adjustRightInd/>
        <w:snapToGrid/>
        <w:spacing w:line="360" w:lineRule="auto"/>
        <w:ind w:firstLine="440"/>
        <w:textAlignment w:val="auto"/>
        <w:rPr>
          <w:rFonts w:hint="eastAsia" w:ascii="宋体" w:hAnsi="宋体" w:eastAsia="宋体" w:cs="宋体"/>
          <w:color w:val="auto"/>
        </w:rPr>
      </w:pPr>
      <w:r>
        <w:rPr>
          <w:rFonts w:hint="eastAsia" w:ascii="宋体" w:hAnsi="宋体" w:eastAsia="宋体" w:cs="宋体"/>
          <w:color w:val="auto"/>
        </w:rPr>
        <w:t>根据中华人民共和国</w:t>
      </w:r>
      <w:r>
        <w:rPr>
          <w:rFonts w:hint="eastAsia" w:ascii="宋体" w:hAnsi="宋体" w:cs="宋体"/>
          <w:color w:val="auto"/>
        </w:rPr>
        <w:t>民法典</w:t>
      </w:r>
      <w:r>
        <w:rPr>
          <w:rFonts w:hint="eastAsia" w:ascii="宋体" w:hAnsi="宋体" w:eastAsia="宋体" w:cs="宋体"/>
          <w:color w:val="auto"/>
        </w:rPr>
        <w:t>和有关政策规定，根据</w:t>
      </w:r>
      <w:r>
        <w:rPr>
          <w:rFonts w:hint="eastAsia" w:ascii="宋体" w:hAnsi="宋体" w:cs="宋体"/>
          <w:color w:val="auto"/>
        </w:rPr>
        <w:t>双方需求</w:t>
      </w:r>
      <w:r>
        <w:rPr>
          <w:rFonts w:hint="eastAsia" w:ascii="宋体" w:hAnsi="宋体" w:eastAsia="宋体" w:cs="宋体"/>
          <w:color w:val="auto"/>
        </w:rPr>
        <w:t>，经双方协商一致签订本合同。</w:t>
      </w:r>
    </w:p>
    <w:p w14:paraId="0C2EB910">
      <w:pPr>
        <w:widowControl w:val="0"/>
        <w:numPr>
          <w:ilvl w:val="0"/>
          <w:numId w:val="2"/>
        </w:numPr>
        <w:kinsoku/>
        <w:autoSpaceDE/>
        <w:autoSpaceDN/>
        <w:adjustRightInd/>
        <w:snapToGrid/>
        <w:spacing w:line="360" w:lineRule="auto"/>
        <w:textAlignment w:val="auto"/>
        <w:rPr>
          <w:rFonts w:hint="eastAsia" w:ascii="宋体" w:hAnsi="宋体" w:eastAsia="宋体" w:cs="宋体"/>
          <w:b/>
          <w:bCs/>
          <w:color w:val="auto"/>
        </w:rPr>
      </w:pPr>
      <w:r>
        <w:rPr>
          <w:rFonts w:hint="eastAsia" w:ascii="宋体" w:hAnsi="宋体" w:cs="宋体"/>
          <w:b/>
          <w:bCs/>
          <w:color w:val="auto"/>
        </w:rPr>
        <w:t>产品</w:t>
      </w:r>
      <w:r>
        <w:rPr>
          <w:rFonts w:hint="eastAsia" w:ascii="宋体" w:hAnsi="宋体" w:eastAsia="宋体" w:cs="宋体"/>
          <w:b/>
          <w:bCs/>
          <w:color w:val="auto"/>
        </w:rPr>
        <w:t>名称、规格、数量、价格</w:t>
      </w:r>
    </w:p>
    <w:tbl>
      <w:tblPr>
        <w:tblStyle w:val="14"/>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85"/>
        <w:gridCol w:w="2693"/>
        <w:gridCol w:w="850"/>
        <w:gridCol w:w="1418"/>
        <w:gridCol w:w="1417"/>
      </w:tblGrid>
      <w:tr w14:paraId="7C21C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709" w:type="dxa"/>
            <w:vAlign w:val="center"/>
          </w:tcPr>
          <w:p w14:paraId="777E4B70">
            <w:pPr>
              <w:widowControl w:val="0"/>
              <w:spacing w:before="120" w:line="360" w:lineRule="exact"/>
              <w:jc w:val="center"/>
              <w:rPr>
                <w:rFonts w:hint="eastAsia" w:cs="Times New Roman" w:asciiTheme="minorEastAsia" w:hAnsiTheme="minorEastAsia" w:eastAsiaTheme="minorEastAsia"/>
                <w:color w:val="auto"/>
                <w:sz w:val="23"/>
                <w:szCs w:val="23"/>
              </w:rPr>
            </w:pPr>
            <w:r>
              <w:rPr>
                <w:rFonts w:cs="Times New Roman" w:asciiTheme="minorEastAsia" w:hAnsiTheme="minorEastAsia" w:eastAsiaTheme="minorEastAsia"/>
                <w:color w:val="auto"/>
                <w:sz w:val="23"/>
                <w:szCs w:val="23"/>
              </w:rPr>
              <w:t>序号</w:t>
            </w:r>
          </w:p>
        </w:tc>
        <w:tc>
          <w:tcPr>
            <w:tcW w:w="1985" w:type="dxa"/>
            <w:vAlign w:val="center"/>
          </w:tcPr>
          <w:p w14:paraId="43210378">
            <w:pPr>
              <w:widowControl w:val="0"/>
              <w:spacing w:before="120" w:line="360" w:lineRule="exact"/>
              <w:jc w:val="center"/>
              <w:rPr>
                <w:rFonts w:hint="eastAsia" w:cs="Times New Roman" w:asciiTheme="minorEastAsia" w:hAnsiTheme="minorEastAsia" w:eastAsiaTheme="minorEastAsia"/>
                <w:color w:val="auto"/>
                <w:sz w:val="23"/>
                <w:szCs w:val="23"/>
              </w:rPr>
            </w:pPr>
            <w:r>
              <w:rPr>
                <w:rFonts w:hint="eastAsia" w:cs="Times New Roman" w:asciiTheme="minorEastAsia" w:hAnsiTheme="minorEastAsia" w:eastAsiaTheme="minorEastAsia"/>
                <w:color w:val="auto"/>
                <w:sz w:val="23"/>
                <w:szCs w:val="23"/>
              </w:rPr>
              <w:t>产品品名</w:t>
            </w:r>
          </w:p>
        </w:tc>
        <w:tc>
          <w:tcPr>
            <w:tcW w:w="2693" w:type="dxa"/>
            <w:vAlign w:val="center"/>
          </w:tcPr>
          <w:p w14:paraId="648EEF21">
            <w:pPr>
              <w:widowControl w:val="0"/>
              <w:spacing w:before="120" w:line="360" w:lineRule="exact"/>
              <w:jc w:val="center"/>
              <w:rPr>
                <w:rFonts w:hint="eastAsia" w:cs="Times New Roman" w:asciiTheme="minorEastAsia" w:hAnsiTheme="minorEastAsia" w:eastAsiaTheme="minorEastAsia"/>
                <w:color w:val="auto"/>
                <w:sz w:val="23"/>
                <w:szCs w:val="23"/>
              </w:rPr>
            </w:pPr>
            <w:r>
              <w:rPr>
                <w:rFonts w:hint="eastAsia" w:cs="Times New Roman" w:asciiTheme="minorEastAsia" w:hAnsiTheme="minorEastAsia" w:eastAsiaTheme="minorEastAsia"/>
                <w:color w:val="auto"/>
                <w:sz w:val="23"/>
                <w:szCs w:val="23"/>
              </w:rPr>
              <w:t>产品</w:t>
            </w:r>
            <w:r>
              <w:rPr>
                <w:rFonts w:cs="Times New Roman" w:asciiTheme="minorEastAsia" w:hAnsiTheme="minorEastAsia" w:eastAsiaTheme="minorEastAsia"/>
                <w:color w:val="auto"/>
                <w:sz w:val="23"/>
                <w:szCs w:val="23"/>
              </w:rPr>
              <w:t>规格型号</w:t>
            </w:r>
          </w:p>
          <w:p w14:paraId="5A78AB57">
            <w:pPr>
              <w:widowControl w:val="0"/>
              <w:spacing w:before="120" w:line="360" w:lineRule="exact"/>
              <w:jc w:val="center"/>
              <w:rPr>
                <w:rFonts w:hint="eastAsia" w:cs="Times New Roman" w:asciiTheme="minorEastAsia" w:hAnsiTheme="minorEastAsia" w:eastAsiaTheme="minorEastAsia"/>
                <w:color w:val="auto"/>
                <w:sz w:val="23"/>
                <w:szCs w:val="23"/>
              </w:rPr>
            </w:pPr>
            <w:r>
              <w:rPr>
                <w:rFonts w:hint="eastAsia" w:cs="Times New Roman" w:asciiTheme="minorEastAsia" w:hAnsiTheme="minorEastAsia" w:eastAsiaTheme="minorEastAsia"/>
                <w:color w:val="auto"/>
                <w:sz w:val="23"/>
                <w:szCs w:val="23"/>
              </w:rPr>
              <w:t>（基本配置及主要性能）</w:t>
            </w:r>
          </w:p>
        </w:tc>
        <w:tc>
          <w:tcPr>
            <w:tcW w:w="850" w:type="dxa"/>
            <w:vAlign w:val="center"/>
          </w:tcPr>
          <w:p w14:paraId="62520717">
            <w:pPr>
              <w:widowControl w:val="0"/>
              <w:spacing w:before="120" w:line="360" w:lineRule="exact"/>
              <w:jc w:val="center"/>
              <w:rPr>
                <w:rFonts w:hint="eastAsia" w:cs="Times New Roman" w:asciiTheme="minorEastAsia" w:hAnsiTheme="minorEastAsia" w:eastAsiaTheme="minorEastAsia"/>
                <w:color w:val="auto"/>
                <w:sz w:val="23"/>
                <w:szCs w:val="23"/>
              </w:rPr>
            </w:pPr>
            <w:r>
              <w:rPr>
                <w:rFonts w:cs="Times New Roman" w:asciiTheme="minorEastAsia" w:hAnsiTheme="minorEastAsia" w:eastAsiaTheme="minorEastAsia"/>
                <w:color w:val="auto"/>
                <w:sz w:val="23"/>
                <w:szCs w:val="23"/>
              </w:rPr>
              <w:t>数量</w:t>
            </w:r>
          </w:p>
        </w:tc>
        <w:tc>
          <w:tcPr>
            <w:tcW w:w="1418" w:type="dxa"/>
            <w:vAlign w:val="center"/>
          </w:tcPr>
          <w:p w14:paraId="7FE6D910">
            <w:pPr>
              <w:widowControl w:val="0"/>
              <w:spacing w:before="120" w:line="360" w:lineRule="exact"/>
              <w:jc w:val="center"/>
              <w:rPr>
                <w:rFonts w:hint="eastAsia" w:cs="Times New Roman" w:asciiTheme="minorEastAsia" w:hAnsiTheme="minorEastAsia" w:eastAsiaTheme="minorEastAsia"/>
                <w:color w:val="auto"/>
                <w:sz w:val="23"/>
                <w:szCs w:val="23"/>
              </w:rPr>
            </w:pPr>
            <w:r>
              <w:rPr>
                <w:rFonts w:hint="eastAsia" w:cs="Times New Roman" w:asciiTheme="minorEastAsia" w:hAnsiTheme="minorEastAsia" w:eastAsiaTheme="minorEastAsia"/>
                <w:color w:val="auto"/>
                <w:sz w:val="23"/>
                <w:szCs w:val="23"/>
              </w:rPr>
              <w:t>含税单价</w:t>
            </w:r>
          </w:p>
        </w:tc>
        <w:tc>
          <w:tcPr>
            <w:tcW w:w="1417" w:type="dxa"/>
            <w:vAlign w:val="center"/>
          </w:tcPr>
          <w:p w14:paraId="5622479A">
            <w:pPr>
              <w:widowControl w:val="0"/>
              <w:spacing w:before="120" w:line="360" w:lineRule="exact"/>
              <w:jc w:val="center"/>
              <w:rPr>
                <w:rFonts w:hint="eastAsia" w:cs="Times New Roman" w:asciiTheme="minorEastAsia" w:hAnsiTheme="minorEastAsia" w:eastAsiaTheme="minorEastAsia"/>
                <w:color w:val="auto"/>
                <w:sz w:val="23"/>
                <w:szCs w:val="23"/>
              </w:rPr>
            </w:pPr>
            <w:r>
              <w:rPr>
                <w:rFonts w:hint="eastAsia" w:cs="Times New Roman" w:asciiTheme="minorEastAsia" w:hAnsiTheme="minorEastAsia" w:eastAsiaTheme="minorEastAsia"/>
                <w:color w:val="auto"/>
                <w:sz w:val="23"/>
                <w:szCs w:val="23"/>
              </w:rPr>
              <w:t>价税合计</w:t>
            </w:r>
          </w:p>
        </w:tc>
      </w:tr>
      <w:tr w14:paraId="5494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09" w:type="dxa"/>
            <w:vAlign w:val="center"/>
          </w:tcPr>
          <w:p w14:paraId="367B3484">
            <w:pPr>
              <w:spacing w:before="120" w:line="360" w:lineRule="exact"/>
              <w:jc w:val="center"/>
              <w:rPr>
                <w:rFonts w:hint="eastAsia" w:cs="Times New Roman" w:asciiTheme="minorEastAsia" w:hAnsiTheme="minorEastAsia" w:eastAsiaTheme="minorEastAsia"/>
                <w:color w:val="auto"/>
                <w:sz w:val="23"/>
                <w:szCs w:val="23"/>
              </w:rPr>
            </w:pPr>
          </w:p>
        </w:tc>
        <w:tc>
          <w:tcPr>
            <w:tcW w:w="1985" w:type="dxa"/>
            <w:vAlign w:val="center"/>
          </w:tcPr>
          <w:p w14:paraId="2F9A8EC9">
            <w:pPr>
              <w:keepNext/>
              <w:keepLines/>
              <w:widowControl w:val="0"/>
              <w:spacing w:before="120" w:line="360" w:lineRule="exact"/>
              <w:outlineLvl w:val="0"/>
              <w:rPr>
                <w:rFonts w:hint="eastAsia" w:cs="Times New Roman" w:asciiTheme="minorEastAsia" w:hAnsiTheme="minorEastAsia" w:eastAsiaTheme="minorEastAsia"/>
                <w:color w:val="auto"/>
                <w:sz w:val="23"/>
                <w:szCs w:val="23"/>
              </w:rPr>
            </w:pPr>
          </w:p>
        </w:tc>
        <w:tc>
          <w:tcPr>
            <w:tcW w:w="2693" w:type="dxa"/>
            <w:vAlign w:val="center"/>
          </w:tcPr>
          <w:p w14:paraId="57647EE6">
            <w:pPr>
              <w:keepNext/>
              <w:keepLines/>
              <w:widowControl w:val="0"/>
              <w:spacing w:before="120" w:line="360" w:lineRule="exact"/>
              <w:outlineLvl w:val="0"/>
              <w:rPr>
                <w:rFonts w:hint="eastAsia" w:cs="Times New Roman" w:asciiTheme="minorEastAsia" w:hAnsiTheme="minorEastAsia" w:eastAsiaTheme="minorEastAsia"/>
                <w:color w:val="auto"/>
                <w:sz w:val="23"/>
                <w:szCs w:val="23"/>
              </w:rPr>
            </w:pPr>
          </w:p>
        </w:tc>
        <w:tc>
          <w:tcPr>
            <w:tcW w:w="850" w:type="dxa"/>
            <w:vAlign w:val="center"/>
          </w:tcPr>
          <w:p w14:paraId="45651B24">
            <w:pPr>
              <w:keepNext/>
              <w:keepLines/>
              <w:widowControl w:val="0"/>
              <w:spacing w:before="120" w:line="360" w:lineRule="exact"/>
              <w:jc w:val="both"/>
              <w:outlineLvl w:val="0"/>
              <w:rPr>
                <w:rFonts w:hint="eastAsia" w:cs="Times New Roman" w:asciiTheme="minorEastAsia" w:hAnsiTheme="minorEastAsia" w:eastAsiaTheme="minorEastAsia"/>
                <w:color w:val="auto"/>
                <w:sz w:val="23"/>
                <w:szCs w:val="23"/>
              </w:rPr>
            </w:pPr>
          </w:p>
        </w:tc>
        <w:tc>
          <w:tcPr>
            <w:tcW w:w="1418" w:type="dxa"/>
            <w:vAlign w:val="center"/>
          </w:tcPr>
          <w:p w14:paraId="52CF08E5">
            <w:pPr>
              <w:keepNext/>
              <w:keepLines/>
              <w:widowControl w:val="0"/>
              <w:spacing w:before="120" w:line="360" w:lineRule="exact"/>
              <w:jc w:val="both"/>
              <w:outlineLvl w:val="0"/>
              <w:rPr>
                <w:rFonts w:hint="eastAsia" w:cs="Times New Roman" w:asciiTheme="minorEastAsia" w:hAnsiTheme="minorEastAsia" w:eastAsiaTheme="minorEastAsia"/>
                <w:color w:val="auto"/>
                <w:sz w:val="23"/>
                <w:szCs w:val="23"/>
              </w:rPr>
            </w:pPr>
          </w:p>
        </w:tc>
        <w:tc>
          <w:tcPr>
            <w:tcW w:w="1417" w:type="dxa"/>
            <w:vAlign w:val="center"/>
          </w:tcPr>
          <w:p w14:paraId="6B952AB5">
            <w:pPr>
              <w:keepNext/>
              <w:keepLines/>
              <w:widowControl w:val="0"/>
              <w:spacing w:before="120" w:line="360" w:lineRule="exact"/>
              <w:jc w:val="both"/>
              <w:outlineLvl w:val="0"/>
              <w:rPr>
                <w:rFonts w:hint="eastAsia" w:cs="Times New Roman" w:asciiTheme="minorEastAsia" w:hAnsiTheme="minorEastAsia" w:eastAsiaTheme="minorEastAsia"/>
                <w:color w:val="auto"/>
                <w:sz w:val="23"/>
                <w:szCs w:val="23"/>
              </w:rPr>
            </w:pPr>
          </w:p>
        </w:tc>
      </w:tr>
      <w:tr w14:paraId="08C59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072" w:type="dxa"/>
            <w:gridSpan w:val="6"/>
            <w:vAlign w:val="center"/>
          </w:tcPr>
          <w:p w14:paraId="56D01BC1">
            <w:pPr>
              <w:spacing w:before="120" w:line="360" w:lineRule="exact"/>
              <w:rPr>
                <w:rFonts w:hint="eastAsia" w:cs="宋体" w:asciiTheme="minorEastAsia" w:hAnsiTheme="minorEastAsia" w:eastAsiaTheme="minorEastAsia"/>
                <w:color w:val="auto"/>
                <w:sz w:val="23"/>
                <w:szCs w:val="23"/>
              </w:rPr>
            </w:pPr>
            <w:r>
              <w:rPr>
                <w:rFonts w:hint="eastAsia" w:cs="Times New Roman" w:asciiTheme="minorEastAsia" w:hAnsiTheme="minorEastAsia" w:eastAsiaTheme="minorEastAsia"/>
                <w:color w:val="auto"/>
                <w:sz w:val="23"/>
                <w:szCs w:val="23"/>
              </w:rPr>
              <w:t>合计（未税金额）：   元</w:t>
            </w:r>
          </w:p>
        </w:tc>
      </w:tr>
      <w:tr w14:paraId="4C9BA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072" w:type="dxa"/>
            <w:gridSpan w:val="6"/>
            <w:vAlign w:val="center"/>
          </w:tcPr>
          <w:p w14:paraId="1FC7BC9E">
            <w:pPr>
              <w:spacing w:before="120" w:line="360" w:lineRule="exact"/>
              <w:rPr>
                <w:rFonts w:hint="eastAsia" w:cs="Times New Roman" w:asciiTheme="minorEastAsia" w:hAnsiTheme="minorEastAsia" w:eastAsiaTheme="minorEastAsia"/>
                <w:color w:val="auto"/>
                <w:sz w:val="23"/>
                <w:szCs w:val="23"/>
              </w:rPr>
            </w:pPr>
            <w:r>
              <w:rPr>
                <w:rFonts w:hint="eastAsia" w:cs="Times New Roman" w:asciiTheme="minorEastAsia" w:hAnsiTheme="minorEastAsia" w:eastAsiaTheme="minorEastAsia"/>
                <w:color w:val="auto"/>
                <w:sz w:val="23"/>
                <w:szCs w:val="23"/>
              </w:rPr>
              <w:t xml:space="preserve">合计（含税金额）：   </w:t>
            </w:r>
            <w:r>
              <w:rPr>
                <w:rFonts w:hint="eastAsia"/>
                <w:color w:val="auto"/>
              </w:rPr>
              <w:t xml:space="preserve">元 </w:t>
            </w:r>
            <w:r>
              <w:rPr>
                <w:color w:val="auto"/>
              </w:rPr>
              <w:t xml:space="preserve">  </w:t>
            </w:r>
            <w:r>
              <w:rPr>
                <w:rFonts w:hint="eastAsia"/>
                <w:color w:val="auto"/>
              </w:rPr>
              <w:t xml:space="preserve">     ，大写：       元整</w:t>
            </w:r>
          </w:p>
        </w:tc>
      </w:tr>
    </w:tbl>
    <w:p w14:paraId="0ADF4394">
      <w:pPr>
        <w:widowControl w:val="0"/>
        <w:kinsoku/>
        <w:autoSpaceDE/>
        <w:autoSpaceDN/>
        <w:adjustRightInd/>
        <w:snapToGrid/>
        <w:spacing w:line="360" w:lineRule="auto"/>
        <w:ind w:firstLine="420" w:firstLineChars="200"/>
        <w:textAlignment w:val="auto"/>
        <w:rPr>
          <w:rFonts w:ascii="宋体" w:hAnsi="宋体" w:cs="宋体"/>
          <w:color w:val="auto"/>
        </w:rPr>
      </w:pPr>
      <w:r>
        <w:rPr>
          <w:rFonts w:hint="eastAsia" w:ascii="宋体" w:hAnsi="宋体" w:cs="宋体"/>
          <w:color w:val="auto"/>
        </w:rPr>
        <w:t>注：币种为人民币 ，若双方无其他明确约定，上述价格含13%增值税。本合同以未税金额为准，如开票时税率发生变更，含税金额应做相应调整。</w:t>
      </w:r>
    </w:p>
    <w:p w14:paraId="32302E94">
      <w:pPr>
        <w:widowControl w:val="0"/>
        <w:numPr>
          <w:ilvl w:val="0"/>
          <w:numId w:val="3"/>
        </w:numPr>
        <w:kinsoku/>
        <w:autoSpaceDE/>
        <w:autoSpaceDN/>
        <w:adjustRightInd/>
        <w:snapToGrid/>
        <w:spacing w:line="360" w:lineRule="auto"/>
        <w:textAlignment w:val="auto"/>
        <w:rPr>
          <w:rFonts w:ascii="宋体" w:hAnsi="宋体" w:cs="宋体"/>
          <w:b/>
          <w:bCs/>
          <w:color w:val="auto"/>
        </w:rPr>
      </w:pPr>
      <w:r>
        <w:rPr>
          <w:rFonts w:hint="eastAsia" w:ascii="宋体" w:hAnsi="宋体" w:eastAsia="宋体" w:cs="宋体"/>
          <w:b/>
          <w:bCs/>
          <w:color w:val="auto"/>
        </w:rPr>
        <w:t>质量要求技术标准</w:t>
      </w:r>
      <w:r>
        <w:rPr>
          <w:rFonts w:hint="eastAsia" w:ascii="宋体" w:hAnsi="宋体" w:cs="宋体"/>
          <w:b/>
          <w:bCs/>
          <w:color w:val="auto"/>
        </w:rPr>
        <w:t>及质保期：</w:t>
      </w:r>
    </w:p>
    <w:p w14:paraId="7D77A4E0">
      <w:pPr>
        <w:widowControl w:val="0"/>
        <w:kinsoku/>
        <w:autoSpaceDE/>
        <w:autoSpaceDN/>
        <w:adjustRightInd/>
        <w:snapToGrid/>
        <w:spacing w:line="360" w:lineRule="auto"/>
        <w:ind w:firstLine="420" w:firstLineChars="200"/>
        <w:textAlignment w:val="auto"/>
        <w:rPr>
          <w:rFonts w:ascii="宋体" w:hAnsi="宋体" w:cs="宋体"/>
          <w:color w:val="auto"/>
        </w:rPr>
      </w:pPr>
      <w:r>
        <w:rPr>
          <w:rFonts w:hint="eastAsia" w:ascii="宋体" w:hAnsi="宋体" w:cs="宋体"/>
          <w:color w:val="auto"/>
        </w:rPr>
        <w:t>1、按国家标准验收，乙方随货附生产方产品检测报告。</w:t>
      </w:r>
    </w:p>
    <w:p w14:paraId="71FD1FA8">
      <w:pPr>
        <w:widowControl w:val="0"/>
        <w:kinsoku/>
        <w:autoSpaceDE/>
        <w:autoSpaceDN/>
        <w:adjustRightInd/>
        <w:snapToGrid/>
        <w:spacing w:line="360" w:lineRule="auto"/>
        <w:ind w:firstLine="460" w:firstLineChars="200"/>
        <w:textAlignment w:val="auto"/>
        <w:rPr>
          <w:rFonts w:ascii="宋体" w:hAnsi="宋体" w:cs="宋体"/>
          <w:color w:val="auto"/>
        </w:rPr>
      </w:pPr>
      <w:r>
        <w:rPr>
          <w:rFonts w:hint="eastAsia" w:asciiTheme="minorEastAsia" w:hAnsiTheme="minorEastAsia" w:eastAsiaTheme="minorEastAsia"/>
          <w:color w:val="auto"/>
          <w:sz w:val="23"/>
          <w:szCs w:val="23"/>
        </w:rPr>
        <w:t>2、</w:t>
      </w:r>
      <w:r>
        <w:rPr>
          <w:rFonts w:hint="eastAsia" w:ascii="宋体" w:hAnsi="宋体" w:cs="宋体"/>
          <w:color w:val="auto"/>
        </w:rPr>
        <w:t>产品质保期为最终验收之日起12个月。</w:t>
      </w:r>
    </w:p>
    <w:p w14:paraId="16B45AA8">
      <w:pPr>
        <w:widowControl w:val="0"/>
        <w:kinsoku/>
        <w:autoSpaceDE/>
        <w:autoSpaceDN/>
        <w:adjustRightInd/>
        <w:snapToGrid/>
        <w:spacing w:line="360" w:lineRule="auto"/>
        <w:ind w:firstLine="460" w:firstLineChars="200"/>
        <w:textAlignment w:val="auto"/>
        <w:rPr>
          <w:rFonts w:ascii="宋体" w:hAnsi="宋体" w:cs="宋体"/>
          <w:color w:val="auto"/>
        </w:rPr>
      </w:pPr>
      <w:r>
        <w:rPr>
          <w:rFonts w:hint="eastAsia" w:asciiTheme="minorEastAsia" w:hAnsiTheme="minorEastAsia" w:eastAsiaTheme="minorEastAsia"/>
          <w:color w:val="auto"/>
          <w:sz w:val="23"/>
          <w:szCs w:val="23"/>
        </w:rPr>
        <w:t>3、</w:t>
      </w:r>
      <w:r>
        <w:rPr>
          <w:rFonts w:hint="eastAsia" w:ascii="宋体" w:hAnsi="宋体" w:cs="宋体"/>
          <w:color w:val="auto"/>
        </w:rPr>
        <w:t>乙方作出书面质保承诺的，乙方应严格履行。</w:t>
      </w:r>
    </w:p>
    <w:p w14:paraId="2006A4CB">
      <w:pPr>
        <w:widowControl w:val="0"/>
        <w:kinsoku/>
        <w:autoSpaceDE/>
        <w:autoSpaceDN/>
        <w:adjustRightInd/>
        <w:snapToGrid/>
        <w:spacing w:line="360" w:lineRule="auto"/>
        <w:ind w:firstLine="420" w:firstLineChars="200"/>
        <w:textAlignment w:val="auto"/>
        <w:rPr>
          <w:rFonts w:ascii="宋体" w:hAnsi="宋体" w:cs="宋体"/>
          <w:color w:val="auto"/>
        </w:rPr>
      </w:pPr>
      <w:r>
        <w:rPr>
          <w:rFonts w:hint="eastAsia" w:ascii="宋体" w:hAnsi="宋体" w:cs="宋体"/>
          <w:color w:val="auto"/>
        </w:rPr>
        <w:t>4、双方确定的其他要求：</w:t>
      </w:r>
    </w:p>
    <w:p w14:paraId="39ECB758">
      <w:pPr>
        <w:widowControl w:val="0"/>
        <w:numPr>
          <w:ilvl w:val="0"/>
          <w:numId w:val="4"/>
        </w:numPr>
        <w:kinsoku/>
        <w:autoSpaceDE/>
        <w:autoSpaceDN/>
        <w:adjustRightInd/>
        <w:snapToGrid/>
        <w:spacing w:line="360" w:lineRule="auto"/>
        <w:ind w:left="5060" w:hanging="5042" w:hangingChars="2400"/>
        <w:jc w:val="both"/>
        <w:textAlignment w:val="auto"/>
        <w:rPr>
          <w:rFonts w:ascii="宋体" w:hAnsi="宋体" w:cs="宋体"/>
          <w:color w:val="auto"/>
        </w:rPr>
      </w:pPr>
      <w:r>
        <w:rPr>
          <w:rFonts w:hint="eastAsia" w:ascii="宋体" w:hAnsi="宋体" w:cs="宋体"/>
          <w:b/>
          <w:bCs/>
          <w:color w:val="auto"/>
        </w:rPr>
        <w:t>交货时间及交提货地点、方式：</w:t>
      </w:r>
    </w:p>
    <w:p w14:paraId="49427C44">
      <w:pPr>
        <w:widowControl w:val="0"/>
        <w:kinsoku/>
        <w:autoSpaceDE/>
        <w:autoSpaceDN/>
        <w:adjustRightInd/>
        <w:snapToGrid/>
        <w:spacing w:line="360" w:lineRule="auto"/>
        <w:ind w:firstLine="420" w:firstLineChars="200"/>
        <w:jc w:val="both"/>
        <w:textAlignment w:val="auto"/>
        <w:rPr>
          <w:rFonts w:ascii="宋体" w:hAnsi="宋体" w:cs="宋体"/>
          <w:color w:val="auto"/>
        </w:rPr>
      </w:pPr>
      <w:r>
        <w:rPr>
          <w:rFonts w:hint="eastAsia" w:ascii="宋体" w:hAnsi="宋体" w:cs="宋体"/>
          <w:color w:val="auto"/>
        </w:rPr>
        <w:t xml:space="preserve">1、乙方自合同生效后     天内向甲方交付货物，乙方在交货前有提前告知义务，应提前24小时通知甲方，若未提前通知造成甲方无法签收，由此产生的损失由乙方承担。（对于分期交付货物的情况，合同中需明确约定交货的次数，每次交货的时间及数量）     </w:t>
      </w:r>
    </w:p>
    <w:p w14:paraId="16A6199E">
      <w:pPr>
        <w:widowControl w:val="0"/>
        <w:kinsoku/>
        <w:autoSpaceDE/>
        <w:autoSpaceDN/>
        <w:adjustRightInd/>
        <w:snapToGrid/>
        <w:spacing w:line="360" w:lineRule="auto"/>
        <w:ind w:firstLine="420" w:firstLineChars="200"/>
        <w:jc w:val="both"/>
        <w:textAlignment w:val="auto"/>
        <w:rPr>
          <w:rFonts w:ascii="宋体" w:hAnsi="宋体" w:cs="宋体"/>
          <w:color w:val="auto"/>
        </w:rPr>
      </w:pPr>
      <w:r>
        <w:rPr>
          <w:rFonts w:hint="eastAsia" w:ascii="宋体" w:hAnsi="宋体" w:cs="宋体"/>
          <w:color w:val="auto"/>
        </w:rPr>
        <w:t>2、乙方负责送货至甲方指定地点：       ，     方自行卸货。</w:t>
      </w:r>
    </w:p>
    <w:p w14:paraId="7D317EDD">
      <w:pPr>
        <w:widowControl w:val="0"/>
        <w:kinsoku/>
        <w:autoSpaceDE/>
        <w:autoSpaceDN/>
        <w:adjustRightInd/>
        <w:snapToGrid/>
        <w:spacing w:line="360" w:lineRule="auto"/>
        <w:ind w:firstLine="420" w:firstLineChars="200"/>
        <w:jc w:val="both"/>
        <w:textAlignment w:val="auto"/>
        <w:rPr>
          <w:rFonts w:ascii="宋体" w:hAnsi="宋体" w:cs="宋体"/>
          <w:color w:val="auto"/>
        </w:rPr>
      </w:pPr>
      <w:r>
        <w:rPr>
          <w:rFonts w:hint="eastAsia" w:ascii="宋体" w:hAnsi="宋体" w:cs="宋体"/>
          <w:color w:val="auto"/>
        </w:rPr>
        <w:t xml:space="preserve">3、甲方指定接货联系人：          ，电话：           。     </w:t>
      </w:r>
    </w:p>
    <w:p w14:paraId="6EDCD486">
      <w:pPr>
        <w:widowControl w:val="0"/>
        <w:kinsoku/>
        <w:autoSpaceDE/>
        <w:autoSpaceDN/>
        <w:adjustRightInd/>
        <w:snapToGrid/>
        <w:spacing w:line="360" w:lineRule="auto"/>
        <w:jc w:val="both"/>
        <w:textAlignment w:val="auto"/>
        <w:rPr>
          <w:rFonts w:ascii="宋体" w:hAnsi="宋体" w:cs="宋体"/>
          <w:b/>
          <w:bCs/>
          <w:color w:val="auto"/>
        </w:rPr>
      </w:pPr>
      <w:r>
        <w:rPr>
          <w:rFonts w:hint="eastAsia" w:ascii="宋体" w:hAnsi="宋体" w:cs="宋体"/>
          <w:b/>
          <w:bCs/>
          <w:color w:val="auto"/>
        </w:rPr>
        <w:t>四、产品验收：</w:t>
      </w:r>
    </w:p>
    <w:p w14:paraId="28D21CC8">
      <w:pPr>
        <w:widowControl w:val="0"/>
        <w:kinsoku/>
        <w:autoSpaceDE/>
        <w:autoSpaceDN/>
        <w:adjustRightInd/>
        <w:snapToGrid/>
        <w:spacing w:line="360" w:lineRule="auto"/>
        <w:ind w:firstLine="420" w:firstLineChars="200"/>
        <w:jc w:val="both"/>
        <w:textAlignment w:val="auto"/>
        <w:rPr>
          <w:rFonts w:ascii="宋体" w:hAnsi="宋体" w:cs="宋体"/>
          <w:color w:val="auto"/>
        </w:rPr>
      </w:pPr>
      <w:r>
        <w:rPr>
          <w:rFonts w:hint="eastAsia" w:ascii="宋体" w:hAnsi="宋体" w:cs="宋体"/>
          <w:color w:val="auto"/>
        </w:rPr>
        <w:t>1、甲方于产品到达指定交货地点之日起     （小时/天）内进行验收完毕，由甲方指派（姓名、联系电话）              ，乙方指派（姓名、联系电话）                在场共同签署正式验收报告结果为“合格”时，方视为产品通过的正式验收。（此处合格指的是规格和数量及破损，不包括产品功能是否合格）</w:t>
      </w:r>
    </w:p>
    <w:p w14:paraId="1FA6E120">
      <w:pPr>
        <w:widowControl w:val="0"/>
        <w:kinsoku/>
        <w:autoSpaceDE/>
        <w:autoSpaceDN/>
        <w:adjustRightInd/>
        <w:snapToGrid/>
        <w:spacing w:line="360" w:lineRule="auto"/>
        <w:ind w:firstLine="420" w:firstLineChars="200"/>
        <w:jc w:val="both"/>
        <w:textAlignment w:val="auto"/>
        <w:rPr>
          <w:rFonts w:ascii="宋体" w:hAnsi="宋体" w:cs="宋体"/>
          <w:color w:val="auto"/>
        </w:rPr>
      </w:pPr>
      <w:r>
        <w:rPr>
          <w:rFonts w:hint="eastAsia" w:ascii="宋体" w:hAnsi="宋体" w:cs="宋体"/>
          <w:color w:val="auto"/>
        </w:rPr>
        <w:t>2、如产品存在重大不符合约定的，经乙方两次整改后仍不满足要求的，甲方有权拒绝接收产品或退回产品或解除合同，并由乙方承担因此给甲方造成的损失。</w:t>
      </w:r>
    </w:p>
    <w:p w14:paraId="60175281">
      <w:pPr>
        <w:widowControl w:val="0"/>
        <w:kinsoku/>
        <w:autoSpaceDE/>
        <w:autoSpaceDN/>
        <w:adjustRightInd/>
        <w:snapToGrid/>
        <w:spacing w:line="360" w:lineRule="auto"/>
        <w:ind w:firstLine="420" w:firstLineChars="200"/>
        <w:jc w:val="both"/>
        <w:textAlignment w:val="auto"/>
        <w:rPr>
          <w:rFonts w:ascii="宋体" w:hAnsi="宋体" w:cs="宋体"/>
          <w:color w:val="auto"/>
        </w:rPr>
      </w:pPr>
      <w:r>
        <w:rPr>
          <w:rFonts w:hint="eastAsia" w:ascii="宋体" w:hAnsi="宋体" w:cs="宋体"/>
          <w:color w:val="auto"/>
        </w:rPr>
        <w:t>3、甲方对产品的验收合格并不免除乙方的产品质量保证期限内的相责任。</w:t>
      </w:r>
    </w:p>
    <w:p w14:paraId="79C4FC72">
      <w:pPr>
        <w:widowControl w:val="0"/>
        <w:kinsoku/>
        <w:autoSpaceDE/>
        <w:autoSpaceDN/>
        <w:adjustRightInd/>
        <w:snapToGrid/>
        <w:spacing w:line="360" w:lineRule="auto"/>
        <w:ind w:left="5060" w:hanging="5042" w:hangingChars="2400"/>
        <w:textAlignment w:val="auto"/>
        <w:rPr>
          <w:rFonts w:ascii="宋体"/>
          <w:color w:val="auto"/>
        </w:rPr>
      </w:pPr>
      <w:r>
        <w:rPr>
          <w:rFonts w:hint="eastAsia" w:ascii="宋体" w:hAnsi="宋体" w:cs="宋体"/>
          <w:b/>
          <w:bCs/>
          <w:color w:val="auto"/>
        </w:rPr>
        <w:t>五、</w:t>
      </w:r>
      <w:r>
        <w:rPr>
          <w:rFonts w:hint="eastAsia" w:ascii="宋体" w:hAnsi="宋体" w:eastAsia="宋体" w:cs="宋体"/>
          <w:b/>
          <w:bCs/>
          <w:color w:val="auto"/>
        </w:rPr>
        <w:t>运输方式和费用承担：</w:t>
      </w:r>
      <w:r>
        <w:rPr>
          <w:rFonts w:hint="eastAsia" w:ascii="宋体" w:hAnsi="宋体" w:cs="宋体"/>
          <w:color w:val="auto"/>
        </w:rPr>
        <w:t xml:space="preserve">       ，    方承担运费。</w:t>
      </w:r>
    </w:p>
    <w:p w14:paraId="15159C99">
      <w:pPr>
        <w:widowControl w:val="0"/>
        <w:kinsoku/>
        <w:autoSpaceDE/>
        <w:autoSpaceDN/>
        <w:adjustRightInd/>
        <w:snapToGrid/>
        <w:spacing w:line="360" w:lineRule="auto"/>
        <w:textAlignment w:val="auto"/>
        <w:rPr>
          <w:rFonts w:hint="eastAsia" w:ascii="宋体" w:hAnsi="宋体" w:eastAsia="宋体" w:cs="宋体"/>
          <w:b/>
          <w:bCs/>
          <w:color w:val="auto"/>
        </w:rPr>
      </w:pPr>
      <w:r>
        <w:rPr>
          <w:rFonts w:hint="eastAsia" w:ascii="宋体" w:hAnsi="宋体" w:cs="宋体"/>
          <w:b/>
          <w:bCs/>
          <w:color w:val="auto"/>
        </w:rPr>
        <w:t>六</w:t>
      </w:r>
      <w:r>
        <w:rPr>
          <w:rFonts w:hint="eastAsia" w:ascii="宋体" w:hAnsi="宋体" w:eastAsia="宋体" w:cs="宋体"/>
          <w:b/>
          <w:bCs/>
          <w:color w:val="auto"/>
        </w:rPr>
        <w:t>：</w:t>
      </w:r>
      <w:r>
        <w:rPr>
          <w:rFonts w:ascii="宋体" w:hAnsi="宋体" w:eastAsia="宋体" w:cs="宋体"/>
          <w:b/>
          <w:bCs/>
          <w:color w:val="auto"/>
        </w:rPr>
        <w:t>价款支付</w:t>
      </w:r>
      <w:r>
        <w:rPr>
          <w:rFonts w:hint="eastAsia" w:ascii="宋体" w:hAnsi="宋体" w:eastAsia="宋体" w:cs="宋体"/>
          <w:b/>
          <w:bCs/>
          <w:color w:val="auto"/>
        </w:rPr>
        <w:t>：</w:t>
      </w:r>
    </w:p>
    <w:p w14:paraId="792564BB">
      <w:pPr>
        <w:widowControl w:val="0"/>
        <w:kinsoku/>
        <w:autoSpaceDE/>
        <w:autoSpaceDN/>
        <w:adjustRightInd/>
        <w:snapToGrid/>
        <w:spacing w:line="360" w:lineRule="auto"/>
        <w:ind w:firstLine="420" w:firstLineChars="200"/>
        <w:textAlignment w:val="auto"/>
        <w:rPr>
          <w:rFonts w:ascii="宋体"/>
          <w:color w:val="auto"/>
        </w:rPr>
      </w:pPr>
      <w:r>
        <w:rPr>
          <w:rFonts w:hint="eastAsia" w:ascii="宋体"/>
          <w:color w:val="auto"/>
        </w:rPr>
        <w:t>结算方式：</w:t>
      </w:r>
      <w:r>
        <w:rPr>
          <w:rFonts w:ascii="宋体"/>
          <w:color w:val="auto"/>
        </w:rPr>
        <w:t>□</w:t>
      </w:r>
      <w:r>
        <w:rPr>
          <w:rFonts w:hint="eastAsia" w:ascii="宋体"/>
          <w:color w:val="auto"/>
        </w:rPr>
        <w:t xml:space="preserve">银行转账   </w:t>
      </w:r>
      <w:r>
        <w:rPr>
          <w:rFonts w:ascii="宋体"/>
          <w:color w:val="auto"/>
        </w:rPr>
        <w:t>□</w:t>
      </w:r>
      <w:r>
        <w:rPr>
          <w:rFonts w:hint="eastAsia" w:ascii="宋体"/>
          <w:color w:val="auto"/>
        </w:rPr>
        <w:t>银行电子承兑</w:t>
      </w:r>
    </w:p>
    <w:p w14:paraId="2A966141">
      <w:pPr>
        <w:widowControl w:val="0"/>
        <w:kinsoku/>
        <w:autoSpaceDE/>
        <w:autoSpaceDN/>
        <w:adjustRightInd/>
        <w:snapToGrid/>
        <w:spacing w:line="360" w:lineRule="auto"/>
        <w:ind w:firstLine="420" w:firstLineChars="200"/>
        <w:textAlignment w:val="auto"/>
        <w:rPr>
          <w:rFonts w:ascii="宋体"/>
          <w:color w:val="auto"/>
        </w:rPr>
      </w:pPr>
      <w:r>
        <w:rPr>
          <w:rFonts w:hint="eastAsia" w:ascii="宋体"/>
          <w:color w:val="auto"/>
        </w:rPr>
        <w:t>甲乙</w:t>
      </w:r>
      <w:r>
        <w:rPr>
          <w:rFonts w:ascii="宋体"/>
          <w:color w:val="auto"/>
        </w:rPr>
        <w:t>双方同意按以下方式支付合同价款：</w:t>
      </w:r>
    </w:p>
    <w:p w14:paraId="661DD640">
      <w:pPr>
        <w:widowControl w:val="0"/>
        <w:kinsoku/>
        <w:autoSpaceDE/>
        <w:autoSpaceDN/>
        <w:adjustRightInd/>
        <w:snapToGrid/>
        <w:spacing w:line="360" w:lineRule="auto"/>
        <w:ind w:firstLine="420" w:firstLineChars="200"/>
        <w:textAlignment w:val="auto"/>
        <w:rPr>
          <w:rFonts w:ascii="宋体"/>
          <w:color w:val="auto"/>
        </w:rPr>
      </w:pPr>
      <w:r>
        <w:rPr>
          <w:rFonts w:ascii="宋体"/>
          <w:color w:val="auto"/>
        </w:rPr>
        <w:t>□ 一次性付款</w:t>
      </w:r>
    </w:p>
    <w:p w14:paraId="21B134B6">
      <w:pPr>
        <w:widowControl w:val="0"/>
        <w:kinsoku/>
        <w:autoSpaceDE/>
        <w:autoSpaceDN/>
        <w:adjustRightInd/>
        <w:snapToGrid/>
        <w:spacing w:line="360" w:lineRule="auto"/>
        <w:ind w:firstLine="420" w:firstLineChars="200"/>
        <w:textAlignment w:val="auto"/>
        <w:rPr>
          <w:rFonts w:ascii="宋体"/>
          <w:color w:val="auto"/>
        </w:rPr>
      </w:pPr>
      <w:r>
        <w:rPr>
          <w:rFonts w:ascii="宋体"/>
          <w:color w:val="auto"/>
        </w:rPr>
        <w:t>合同产品验收合格且</w:t>
      </w:r>
      <w:r>
        <w:rPr>
          <w:rFonts w:hint="eastAsia" w:ascii="宋体"/>
          <w:color w:val="auto"/>
        </w:rPr>
        <w:t>甲方</w:t>
      </w:r>
      <w:r>
        <w:rPr>
          <w:rFonts w:ascii="宋体"/>
          <w:color w:val="auto"/>
        </w:rPr>
        <w:t>收到</w:t>
      </w:r>
      <w:r>
        <w:rPr>
          <w:rFonts w:hint="eastAsia" w:ascii="宋体"/>
          <w:color w:val="auto"/>
        </w:rPr>
        <w:t>乙方</w:t>
      </w:r>
      <w:r>
        <w:rPr>
          <w:rFonts w:ascii="宋体"/>
          <w:color w:val="auto"/>
        </w:rPr>
        <w:t>开具合格全额增值税发票后</w:t>
      </w:r>
      <w:r>
        <w:rPr>
          <w:rFonts w:hint="eastAsia" w:ascii="宋体"/>
          <w:color w:val="auto"/>
        </w:rPr>
        <w:t xml:space="preserve">      </w:t>
      </w:r>
      <w:r>
        <w:rPr>
          <w:rFonts w:ascii="宋体"/>
          <w:color w:val="auto"/>
        </w:rPr>
        <w:t>天内付款。</w:t>
      </w:r>
    </w:p>
    <w:p w14:paraId="263FED54">
      <w:pPr>
        <w:widowControl w:val="0"/>
        <w:kinsoku/>
        <w:autoSpaceDE/>
        <w:autoSpaceDN/>
        <w:adjustRightInd/>
        <w:snapToGrid/>
        <w:spacing w:line="360" w:lineRule="auto"/>
        <w:ind w:firstLine="420" w:firstLineChars="200"/>
        <w:textAlignment w:val="auto"/>
        <w:rPr>
          <w:rFonts w:ascii="宋体"/>
          <w:color w:val="auto"/>
        </w:rPr>
      </w:pPr>
      <w:r>
        <w:rPr>
          <w:rFonts w:ascii="宋体"/>
          <w:color w:val="auto"/>
        </w:rPr>
        <w:t>□ 分期支付</w:t>
      </w:r>
    </w:p>
    <w:p w14:paraId="7D8086BB">
      <w:pPr>
        <w:widowControl w:val="0"/>
        <w:numPr>
          <w:ilvl w:val="0"/>
          <w:numId w:val="5"/>
        </w:numPr>
        <w:kinsoku/>
        <w:autoSpaceDE/>
        <w:autoSpaceDN/>
        <w:adjustRightInd/>
        <w:snapToGrid/>
        <w:spacing w:line="360" w:lineRule="auto"/>
        <w:ind w:firstLine="420" w:firstLineChars="200"/>
        <w:textAlignment w:val="auto"/>
        <w:rPr>
          <w:rFonts w:ascii="宋体"/>
          <w:color w:val="auto"/>
        </w:rPr>
      </w:pPr>
      <w:r>
        <w:rPr>
          <w:rFonts w:ascii="宋体"/>
          <w:color w:val="auto"/>
        </w:rPr>
        <w:t>本合同生效后</w:t>
      </w:r>
      <w:r>
        <w:rPr>
          <w:rFonts w:hint="eastAsia" w:ascii="宋体"/>
          <w:color w:val="auto"/>
        </w:rPr>
        <w:t xml:space="preserve">     </w:t>
      </w:r>
      <w:r>
        <w:rPr>
          <w:rFonts w:ascii="宋体"/>
          <w:color w:val="auto"/>
        </w:rPr>
        <w:t>天内，</w:t>
      </w:r>
      <w:r>
        <w:rPr>
          <w:rFonts w:hint="eastAsia" w:ascii="宋体"/>
          <w:color w:val="auto"/>
        </w:rPr>
        <w:t>甲方</w:t>
      </w:r>
      <w:r>
        <w:rPr>
          <w:rFonts w:ascii="宋体"/>
          <w:color w:val="auto"/>
        </w:rPr>
        <w:t>向</w:t>
      </w:r>
      <w:r>
        <w:rPr>
          <w:rFonts w:hint="eastAsia" w:ascii="宋体"/>
          <w:color w:val="auto"/>
        </w:rPr>
        <w:t>乙方</w:t>
      </w:r>
      <w:r>
        <w:rPr>
          <w:rFonts w:ascii="宋体"/>
          <w:color w:val="auto"/>
        </w:rPr>
        <w:t>支付合同总价款的</w:t>
      </w:r>
      <w:r>
        <w:rPr>
          <w:rFonts w:hint="eastAsia" w:ascii="宋体"/>
          <w:color w:val="auto"/>
        </w:rPr>
        <w:t xml:space="preserve">      </w:t>
      </w:r>
      <w:r>
        <w:rPr>
          <w:rFonts w:ascii="宋体"/>
          <w:color w:val="auto"/>
        </w:rPr>
        <w:t>%款额，即</w:t>
      </w:r>
      <w:r>
        <w:rPr>
          <w:rFonts w:hint="eastAsia" w:ascii="宋体"/>
          <w:color w:val="auto"/>
        </w:rPr>
        <w:t xml:space="preserve">      </w:t>
      </w:r>
      <w:r>
        <w:rPr>
          <w:rFonts w:ascii="宋体"/>
          <w:color w:val="auto"/>
        </w:rPr>
        <w:t>元（大写人民币</w:t>
      </w:r>
      <w:r>
        <w:rPr>
          <w:rFonts w:hint="eastAsia" w:ascii="宋体"/>
          <w:color w:val="auto"/>
        </w:rPr>
        <w:t xml:space="preserve">         </w:t>
      </w:r>
      <w:r>
        <w:rPr>
          <w:rFonts w:ascii="宋体"/>
          <w:color w:val="auto"/>
        </w:rPr>
        <w:t>）作为预付款；</w:t>
      </w:r>
    </w:p>
    <w:p w14:paraId="46BD9E42">
      <w:pPr>
        <w:pStyle w:val="2"/>
        <w:ind w:firstLine="420"/>
      </w:pPr>
      <w:r>
        <w:rPr>
          <w:rFonts w:ascii="宋体"/>
          <w:color w:val="auto"/>
          <w:sz w:val="21"/>
          <w:szCs w:val="21"/>
        </w:rPr>
        <w:t>2、预验收合格发货前，由甲方支付合同总价款的</w:t>
      </w:r>
      <w:r>
        <w:rPr>
          <w:rFonts w:hint="eastAsia" w:ascii="宋体"/>
          <w:color w:val="auto"/>
          <w:sz w:val="21"/>
          <w:szCs w:val="21"/>
        </w:rPr>
        <w:t xml:space="preserve">      </w:t>
      </w:r>
      <w:r>
        <w:rPr>
          <w:rFonts w:ascii="宋体"/>
          <w:color w:val="auto"/>
          <w:sz w:val="21"/>
          <w:szCs w:val="21"/>
        </w:rPr>
        <w:t>%款额，即</w:t>
      </w:r>
      <w:r>
        <w:rPr>
          <w:rFonts w:hint="eastAsia" w:ascii="宋体"/>
          <w:color w:val="auto"/>
          <w:sz w:val="21"/>
          <w:szCs w:val="21"/>
        </w:rPr>
        <w:t xml:space="preserve">      </w:t>
      </w:r>
      <w:r>
        <w:rPr>
          <w:rFonts w:ascii="宋体"/>
          <w:color w:val="auto"/>
          <w:sz w:val="21"/>
          <w:szCs w:val="21"/>
        </w:rPr>
        <w:t>元（大写人民币</w:t>
      </w:r>
      <w:r>
        <w:rPr>
          <w:rFonts w:hint="eastAsia" w:ascii="宋体"/>
          <w:color w:val="auto"/>
          <w:sz w:val="21"/>
          <w:szCs w:val="21"/>
        </w:rPr>
        <w:t xml:space="preserve">         </w:t>
      </w:r>
      <w:r>
        <w:rPr>
          <w:rFonts w:ascii="宋体"/>
          <w:color w:val="auto"/>
          <w:sz w:val="21"/>
          <w:szCs w:val="21"/>
        </w:rPr>
        <w:t>）作为提货款</w:t>
      </w:r>
      <w:r>
        <w:t>；</w:t>
      </w:r>
    </w:p>
    <w:p w14:paraId="736D1A39">
      <w:pPr>
        <w:widowControl w:val="0"/>
        <w:numPr>
          <w:ilvl w:val="0"/>
          <w:numId w:val="5"/>
        </w:numPr>
        <w:kinsoku/>
        <w:autoSpaceDE/>
        <w:autoSpaceDN/>
        <w:adjustRightInd/>
        <w:snapToGrid/>
        <w:spacing w:line="360" w:lineRule="auto"/>
        <w:ind w:firstLine="420" w:firstLineChars="200"/>
        <w:textAlignment w:val="auto"/>
        <w:rPr>
          <w:rFonts w:ascii="宋体"/>
          <w:color w:val="auto"/>
        </w:rPr>
      </w:pPr>
      <w:r>
        <w:rPr>
          <w:rFonts w:ascii="宋体"/>
          <w:color w:val="auto"/>
        </w:rPr>
        <w:t>产品经</w:t>
      </w:r>
      <w:r>
        <w:rPr>
          <w:rFonts w:hint="eastAsia" w:ascii="宋体"/>
          <w:color w:val="auto"/>
        </w:rPr>
        <w:t>甲方</w:t>
      </w:r>
      <w:r>
        <w:rPr>
          <w:rFonts w:ascii="宋体"/>
          <w:color w:val="auto"/>
        </w:rPr>
        <w:t>验收入库且收到</w:t>
      </w:r>
      <w:r>
        <w:rPr>
          <w:rFonts w:hint="eastAsia" w:ascii="宋体"/>
          <w:color w:val="auto"/>
        </w:rPr>
        <w:t>乙方</w:t>
      </w:r>
      <w:r>
        <w:rPr>
          <w:rFonts w:ascii="宋体"/>
          <w:color w:val="auto"/>
        </w:rPr>
        <w:t>开具</w:t>
      </w:r>
      <w:r>
        <w:rPr>
          <w:rFonts w:hint="eastAsia" w:ascii="宋体"/>
          <w:color w:val="auto"/>
        </w:rPr>
        <w:t>的</w:t>
      </w:r>
      <w:r>
        <w:rPr>
          <w:rFonts w:ascii="宋体"/>
          <w:color w:val="auto"/>
        </w:rPr>
        <w:t>合同全额税率为13%的增值税专用发票后</w:t>
      </w:r>
      <w:r>
        <w:rPr>
          <w:rFonts w:hint="eastAsia" w:ascii="宋体"/>
          <w:color w:val="auto"/>
        </w:rPr>
        <w:t xml:space="preserve">      </w:t>
      </w:r>
      <w:r>
        <w:rPr>
          <w:rFonts w:ascii="宋体"/>
          <w:color w:val="auto"/>
        </w:rPr>
        <w:t>天内，由</w:t>
      </w:r>
      <w:r>
        <w:rPr>
          <w:rFonts w:hint="eastAsia" w:ascii="宋体"/>
          <w:color w:val="auto"/>
        </w:rPr>
        <w:t>甲方</w:t>
      </w:r>
      <w:r>
        <w:rPr>
          <w:rFonts w:ascii="宋体"/>
          <w:color w:val="auto"/>
        </w:rPr>
        <w:t>支付合同总价款</w:t>
      </w:r>
      <w:r>
        <w:rPr>
          <w:rFonts w:hint="eastAsia" w:ascii="宋体"/>
          <w:color w:val="auto"/>
        </w:rPr>
        <w:t xml:space="preserve">     </w:t>
      </w:r>
      <w:r>
        <w:rPr>
          <w:rFonts w:ascii="宋体"/>
          <w:color w:val="auto"/>
        </w:rPr>
        <w:t>%款额，即￥</w:t>
      </w:r>
      <w:r>
        <w:rPr>
          <w:rFonts w:hint="eastAsia" w:ascii="宋体"/>
          <w:color w:val="auto"/>
        </w:rPr>
        <w:t xml:space="preserve">      </w:t>
      </w:r>
      <w:r>
        <w:rPr>
          <w:rFonts w:ascii="宋体"/>
          <w:color w:val="auto"/>
        </w:rPr>
        <w:t>（大写人民币</w:t>
      </w:r>
      <w:r>
        <w:rPr>
          <w:rFonts w:hint="eastAsia" w:ascii="宋体"/>
          <w:color w:val="auto"/>
        </w:rPr>
        <w:t xml:space="preserve">         </w:t>
      </w:r>
      <w:r>
        <w:rPr>
          <w:rFonts w:ascii="宋体"/>
          <w:color w:val="auto"/>
        </w:rPr>
        <w:t>）作为到货款；</w:t>
      </w:r>
    </w:p>
    <w:p w14:paraId="3B93EB27">
      <w:pPr>
        <w:widowControl w:val="0"/>
        <w:numPr>
          <w:ilvl w:val="0"/>
          <w:numId w:val="5"/>
        </w:numPr>
        <w:kinsoku/>
        <w:autoSpaceDE/>
        <w:autoSpaceDN/>
        <w:adjustRightInd/>
        <w:snapToGrid/>
        <w:spacing w:line="360" w:lineRule="auto"/>
        <w:ind w:firstLine="420" w:firstLineChars="200"/>
        <w:textAlignment w:val="auto"/>
        <w:rPr>
          <w:rFonts w:ascii="宋体"/>
          <w:color w:val="auto"/>
        </w:rPr>
      </w:pPr>
      <w:r>
        <w:rPr>
          <w:rFonts w:ascii="宋体"/>
          <w:color w:val="auto"/>
        </w:rPr>
        <w:t>合同总价的</w:t>
      </w:r>
      <w:r>
        <w:rPr>
          <w:rFonts w:hint="eastAsia" w:ascii="宋体"/>
          <w:color w:val="auto"/>
        </w:rPr>
        <w:t xml:space="preserve">    </w:t>
      </w:r>
      <w:r>
        <w:rPr>
          <w:rFonts w:ascii="宋体"/>
          <w:color w:val="auto"/>
        </w:rPr>
        <w:t>%即￥</w:t>
      </w:r>
      <w:r>
        <w:rPr>
          <w:rFonts w:hint="eastAsia" w:ascii="宋体"/>
          <w:color w:val="auto"/>
        </w:rPr>
        <w:t xml:space="preserve">    </w:t>
      </w:r>
      <w:r>
        <w:rPr>
          <w:rFonts w:ascii="宋体"/>
          <w:color w:val="auto"/>
        </w:rPr>
        <w:t>（大写人民币</w:t>
      </w:r>
      <w:r>
        <w:rPr>
          <w:rFonts w:hint="eastAsia" w:ascii="宋体"/>
          <w:color w:val="auto"/>
        </w:rPr>
        <w:t xml:space="preserve">               </w:t>
      </w:r>
      <w:r>
        <w:rPr>
          <w:rFonts w:ascii="宋体"/>
          <w:color w:val="auto"/>
        </w:rPr>
        <w:t>）为产品的质保金，本合同约定的质保期满后</w:t>
      </w:r>
      <w:r>
        <w:rPr>
          <w:rFonts w:hint="eastAsia" w:ascii="宋体"/>
          <w:color w:val="auto"/>
        </w:rPr>
        <w:t xml:space="preserve">        </w:t>
      </w:r>
      <w:r>
        <w:rPr>
          <w:rFonts w:ascii="宋体"/>
          <w:color w:val="auto"/>
        </w:rPr>
        <w:t>天内，双方就合同产品若无未解决的质量问题，由</w:t>
      </w:r>
      <w:r>
        <w:rPr>
          <w:rFonts w:hint="eastAsia" w:ascii="宋体"/>
          <w:color w:val="auto"/>
        </w:rPr>
        <w:t>甲方</w:t>
      </w:r>
      <w:r>
        <w:rPr>
          <w:rFonts w:ascii="宋体"/>
          <w:color w:val="auto"/>
        </w:rPr>
        <w:t>支付</w:t>
      </w:r>
      <w:r>
        <w:rPr>
          <w:rFonts w:hint="eastAsia" w:ascii="宋体"/>
          <w:color w:val="auto"/>
        </w:rPr>
        <w:t>给乙方</w:t>
      </w:r>
      <w:r>
        <w:rPr>
          <w:rFonts w:ascii="宋体"/>
          <w:color w:val="auto"/>
        </w:rPr>
        <w:t>。</w:t>
      </w:r>
    </w:p>
    <w:p w14:paraId="34B1071E">
      <w:pPr>
        <w:widowControl w:val="0"/>
        <w:kinsoku/>
        <w:autoSpaceDE/>
        <w:autoSpaceDN/>
        <w:adjustRightInd/>
        <w:snapToGrid/>
        <w:spacing w:line="360" w:lineRule="auto"/>
        <w:ind w:firstLine="420" w:firstLineChars="200"/>
        <w:textAlignment w:val="auto"/>
        <w:rPr>
          <w:rFonts w:ascii="宋体"/>
          <w:color w:val="auto"/>
        </w:rPr>
      </w:pPr>
      <w:r>
        <w:rPr>
          <w:rFonts w:hint="eastAsia" w:ascii="宋体"/>
          <w:color w:val="auto"/>
        </w:rPr>
        <w:t>4、</w:t>
      </w:r>
      <w:r>
        <w:rPr>
          <w:rFonts w:ascii="宋体"/>
          <w:color w:val="auto"/>
        </w:rPr>
        <w:t>如乙方不开具或开具不合格的发票，甲方有权迟延支付应付款项直至乙方开具合格票据且不承担任何违约责任，且乙方的各项合同义务仍应按合同约定履行。</w:t>
      </w:r>
    </w:p>
    <w:p w14:paraId="066ADC79">
      <w:pPr>
        <w:widowControl w:val="0"/>
        <w:kinsoku/>
        <w:autoSpaceDE/>
        <w:autoSpaceDN/>
        <w:adjustRightInd/>
        <w:snapToGrid/>
        <w:spacing w:line="360" w:lineRule="auto"/>
        <w:ind w:firstLine="420" w:firstLineChars="200"/>
        <w:textAlignment w:val="auto"/>
        <w:rPr>
          <w:rFonts w:ascii="宋体"/>
          <w:color w:val="auto"/>
        </w:rPr>
      </w:pPr>
      <w:r>
        <w:rPr>
          <w:rFonts w:hint="eastAsia" w:ascii="宋体"/>
          <w:color w:val="auto"/>
        </w:rPr>
        <w:t>5、</w:t>
      </w:r>
      <w:r>
        <w:rPr>
          <w:rFonts w:ascii="宋体"/>
          <w:color w:val="auto"/>
        </w:rPr>
        <w:t>由于乙方开具发票不真实、不合格而引起的一切责任（包括商业责任和法律责任)和损失，由乙方承担。</w:t>
      </w:r>
    </w:p>
    <w:p w14:paraId="4C98C7E0">
      <w:pPr>
        <w:widowControl w:val="0"/>
        <w:kinsoku/>
        <w:autoSpaceDE/>
        <w:autoSpaceDN/>
        <w:adjustRightInd/>
        <w:snapToGrid/>
        <w:spacing w:line="360" w:lineRule="auto"/>
        <w:ind w:firstLine="420" w:firstLineChars="200"/>
        <w:textAlignment w:val="auto"/>
        <w:rPr>
          <w:rFonts w:ascii="宋体"/>
          <w:color w:val="auto"/>
        </w:rPr>
      </w:pPr>
      <w:r>
        <w:rPr>
          <w:rFonts w:hint="eastAsia" w:ascii="宋体"/>
          <w:color w:val="auto"/>
        </w:rPr>
        <w:t>6、</w:t>
      </w:r>
      <w:r>
        <w:rPr>
          <w:rFonts w:ascii="宋体"/>
          <w:color w:val="auto"/>
        </w:rPr>
        <w:t>双方开票信息如下：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3962"/>
        <w:gridCol w:w="3247"/>
      </w:tblGrid>
      <w:tr w14:paraId="2646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1C38C5E0">
            <w:pPr>
              <w:widowControl w:val="0"/>
              <w:kinsoku/>
              <w:autoSpaceDE/>
              <w:autoSpaceDN/>
              <w:adjustRightInd/>
              <w:snapToGrid/>
              <w:spacing w:line="360" w:lineRule="auto"/>
              <w:jc w:val="left"/>
              <w:textAlignment w:val="auto"/>
              <w:rPr>
                <w:rFonts w:ascii="宋体"/>
                <w:color w:val="auto"/>
              </w:rPr>
            </w:pPr>
          </w:p>
        </w:tc>
        <w:tc>
          <w:tcPr>
            <w:tcW w:w="3962" w:type="dxa"/>
          </w:tcPr>
          <w:p w14:paraId="490BF29F">
            <w:pPr>
              <w:widowControl w:val="0"/>
              <w:kinsoku/>
              <w:autoSpaceDE/>
              <w:autoSpaceDN/>
              <w:adjustRightInd/>
              <w:snapToGrid/>
              <w:spacing w:line="360" w:lineRule="auto"/>
              <w:jc w:val="left"/>
              <w:textAlignment w:val="auto"/>
              <w:rPr>
                <w:rFonts w:ascii="宋体"/>
                <w:color w:val="auto"/>
              </w:rPr>
            </w:pPr>
            <w:r>
              <w:rPr>
                <w:rFonts w:hint="eastAsia" w:ascii="宋体"/>
                <w:color w:val="auto"/>
              </w:rPr>
              <w:t>甲方：</w:t>
            </w:r>
          </w:p>
        </w:tc>
        <w:tc>
          <w:tcPr>
            <w:tcW w:w="3247" w:type="dxa"/>
          </w:tcPr>
          <w:p w14:paraId="6A67AC34">
            <w:pPr>
              <w:widowControl w:val="0"/>
              <w:kinsoku/>
              <w:autoSpaceDE/>
              <w:autoSpaceDN/>
              <w:adjustRightInd/>
              <w:snapToGrid/>
              <w:spacing w:line="360" w:lineRule="auto"/>
              <w:jc w:val="left"/>
              <w:textAlignment w:val="auto"/>
              <w:rPr>
                <w:rFonts w:ascii="宋体"/>
                <w:color w:val="auto"/>
              </w:rPr>
            </w:pPr>
            <w:r>
              <w:rPr>
                <w:rFonts w:hint="eastAsia" w:ascii="宋体"/>
                <w:color w:val="auto"/>
              </w:rPr>
              <w:t>乙方：</w:t>
            </w:r>
          </w:p>
        </w:tc>
      </w:tr>
      <w:tr w14:paraId="5D212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6FA106B8">
            <w:pPr>
              <w:widowControl w:val="0"/>
              <w:kinsoku/>
              <w:autoSpaceDE/>
              <w:autoSpaceDN/>
              <w:adjustRightInd/>
              <w:snapToGrid/>
              <w:spacing w:line="360" w:lineRule="auto"/>
              <w:jc w:val="center"/>
              <w:textAlignment w:val="auto"/>
              <w:rPr>
                <w:rFonts w:ascii="宋体"/>
                <w:color w:val="auto"/>
              </w:rPr>
            </w:pPr>
            <w:r>
              <w:rPr>
                <w:rFonts w:hint="eastAsia" w:ascii="宋体"/>
                <w:color w:val="auto"/>
              </w:rPr>
              <w:t>户  名</w:t>
            </w:r>
          </w:p>
        </w:tc>
        <w:tc>
          <w:tcPr>
            <w:tcW w:w="3962" w:type="dxa"/>
          </w:tcPr>
          <w:p w14:paraId="0F8BA95F">
            <w:pPr>
              <w:widowControl w:val="0"/>
              <w:kinsoku/>
              <w:autoSpaceDE/>
              <w:autoSpaceDN/>
              <w:adjustRightInd/>
              <w:snapToGrid/>
              <w:spacing w:line="360" w:lineRule="auto"/>
              <w:jc w:val="left"/>
              <w:textAlignment w:val="auto"/>
              <w:rPr>
                <w:rFonts w:ascii="宋体"/>
                <w:color w:val="auto"/>
              </w:rPr>
            </w:pPr>
            <w:r>
              <w:rPr>
                <w:rFonts w:hint="eastAsia" w:ascii="宋体"/>
                <w:color w:val="auto"/>
              </w:rPr>
              <w:t>中国机械总院集团海西（福建）分院有限公司</w:t>
            </w:r>
          </w:p>
        </w:tc>
        <w:tc>
          <w:tcPr>
            <w:tcW w:w="3247" w:type="dxa"/>
          </w:tcPr>
          <w:p w14:paraId="7BED63F8">
            <w:pPr>
              <w:widowControl w:val="0"/>
              <w:kinsoku/>
              <w:autoSpaceDE/>
              <w:autoSpaceDN/>
              <w:adjustRightInd/>
              <w:snapToGrid/>
              <w:spacing w:line="360" w:lineRule="auto"/>
              <w:jc w:val="left"/>
              <w:textAlignment w:val="auto"/>
              <w:rPr>
                <w:rFonts w:ascii="宋体"/>
                <w:color w:val="auto"/>
              </w:rPr>
            </w:pPr>
          </w:p>
        </w:tc>
      </w:tr>
      <w:tr w14:paraId="79F05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5BB0CACD">
            <w:pPr>
              <w:widowControl w:val="0"/>
              <w:kinsoku/>
              <w:autoSpaceDE/>
              <w:autoSpaceDN/>
              <w:adjustRightInd/>
              <w:snapToGrid/>
              <w:spacing w:line="360" w:lineRule="auto"/>
              <w:jc w:val="center"/>
              <w:textAlignment w:val="auto"/>
              <w:rPr>
                <w:rFonts w:ascii="宋体"/>
                <w:color w:val="auto"/>
              </w:rPr>
            </w:pPr>
            <w:r>
              <w:rPr>
                <w:rFonts w:hint="eastAsia" w:ascii="宋体"/>
                <w:color w:val="auto"/>
              </w:rPr>
              <w:t>开户行</w:t>
            </w:r>
          </w:p>
        </w:tc>
        <w:tc>
          <w:tcPr>
            <w:tcW w:w="3962" w:type="dxa"/>
          </w:tcPr>
          <w:p w14:paraId="2860F4D7">
            <w:pPr>
              <w:widowControl w:val="0"/>
              <w:kinsoku/>
              <w:autoSpaceDE/>
              <w:autoSpaceDN/>
              <w:adjustRightInd/>
              <w:snapToGrid/>
              <w:spacing w:line="360" w:lineRule="auto"/>
              <w:jc w:val="left"/>
              <w:textAlignment w:val="auto"/>
              <w:rPr>
                <w:rFonts w:ascii="宋体"/>
                <w:color w:val="auto"/>
              </w:rPr>
            </w:pPr>
            <w:r>
              <w:rPr>
                <w:rFonts w:hint="eastAsia" w:ascii="宋体"/>
                <w:color w:val="auto"/>
              </w:rPr>
              <w:t>中国农业银行沙县支行</w:t>
            </w:r>
          </w:p>
        </w:tc>
        <w:tc>
          <w:tcPr>
            <w:tcW w:w="3247" w:type="dxa"/>
          </w:tcPr>
          <w:p w14:paraId="2A9D91D5">
            <w:pPr>
              <w:widowControl w:val="0"/>
              <w:kinsoku/>
              <w:autoSpaceDE/>
              <w:autoSpaceDN/>
              <w:adjustRightInd/>
              <w:snapToGrid/>
              <w:spacing w:line="360" w:lineRule="auto"/>
              <w:jc w:val="left"/>
              <w:textAlignment w:val="auto"/>
              <w:rPr>
                <w:rFonts w:ascii="宋体"/>
                <w:color w:val="auto"/>
              </w:rPr>
            </w:pPr>
          </w:p>
        </w:tc>
      </w:tr>
      <w:tr w14:paraId="5D338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13F6B296">
            <w:pPr>
              <w:widowControl w:val="0"/>
              <w:kinsoku/>
              <w:autoSpaceDE/>
              <w:autoSpaceDN/>
              <w:adjustRightInd/>
              <w:snapToGrid/>
              <w:spacing w:line="360" w:lineRule="auto"/>
              <w:jc w:val="center"/>
              <w:textAlignment w:val="auto"/>
              <w:rPr>
                <w:rFonts w:ascii="宋体"/>
                <w:color w:val="auto"/>
              </w:rPr>
            </w:pPr>
            <w:r>
              <w:rPr>
                <w:rFonts w:hint="eastAsia" w:ascii="宋体"/>
                <w:color w:val="auto"/>
              </w:rPr>
              <w:t>账  号</w:t>
            </w:r>
          </w:p>
        </w:tc>
        <w:tc>
          <w:tcPr>
            <w:tcW w:w="3962" w:type="dxa"/>
          </w:tcPr>
          <w:p w14:paraId="7A2DD7AA">
            <w:pPr>
              <w:widowControl w:val="0"/>
              <w:kinsoku/>
              <w:autoSpaceDE/>
              <w:autoSpaceDN/>
              <w:adjustRightInd/>
              <w:snapToGrid/>
              <w:spacing w:line="360" w:lineRule="auto"/>
              <w:jc w:val="left"/>
              <w:textAlignment w:val="auto"/>
              <w:rPr>
                <w:rFonts w:ascii="宋体"/>
                <w:color w:val="auto"/>
              </w:rPr>
            </w:pPr>
            <w:r>
              <w:rPr>
                <w:rFonts w:ascii="宋体"/>
                <w:color w:val="auto"/>
              </w:rPr>
              <w:t>13840101040017600</w:t>
            </w:r>
          </w:p>
        </w:tc>
        <w:tc>
          <w:tcPr>
            <w:tcW w:w="3247" w:type="dxa"/>
          </w:tcPr>
          <w:p w14:paraId="4BB79748">
            <w:pPr>
              <w:widowControl w:val="0"/>
              <w:kinsoku/>
              <w:autoSpaceDE/>
              <w:autoSpaceDN/>
              <w:adjustRightInd/>
              <w:snapToGrid/>
              <w:spacing w:line="360" w:lineRule="auto"/>
              <w:jc w:val="left"/>
              <w:textAlignment w:val="auto"/>
              <w:rPr>
                <w:rFonts w:ascii="宋体"/>
                <w:color w:val="auto"/>
              </w:rPr>
            </w:pPr>
          </w:p>
        </w:tc>
      </w:tr>
      <w:tr w14:paraId="4E8D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1E08B260">
            <w:pPr>
              <w:widowControl w:val="0"/>
              <w:kinsoku/>
              <w:autoSpaceDE/>
              <w:autoSpaceDN/>
              <w:adjustRightInd/>
              <w:snapToGrid/>
              <w:spacing w:line="360" w:lineRule="auto"/>
              <w:jc w:val="center"/>
              <w:textAlignment w:val="auto"/>
              <w:rPr>
                <w:rFonts w:ascii="宋体"/>
                <w:color w:val="auto"/>
              </w:rPr>
            </w:pPr>
            <w:r>
              <w:rPr>
                <w:rFonts w:hint="eastAsia" w:ascii="宋体"/>
                <w:color w:val="auto"/>
              </w:rPr>
              <w:t>税  号</w:t>
            </w:r>
          </w:p>
        </w:tc>
        <w:tc>
          <w:tcPr>
            <w:tcW w:w="3962" w:type="dxa"/>
          </w:tcPr>
          <w:p w14:paraId="4EAFDE79">
            <w:pPr>
              <w:widowControl w:val="0"/>
              <w:kinsoku/>
              <w:autoSpaceDE/>
              <w:autoSpaceDN/>
              <w:adjustRightInd/>
              <w:snapToGrid/>
              <w:spacing w:line="360" w:lineRule="auto"/>
              <w:jc w:val="left"/>
              <w:textAlignment w:val="auto"/>
              <w:rPr>
                <w:rFonts w:ascii="宋体"/>
                <w:color w:val="auto"/>
              </w:rPr>
            </w:pPr>
            <w:r>
              <w:rPr>
                <w:rFonts w:ascii="宋体"/>
                <w:color w:val="auto"/>
              </w:rPr>
              <w:t>913504270603757361</w:t>
            </w:r>
          </w:p>
        </w:tc>
        <w:tc>
          <w:tcPr>
            <w:tcW w:w="3247" w:type="dxa"/>
          </w:tcPr>
          <w:p w14:paraId="4BF69A61">
            <w:pPr>
              <w:widowControl w:val="0"/>
              <w:kinsoku/>
              <w:autoSpaceDE/>
              <w:autoSpaceDN/>
              <w:adjustRightInd/>
              <w:snapToGrid/>
              <w:spacing w:line="360" w:lineRule="auto"/>
              <w:jc w:val="left"/>
              <w:textAlignment w:val="auto"/>
              <w:rPr>
                <w:rFonts w:ascii="宋体"/>
                <w:color w:val="auto"/>
              </w:rPr>
            </w:pPr>
          </w:p>
        </w:tc>
      </w:tr>
      <w:tr w14:paraId="149DA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1DE63EDF">
            <w:pPr>
              <w:widowControl w:val="0"/>
              <w:kinsoku/>
              <w:autoSpaceDE/>
              <w:autoSpaceDN/>
              <w:adjustRightInd/>
              <w:snapToGrid/>
              <w:spacing w:line="360" w:lineRule="auto"/>
              <w:jc w:val="center"/>
              <w:textAlignment w:val="auto"/>
              <w:rPr>
                <w:rFonts w:ascii="宋体"/>
                <w:color w:val="auto"/>
              </w:rPr>
            </w:pPr>
            <w:r>
              <w:rPr>
                <w:rFonts w:hint="eastAsia" w:ascii="宋体"/>
                <w:color w:val="auto"/>
              </w:rPr>
              <w:t>电  话</w:t>
            </w:r>
          </w:p>
        </w:tc>
        <w:tc>
          <w:tcPr>
            <w:tcW w:w="3962" w:type="dxa"/>
          </w:tcPr>
          <w:p w14:paraId="2506C083">
            <w:pPr>
              <w:widowControl w:val="0"/>
              <w:kinsoku/>
              <w:autoSpaceDE/>
              <w:autoSpaceDN/>
              <w:adjustRightInd/>
              <w:snapToGrid/>
              <w:spacing w:line="360" w:lineRule="auto"/>
              <w:jc w:val="left"/>
              <w:textAlignment w:val="auto"/>
              <w:rPr>
                <w:rFonts w:ascii="宋体"/>
                <w:color w:val="auto"/>
              </w:rPr>
            </w:pPr>
            <w:r>
              <w:rPr>
                <w:rFonts w:ascii="宋体"/>
                <w:color w:val="auto"/>
              </w:rPr>
              <w:t>0598-8863008</w:t>
            </w:r>
          </w:p>
        </w:tc>
        <w:tc>
          <w:tcPr>
            <w:tcW w:w="3247" w:type="dxa"/>
          </w:tcPr>
          <w:p w14:paraId="0F1430B8">
            <w:pPr>
              <w:widowControl w:val="0"/>
              <w:kinsoku/>
              <w:autoSpaceDE/>
              <w:autoSpaceDN/>
              <w:adjustRightInd/>
              <w:snapToGrid/>
              <w:spacing w:line="360" w:lineRule="auto"/>
              <w:jc w:val="left"/>
              <w:textAlignment w:val="auto"/>
              <w:rPr>
                <w:rFonts w:ascii="宋体"/>
                <w:color w:val="auto"/>
              </w:rPr>
            </w:pPr>
          </w:p>
        </w:tc>
      </w:tr>
    </w:tbl>
    <w:p w14:paraId="005445E1">
      <w:pPr>
        <w:widowControl w:val="0"/>
        <w:kinsoku/>
        <w:autoSpaceDE/>
        <w:autoSpaceDN/>
        <w:adjustRightInd/>
        <w:snapToGrid/>
        <w:spacing w:line="360" w:lineRule="auto"/>
        <w:textAlignment w:val="auto"/>
        <w:rPr>
          <w:rFonts w:ascii="宋体"/>
          <w:color w:val="auto"/>
        </w:rPr>
      </w:pPr>
    </w:p>
    <w:p w14:paraId="3C0987C1">
      <w:pPr>
        <w:widowControl w:val="0"/>
        <w:kinsoku/>
        <w:autoSpaceDE/>
        <w:autoSpaceDN/>
        <w:adjustRightInd/>
        <w:snapToGrid/>
        <w:spacing w:line="360" w:lineRule="auto"/>
        <w:textAlignment w:val="auto"/>
        <w:rPr>
          <w:rFonts w:ascii="宋体"/>
          <w:color w:val="auto"/>
        </w:rPr>
      </w:pPr>
      <w:r>
        <w:rPr>
          <w:rFonts w:hint="eastAsia" w:ascii="宋体" w:hAnsi="宋体" w:cs="宋体"/>
          <w:b/>
          <w:bCs/>
          <w:color w:val="auto"/>
        </w:rPr>
        <w:t>七</w:t>
      </w:r>
      <w:r>
        <w:rPr>
          <w:rFonts w:hint="eastAsia" w:ascii="宋体" w:hAnsi="宋体" w:eastAsia="宋体" w:cs="宋体"/>
          <w:b/>
          <w:bCs/>
          <w:color w:val="auto"/>
        </w:rPr>
        <w:t>：违约责任：</w:t>
      </w:r>
    </w:p>
    <w:p w14:paraId="54A9C7BD">
      <w:pPr>
        <w:widowControl w:val="0"/>
        <w:kinsoku/>
        <w:autoSpaceDE/>
        <w:autoSpaceDN/>
        <w:adjustRightInd/>
        <w:snapToGrid/>
        <w:spacing w:line="360" w:lineRule="auto"/>
        <w:ind w:firstLine="420" w:firstLineChars="200"/>
        <w:textAlignment w:val="auto"/>
        <w:rPr>
          <w:rFonts w:ascii="宋体"/>
          <w:color w:val="auto"/>
        </w:rPr>
      </w:pPr>
      <w:r>
        <w:rPr>
          <w:rFonts w:hint="eastAsia" w:ascii="宋体"/>
          <w:color w:val="auto"/>
        </w:rPr>
        <w:t>1、乙方未按约定按时履约的，每逾期一日，按照相应产品的总价款的0.1％向甲方支付违约金。若逾期超过60日，甲方可单方解除本合同或取消对相应产品的采购，乙方应按相应产品总价款的30％向甲方支付违约金。</w:t>
      </w:r>
    </w:p>
    <w:p w14:paraId="1060709C">
      <w:pPr>
        <w:widowControl w:val="0"/>
        <w:kinsoku/>
        <w:autoSpaceDE/>
        <w:autoSpaceDN/>
        <w:adjustRightInd/>
        <w:snapToGrid/>
        <w:spacing w:line="360" w:lineRule="auto"/>
        <w:ind w:firstLine="420" w:firstLineChars="200"/>
        <w:textAlignment w:val="auto"/>
        <w:rPr>
          <w:rFonts w:ascii="宋体"/>
          <w:color w:val="auto"/>
        </w:rPr>
      </w:pPr>
      <w:r>
        <w:rPr>
          <w:rFonts w:hint="eastAsia" w:ascii="宋体"/>
          <w:color w:val="auto"/>
        </w:rPr>
        <w:t>2、甲方逾期付款的，每逾期一日，以逾期付款金额的0.1％向乙方支付违约金。</w:t>
      </w:r>
    </w:p>
    <w:p w14:paraId="5ECCC711">
      <w:pPr>
        <w:widowControl w:val="0"/>
        <w:kinsoku/>
        <w:autoSpaceDE/>
        <w:autoSpaceDN/>
        <w:adjustRightInd/>
        <w:snapToGrid/>
        <w:spacing w:line="360" w:lineRule="auto"/>
        <w:ind w:firstLine="420" w:firstLineChars="200"/>
        <w:textAlignment w:val="auto"/>
        <w:rPr>
          <w:rFonts w:ascii="宋体"/>
          <w:color w:val="auto"/>
        </w:rPr>
      </w:pPr>
      <w:r>
        <w:rPr>
          <w:rFonts w:hint="eastAsia" w:ascii="宋体"/>
          <w:color w:val="auto"/>
        </w:rPr>
        <w:t>3、乙方无故解除本合同或存在其他违约行为的，乙方应按相应产品总价款的30％向甲方支付违约金。</w:t>
      </w:r>
    </w:p>
    <w:p w14:paraId="70FDD26E">
      <w:pPr>
        <w:widowControl w:val="0"/>
        <w:kinsoku/>
        <w:autoSpaceDE/>
        <w:autoSpaceDN/>
        <w:adjustRightInd/>
        <w:snapToGrid/>
        <w:spacing w:line="360" w:lineRule="auto"/>
        <w:ind w:firstLine="420" w:firstLineChars="200"/>
        <w:textAlignment w:val="auto"/>
        <w:rPr>
          <w:rFonts w:ascii="宋体" w:eastAsia="宋体"/>
          <w:color w:val="auto"/>
        </w:rPr>
      </w:pPr>
      <w:r>
        <w:rPr>
          <w:rFonts w:hint="eastAsia" w:ascii="宋体"/>
          <w:color w:val="auto"/>
        </w:rPr>
        <w:t>4、甲方的损失大于本合同约定的违约金的，乙方应承担补足甲方的全部损失。</w:t>
      </w:r>
    </w:p>
    <w:p w14:paraId="547EBE72">
      <w:pPr>
        <w:widowControl w:val="0"/>
        <w:kinsoku/>
        <w:autoSpaceDE/>
        <w:autoSpaceDN/>
        <w:adjustRightInd/>
        <w:snapToGrid/>
        <w:spacing w:line="360" w:lineRule="auto"/>
        <w:ind w:firstLine="420" w:firstLineChars="200"/>
        <w:textAlignment w:val="auto"/>
        <w:rPr>
          <w:rFonts w:ascii="宋体"/>
          <w:color w:val="auto"/>
        </w:rPr>
      </w:pPr>
      <w:r>
        <w:rPr>
          <w:rFonts w:hint="eastAsia" w:ascii="宋体"/>
          <w:color w:val="auto"/>
        </w:rPr>
        <w:t>5、乙方因本合同约定应向甲方支付的各项费用、违约金、赔偿等，甲方有权从最近一笔付款中扣除相应金额。如果最近一笔付款不足以抵扣违约金的，则可从下一笔付款中继续扣除，仍不足以抵扣的，甲方保留向乙方追究责任的权利。</w:t>
      </w:r>
    </w:p>
    <w:p w14:paraId="1D5CF841">
      <w:pPr>
        <w:widowControl w:val="0"/>
        <w:kinsoku/>
        <w:autoSpaceDE/>
        <w:autoSpaceDN/>
        <w:adjustRightInd/>
        <w:snapToGrid/>
        <w:spacing w:line="360" w:lineRule="auto"/>
        <w:ind w:firstLine="420" w:firstLineChars="200"/>
        <w:textAlignment w:val="auto"/>
        <w:rPr>
          <w:rFonts w:ascii="宋体"/>
          <w:color w:val="auto"/>
        </w:rPr>
      </w:pPr>
      <w:r>
        <w:rPr>
          <w:rFonts w:hint="eastAsia" w:ascii="宋体"/>
          <w:color w:val="auto"/>
        </w:rPr>
        <w:t>6、违约方承担守约方的损失中还应包括但不限于律师费、诉讼费、保全费及保险费、评估费、鉴定费等。</w:t>
      </w:r>
    </w:p>
    <w:p w14:paraId="12AC8B1D">
      <w:pPr>
        <w:widowControl w:val="0"/>
        <w:kinsoku/>
        <w:autoSpaceDE/>
        <w:autoSpaceDN/>
        <w:adjustRightInd/>
        <w:snapToGrid/>
        <w:spacing w:line="360" w:lineRule="auto"/>
        <w:textAlignment w:val="auto"/>
        <w:rPr>
          <w:rFonts w:ascii="宋体"/>
          <w:color w:val="auto"/>
        </w:rPr>
      </w:pPr>
      <w:r>
        <w:rPr>
          <w:rFonts w:hint="eastAsia" w:ascii="宋体"/>
          <w:b/>
          <w:bCs/>
          <w:color w:val="auto"/>
        </w:rPr>
        <w:t>八：争议解决：</w:t>
      </w:r>
    </w:p>
    <w:p w14:paraId="0061A58A">
      <w:pPr>
        <w:widowControl w:val="0"/>
        <w:kinsoku/>
        <w:autoSpaceDE/>
        <w:autoSpaceDN/>
        <w:adjustRightInd/>
        <w:snapToGrid/>
        <w:spacing w:line="360" w:lineRule="auto"/>
        <w:ind w:firstLine="420" w:firstLineChars="200"/>
        <w:textAlignment w:val="auto"/>
        <w:rPr>
          <w:rFonts w:ascii="宋体"/>
          <w:color w:val="auto"/>
        </w:rPr>
      </w:pPr>
      <w:r>
        <w:rPr>
          <w:rFonts w:hint="eastAsia" w:ascii="宋体"/>
          <w:color w:val="auto"/>
        </w:rPr>
        <w:t>未尽事宜双方友好协商解决，并以书面形式作为合同附件。协商不成按第</w:t>
      </w:r>
      <w:r>
        <w:rPr>
          <w:rFonts w:hint="eastAsia" w:ascii="宋体"/>
          <w:color w:val="auto"/>
          <w:u w:val="single"/>
        </w:rPr>
        <w:t xml:space="preserve">  2   </w:t>
      </w:r>
      <w:r>
        <w:rPr>
          <w:rFonts w:hint="eastAsia" w:ascii="宋体"/>
          <w:color w:val="auto"/>
        </w:rPr>
        <w:t xml:space="preserve"> 种方式解决。</w:t>
      </w:r>
    </w:p>
    <w:p w14:paraId="3D1855FB">
      <w:pPr>
        <w:widowControl w:val="0"/>
        <w:kinsoku/>
        <w:autoSpaceDE/>
        <w:autoSpaceDN/>
        <w:adjustRightInd/>
        <w:snapToGrid/>
        <w:spacing w:line="360" w:lineRule="auto"/>
        <w:ind w:firstLine="420" w:firstLineChars="200"/>
        <w:textAlignment w:val="auto"/>
        <w:rPr>
          <w:rFonts w:ascii="宋体"/>
          <w:color w:val="auto"/>
        </w:rPr>
      </w:pPr>
      <w:r>
        <w:rPr>
          <w:rFonts w:hint="eastAsia" w:ascii="宋体"/>
          <w:color w:val="auto"/>
        </w:rPr>
        <w:t>1、提交合同履行地仲裁委员会仲裁；</w:t>
      </w:r>
    </w:p>
    <w:p w14:paraId="69A75686">
      <w:pPr>
        <w:widowControl w:val="0"/>
        <w:kinsoku/>
        <w:autoSpaceDE/>
        <w:autoSpaceDN/>
        <w:adjustRightInd/>
        <w:snapToGrid/>
        <w:spacing w:line="360" w:lineRule="auto"/>
        <w:ind w:firstLine="420" w:firstLineChars="200"/>
        <w:textAlignment w:val="auto"/>
        <w:rPr>
          <w:rFonts w:ascii="宋体"/>
          <w:color w:val="auto"/>
        </w:rPr>
      </w:pPr>
      <w:r>
        <w:rPr>
          <w:rFonts w:hint="eastAsia" w:ascii="宋体"/>
          <w:color w:val="auto"/>
        </w:rPr>
        <w:t>2、向甲方所在地具有管辖权的人民法院起诉。</w:t>
      </w:r>
    </w:p>
    <w:p w14:paraId="53AF40D3">
      <w:pPr>
        <w:widowControl w:val="0"/>
        <w:kinsoku/>
        <w:autoSpaceDE/>
        <w:autoSpaceDN/>
        <w:adjustRightInd/>
        <w:snapToGrid/>
        <w:spacing w:line="360" w:lineRule="auto"/>
        <w:textAlignment w:val="auto"/>
        <w:rPr>
          <w:rFonts w:ascii="宋体"/>
          <w:b/>
          <w:bCs/>
          <w:color w:val="auto"/>
        </w:rPr>
      </w:pPr>
      <w:r>
        <w:rPr>
          <w:rFonts w:hint="eastAsia" w:ascii="宋体"/>
          <w:b/>
          <w:bCs/>
          <w:color w:val="auto"/>
        </w:rPr>
        <w:t>九：保修期及安装、人员培训</w:t>
      </w:r>
    </w:p>
    <w:p w14:paraId="0556B8F2">
      <w:pPr>
        <w:spacing w:line="400" w:lineRule="exact"/>
        <w:ind w:firstLine="420" w:firstLineChars="200"/>
        <w:rPr>
          <w:rFonts w:ascii="宋体" w:hAnsi="宋体"/>
          <w:color w:val="auto"/>
        </w:rPr>
      </w:pPr>
      <w:r>
        <w:rPr>
          <w:rFonts w:hint="eastAsia" w:ascii="宋体" w:hAnsi="宋体"/>
          <w:color w:val="auto"/>
        </w:rPr>
        <w:t>1、保修期内因质量问题而导致设备停用的时间应从保修期中扣除。货品在正常维护、保养及使用情形下发生故障或损坏，乙方应负责迅速修复设备至正常生产使用，因而发生的零件，维修及其它费用由乙方自行负担；保固期满后乙方对货品之维修得酌收零件、维修及交通等费用。</w:t>
      </w:r>
    </w:p>
    <w:p w14:paraId="6B01CAAB">
      <w:pPr>
        <w:spacing w:line="400" w:lineRule="exact"/>
        <w:ind w:firstLine="420" w:firstLineChars="200"/>
        <w:rPr>
          <w:rFonts w:ascii="宋体" w:hAnsi="宋体"/>
          <w:color w:val="auto"/>
        </w:rPr>
      </w:pPr>
      <w:r>
        <w:rPr>
          <w:rFonts w:hint="eastAsia" w:ascii="宋体" w:hAnsi="宋体"/>
          <w:color w:val="auto"/>
        </w:rPr>
        <w:t>2、机器到达甲方装机地点后，甲方通知乙方安排人员对设备进行安装调校及测试工作。同时乙方应根据安装，调试的进度具体安排相应的现场培训，培训内容应侧重于安装，调试，设备操守，及维护等内容。后续如甲方仍有培训需求，乙方再进行一次前述培训。</w:t>
      </w:r>
    </w:p>
    <w:p w14:paraId="3EC8E926">
      <w:pPr>
        <w:widowControl w:val="0"/>
        <w:kinsoku/>
        <w:autoSpaceDE/>
        <w:autoSpaceDN/>
        <w:adjustRightInd/>
        <w:snapToGrid/>
        <w:spacing w:line="360" w:lineRule="auto"/>
        <w:textAlignment w:val="auto"/>
        <w:rPr>
          <w:rFonts w:ascii="宋体"/>
          <w:b/>
          <w:bCs/>
          <w:color w:val="auto"/>
        </w:rPr>
      </w:pPr>
      <w:r>
        <w:rPr>
          <w:rFonts w:hint="eastAsia" w:ascii="宋体"/>
          <w:b/>
          <w:bCs/>
          <w:color w:val="auto"/>
        </w:rPr>
        <w:t>十： 维修反应时间：</w:t>
      </w:r>
    </w:p>
    <w:p w14:paraId="3CA5275A">
      <w:pPr>
        <w:spacing w:line="400" w:lineRule="exact"/>
        <w:ind w:firstLine="420" w:firstLineChars="200"/>
        <w:rPr>
          <w:rFonts w:ascii="宋体" w:hAnsi="宋体"/>
          <w:color w:val="auto"/>
        </w:rPr>
      </w:pPr>
      <w:r>
        <w:rPr>
          <w:rFonts w:hint="eastAsia" w:ascii="宋体" w:hAnsi="宋体"/>
          <w:color w:val="auto"/>
        </w:rPr>
        <w:t>乙方应在工作日24小时内对甲方的报修申请做出反应。一般性问题应在工作日</w:t>
      </w:r>
      <w:r>
        <w:rPr>
          <w:rFonts w:ascii="宋体" w:hAnsi="宋体"/>
          <w:color w:val="auto"/>
        </w:rPr>
        <w:t>72</w:t>
      </w:r>
      <w:r>
        <w:rPr>
          <w:rFonts w:hint="eastAsia" w:ascii="宋体" w:hAnsi="宋体"/>
          <w:color w:val="auto"/>
        </w:rPr>
        <w:t>小时内解决；对于在工作日</w:t>
      </w:r>
      <w:r>
        <w:rPr>
          <w:rFonts w:ascii="宋体" w:hAnsi="宋体"/>
          <w:color w:val="auto"/>
        </w:rPr>
        <w:t>72</w:t>
      </w:r>
      <w:r>
        <w:rPr>
          <w:rFonts w:hint="eastAsia" w:ascii="宋体" w:hAnsi="宋体"/>
          <w:color w:val="auto"/>
        </w:rPr>
        <w:t>小时内无法解决的其它较大的问题，应在</w:t>
      </w:r>
      <w:r>
        <w:rPr>
          <w:rFonts w:ascii="宋体" w:hAnsi="宋体"/>
          <w:color w:val="auto"/>
        </w:rPr>
        <w:t>5</w:t>
      </w:r>
      <w:r>
        <w:rPr>
          <w:rFonts w:hint="eastAsia" w:ascii="宋体" w:hAnsi="宋体"/>
          <w:color w:val="auto"/>
        </w:rPr>
        <w:t>个工作日内给以解决；对于在</w:t>
      </w:r>
      <w:r>
        <w:rPr>
          <w:rFonts w:ascii="宋体" w:hAnsi="宋体"/>
          <w:color w:val="auto"/>
        </w:rPr>
        <w:t>5</w:t>
      </w:r>
      <w:r>
        <w:rPr>
          <w:rFonts w:hint="eastAsia" w:ascii="宋体" w:hAnsi="宋体"/>
          <w:color w:val="auto"/>
        </w:rPr>
        <w:t>个工作日内不能解决的问题，应提出明确的解决方案，经双方协商后，在预定的期限内解决问题。如</w:t>
      </w:r>
      <w:r>
        <w:rPr>
          <w:rFonts w:hint="eastAsia" w:ascii="MS Gothic" w:hAnsi="MS Gothic" w:cs="MS Gothic"/>
          <w:color w:val="auto"/>
        </w:rPr>
        <w:t>乙</w:t>
      </w:r>
      <w:r>
        <w:rPr>
          <w:rFonts w:hint="eastAsia" w:ascii="宋体" w:hAnsi="宋体"/>
          <w:color w:val="auto"/>
        </w:rPr>
        <w:t>方无法排除故障，乙方应赔偿由此而造成的直接损失</w:t>
      </w:r>
      <w:r>
        <w:rPr>
          <w:rFonts w:ascii="宋体" w:hAnsi="宋体"/>
          <w:color w:val="auto"/>
        </w:rPr>
        <w:t>(</w:t>
      </w:r>
      <w:r>
        <w:rPr>
          <w:rFonts w:hint="eastAsia" w:ascii="宋体" w:hAnsi="宋体"/>
          <w:color w:val="auto"/>
        </w:rPr>
        <w:t>人为问题</w:t>
      </w:r>
      <w:r>
        <w:rPr>
          <w:rFonts w:hint="eastAsia" w:ascii="宋体" w:hAnsi="宋体"/>
          <w:color w:val="auto"/>
        </w:rPr>
        <w:tab/>
      </w:r>
      <w:r>
        <w:rPr>
          <w:rFonts w:hint="eastAsia" w:ascii="宋体" w:hAnsi="宋体"/>
          <w:color w:val="auto"/>
        </w:rPr>
        <w:t>除外</w:t>
      </w:r>
      <w:r>
        <w:rPr>
          <w:rFonts w:ascii="宋体" w:hAnsi="宋体"/>
          <w:color w:val="auto"/>
        </w:rPr>
        <w:t>)</w:t>
      </w:r>
      <w:r>
        <w:rPr>
          <w:rFonts w:hint="eastAsia" w:ascii="宋体" w:hAnsi="宋体"/>
          <w:color w:val="auto"/>
        </w:rPr>
        <w:t>。</w:t>
      </w:r>
    </w:p>
    <w:p w14:paraId="26E38BA7">
      <w:pPr>
        <w:widowControl w:val="0"/>
        <w:kinsoku/>
        <w:autoSpaceDE/>
        <w:autoSpaceDN/>
        <w:adjustRightInd/>
        <w:snapToGrid/>
        <w:spacing w:line="360" w:lineRule="auto"/>
        <w:textAlignment w:val="auto"/>
        <w:rPr>
          <w:rFonts w:ascii="宋体"/>
          <w:b/>
          <w:bCs/>
          <w:color w:val="auto"/>
        </w:rPr>
      </w:pPr>
      <w:r>
        <w:rPr>
          <w:rFonts w:hint="eastAsia" w:ascii="宋体"/>
          <w:b/>
          <w:bCs/>
          <w:color w:val="auto"/>
        </w:rPr>
        <w:t>十一：保证与承诺</w:t>
      </w:r>
    </w:p>
    <w:p w14:paraId="027144FD">
      <w:pPr>
        <w:spacing w:line="400" w:lineRule="exact"/>
        <w:ind w:firstLine="420" w:firstLineChars="200"/>
        <w:rPr>
          <w:rFonts w:ascii="宋体" w:hAnsi="宋体"/>
          <w:color w:val="auto"/>
        </w:rPr>
      </w:pPr>
      <w:r>
        <w:rPr>
          <w:rFonts w:hint="eastAsia" w:ascii="宋体" w:hAnsi="宋体"/>
          <w:color w:val="auto"/>
        </w:rPr>
        <w:t>1、乙方所提供的设备、设备相关软件、技术、设备产品及该设备日后的使用不会对第三方的知识产权造成侵害；</w:t>
      </w:r>
    </w:p>
    <w:p w14:paraId="4E703DAE">
      <w:pPr>
        <w:spacing w:line="400" w:lineRule="exact"/>
        <w:ind w:firstLine="420" w:firstLineChars="200"/>
        <w:rPr>
          <w:rFonts w:ascii="宋体"/>
          <w:color w:val="auto"/>
        </w:rPr>
      </w:pPr>
      <w:r>
        <w:rPr>
          <w:rFonts w:hint="eastAsia" w:ascii="宋体" w:hAnsi="宋体"/>
          <w:color w:val="auto"/>
        </w:rPr>
        <w:t>2、乙方所提供的设备上未设置抵押、质押、留置等任何权利负担。</w:t>
      </w:r>
    </w:p>
    <w:p w14:paraId="42FB16A7">
      <w:pPr>
        <w:widowControl w:val="0"/>
        <w:kinsoku/>
        <w:autoSpaceDE/>
        <w:autoSpaceDN/>
        <w:adjustRightInd/>
        <w:snapToGrid/>
        <w:spacing w:line="360" w:lineRule="auto"/>
        <w:textAlignment w:val="auto"/>
        <w:rPr>
          <w:rFonts w:ascii="宋体"/>
          <w:b/>
          <w:color w:val="auto"/>
        </w:rPr>
      </w:pPr>
      <w:r>
        <w:rPr>
          <w:rFonts w:hint="eastAsia" w:ascii="宋体"/>
          <w:b/>
          <w:color w:val="auto"/>
        </w:rPr>
        <w:t>十二：其他约定事项：</w:t>
      </w:r>
    </w:p>
    <w:p w14:paraId="35A0D85D">
      <w:pPr>
        <w:widowControl w:val="0"/>
        <w:numPr>
          <w:ilvl w:val="255"/>
          <w:numId w:val="0"/>
        </w:numPr>
        <w:kinsoku/>
        <w:autoSpaceDE/>
        <w:autoSpaceDN/>
        <w:adjustRightInd/>
        <w:snapToGrid/>
        <w:spacing w:line="360" w:lineRule="auto"/>
        <w:ind w:firstLine="420" w:firstLineChars="200"/>
        <w:textAlignment w:val="auto"/>
        <w:rPr>
          <w:rFonts w:ascii="宋体"/>
          <w:bCs/>
          <w:color w:val="auto"/>
        </w:rPr>
      </w:pPr>
      <w:r>
        <w:rPr>
          <w:rFonts w:hint="eastAsia" w:ascii="宋体"/>
          <w:bCs/>
          <w:color w:val="auto"/>
        </w:rPr>
        <w:t>1、通知和送达条款：通知和送达双方确定，以下联系方式为双方与本合同相关的一切往来文件（包括但不限于订单、通知、协议、函件、发票等)及争议解决时人民法院（或仲裁机构）法律文书的有效送达方式。若各方送达方式发生变更时，变更一方应书面通知对方，对方实际收到变更通知前作出的送达仍有效。</w:t>
      </w:r>
    </w:p>
    <w:p w14:paraId="76993D80">
      <w:pPr>
        <w:widowControl w:val="0"/>
        <w:numPr>
          <w:ilvl w:val="255"/>
          <w:numId w:val="0"/>
        </w:numPr>
        <w:kinsoku/>
        <w:autoSpaceDE/>
        <w:autoSpaceDN/>
        <w:adjustRightInd/>
        <w:snapToGrid/>
        <w:spacing w:line="360" w:lineRule="auto"/>
        <w:ind w:firstLine="420" w:firstLineChars="200"/>
        <w:textAlignment w:val="auto"/>
        <w:rPr>
          <w:rFonts w:ascii="宋体"/>
          <w:bCs/>
          <w:color w:val="auto"/>
        </w:rPr>
      </w:pPr>
      <w:r>
        <w:rPr>
          <w:rFonts w:hint="eastAsia" w:ascii="宋体"/>
          <w:bCs/>
          <w:color w:val="auto"/>
        </w:rPr>
        <w:t>2、本合同附件、本合同指定的相关文件为本合同不可分割的一部分，与本合同具有相同的法律效力。除非双方另有书面约定，各方的其他文件与本合同约定不一致的，以本合同的约定为准且专用条款优先。</w:t>
      </w:r>
    </w:p>
    <w:p w14:paraId="6FD94FE8">
      <w:pPr>
        <w:widowControl w:val="0"/>
        <w:numPr>
          <w:ilvl w:val="255"/>
          <w:numId w:val="0"/>
        </w:numPr>
        <w:kinsoku/>
        <w:autoSpaceDE/>
        <w:autoSpaceDN/>
        <w:adjustRightInd/>
        <w:snapToGrid/>
        <w:spacing w:line="360" w:lineRule="auto"/>
        <w:ind w:firstLine="420" w:firstLineChars="200"/>
        <w:textAlignment w:val="auto"/>
        <w:rPr>
          <w:rFonts w:ascii="宋体"/>
          <w:bCs/>
          <w:color w:val="auto"/>
        </w:rPr>
      </w:pPr>
      <w:r>
        <w:rPr>
          <w:rFonts w:hint="eastAsia" w:ascii="宋体"/>
          <w:bCs/>
          <w:color w:val="auto"/>
        </w:rPr>
        <w:t>3、附上</w:t>
      </w:r>
      <w:r>
        <w:rPr>
          <w:rFonts w:hint="eastAsia" w:ascii="宋体"/>
          <w:b/>
          <w:color w:val="auto"/>
        </w:rPr>
        <w:t>履行本合同过程中双方指定对接人员身份和微信号、电话等</w:t>
      </w:r>
    </w:p>
    <w:p w14:paraId="7EDB7395">
      <w:pPr>
        <w:widowControl w:val="0"/>
        <w:numPr>
          <w:ilvl w:val="255"/>
          <w:numId w:val="0"/>
        </w:numPr>
        <w:kinsoku/>
        <w:autoSpaceDE/>
        <w:autoSpaceDN/>
        <w:adjustRightInd/>
        <w:snapToGrid/>
        <w:spacing w:line="360" w:lineRule="auto"/>
        <w:textAlignment w:val="auto"/>
        <w:rPr>
          <w:rFonts w:ascii="宋体"/>
          <w:b/>
          <w:color w:val="auto"/>
        </w:rPr>
      </w:pPr>
      <w:r>
        <w:rPr>
          <w:rFonts w:hint="eastAsia" w:ascii="宋体"/>
          <w:b/>
          <w:color w:val="auto"/>
        </w:rPr>
        <w:t>十三：生效条款：</w:t>
      </w:r>
    </w:p>
    <w:p w14:paraId="43EE2885">
      <w:pPr>
        <w:widowControl w:val="0"/>
        <w:numPr>
          <w:ilvl w:val="255"/>
          <w:numId w:val="0"/>
        </w:numPr>
        <w:kinsoku/>
        <w:autoSpaceDE/>
        <w:autoSpaceDN/>
        <w:adjustRightInd/>
        <w:snapToGrid/>
        <w:spacing w:line="360" w:lineRule="auto"/>
        <w:ind w:firstLine="420" w:firstLineChars="200"/>
        <w:textAlignment w:val="auto"/>
        <w:rPr>
          <w:rFonts w:ascii="宋体"/>
          <w:bCs/>
          <w:color w:val="auto"/>
        </w:rPr>
      </w:pPr>
      <w:r>
        <w:rPr>
          <w:rFonts w:hint="eastAsia" w:ascii="宋体"/>
          <w:bCs/>
          <w:color w:val="auto"/>
        </w:rPr>
        <w:t>本合同自双方签字或盖章之日起生效。本合同一式肆份，双方各执贰份，具有同等法律效力，供货结束并结清货款后自动终止。</w:t>
      </w:r>
    </w:p>
    <w:p w14:paraId="229546DE">
      <w:pPr>
        <w:widowControl w:val="0"/>
        <w:numPr>
          <w:ilvl w:val="255"/>
          <w:numId w:val="0"/>
        </w:numPr>
        <w:kinsoku/>
        <w:autoSpaceDE/>
        <w:autoSpaceDN/>
        <w:adjustRightInd/>
        <w:snapToGrid/>
        <w:spacing w:line="360" w:lineRule="auto"/>
        <w:ind w:firstLine="210" w:firstLineChars="100"/>
        <w:textAlignment w:val="auto"/>
        <w:rPr>
          <w:rFonts w:ascii="宋体"/>
          <w:bCs/>
          <w:color w:val="auto"/>
        </w:rPr>
      </w:pPr>
    </w:p>
    <w:p w14:paraId="53CC703D">
      <w:pPr>
        <w:widowControl w:val="0"/>
        <w:numPr>
          <w:ilvl w:val="255"/>
          <w:numId w:val="0"/>
        </w:numPr>
        <w:kinsoku/>
        <w:autoSpaceDE/>
        <w:autoSpaceDN/>
        <w:adjustRightInd/>
        <w:snapToGrid/>
        <w:spacing w:line="360" w:lineRule="auto"/>
        <w:ind w:firstLine="251" w:firstLineChars="100"/>
        <w:jc w:val="center"/>
        <w:textAlignment w:val="auto"/>
        <w:rPr>
          <w:rFonts w:hint="eastAsia" w:cs="Times New Roman" w:asciiTheme="minorEastAsia" w:hAnsiTheme="minorEastAsia" w:eastAsiaTheme="minorEastAsia"/>
          <w:b/>
          <w:color w:val="auto"/>
          <w:kern w:val="2"/>
          <w:sz w:val="25"/>
          <w:szCs w:val="25"/>
        </w:rPr>
      </w:pPr>
    </w:p>
    <w:p w14:paraId="64FAB9D6">
      <w:pPr>
        <w:widowControl w:val="0"/>
        <w:numPr>
          <w:ilvl w:val="255"/>
          <w:numId w:val="0"/>
        </w:numPr>
        <w:kinsoku/>
        <w:autoSpaceDE/>
        <w:autoSpaceDN/>
        <w:adjustRightInd/>
        <w:snapToGrid/>
        <w:spacing w:line="360" w:lineRule="auto"/>
        <w:ind w:firstLine="251" w:firstLineChars="100"/>
        <w:jc w:val="center"/>
        <w:textAlignment w:val="auto"/>
        <w:rPr>
          <w:rFonts w:hint="eastAsia" w:cs="Times New Roman" w:asciiTheme="minorEastAsia" w:hAnsiTheme="minorEastAsia" w:eastAsiaTheme="minorEastAsia"/>
          <w:b/>
          <w:color w:val="auto"/>
          <w:kern w:val="2"/>
          <w:sz w:val="25"/>
          <w:szCs w:val="25"/>
        </w:rPr>
      </w:pPr>
    </w:p>
    <w:p w14:paraId="01B8333E">
      <w:pPr>
        <w:rPr>
          <w:rFonts w:hint="eastAsia" w:cs="Times New Roman" w:asciiTheme="minorEastAsia" w:hAnsiTheme="minorEastAsia" w:eastAsiaTheme="minorEastAsia"/>
          <w:b/>
          <w:color w:val="auto"/>
          <w:kern w:val="2"/>
          <w:sz w:val="32"/>
          <w:szCs w:val="32"/>
        </w:rPr>
      </w:pPr>
    </w:p>
    <w:p w14:paraId="1292859A">
      <w:pPr>
        <w:widowControl w:val="0"/>
        <w:numPr>
          <w:ilvl w:val="255"/>
          <w:numId w:val="0"/>
        </w:numPr>
        <w:kinsoku/>
        <w:autoSpaceDE/>
        <w:autoSpaceDN/>
        <w:adjustRightInd/>
        <w:snapToGrid/>
        <w:spacing w:line="360" w:lineRule="auto"/>
        <w:jc w:val="center"/>
        <w:textAlignment w:val="auto"/>
        <w:rPr>
          <w:rFonts w:hint="eastAsia" w:cs="Times New Roman" w:asciiTheme="minorEastAsia" w:hAnsiTheme="minorEastAsia" w:eastAsiaTheme="minorEastAsia"/>
          <w:b/>
          <w:color w:val="auto"/>
          <w:kern w:val="2"/>
          <w:sz w:val="32"/>
          <w:szCs w:val="32"/>
        </w:rPr>
      </w:pPr>
    </w:p>
    <w:p w14:paraId="1A1C21A4">
      <w:pPr>
        <w:widowControl w:val="0"/>
        <w:numPr>
          <w:ilvl w:val="255"/>
          <w:numId w:val="0"/>
        </w:numPr>
        <w:kinsoku/>
        <w:autoSpaceDE/>
        <w:autoSpaceDN/>
        <w:adjustRightInd/>
        <w:snapToGrid/>
        <w:spacing w:line="360" w:lineRule="auto"/>
        <w:jc w:val="both"/>
        <w:textAlignment w:val="auto"/>
        <w:rPr>
          <w:rFonts w:hint="eastAsia" w:cs="Times New Roman" w:asciiTheme="minorEastAsia" w:hAnsiTheme="minorEastAsia" w:eastAsiaTheme="minorEastAsia"/>
          <w:b/>
          <w:color w:val="auto"/>
          <w:kern w:val="2"/>
          <w:sz w:val="32"/>
          <w:szCs w:val="32"/>
        </w:rPr>
      </w:pPr>
    </w:p>
    <w:p w14:paraId="44436001">
      <w:pPr>
        <w:pStyle w:val="2"/>
        <w:ind w:firstLine="643"/>
        <w:rPr>
          <w:rFonts w:hint="eastAsia" w:cs="Times New Roman" w:asciiTheme="minorEastAsia" w:hAnsiTheme="minorEastAsia" w:eastAsiaTheme="minorEastAsia"/>
          <w:b/>
          <w:color w:val="auto"/>
          <w:kern w:val="2"/>
          <w:sz w:val="32"/>
          <w:szCs w:val="32"/>
        </w:rPr>
      </w:pPr>
    </w:p>
    <w:p w14:paraId="67C6CE84">
      <w:pPr>
        <w:pStyle w:val="2"/>
        <w:ind w:firstLine="643"/>
        <w:rPr>
          <w:rFonts w:hint="eastAsia" w:cs="Times New Roman" w:asciiTheme="minorEastAsia" w:hAnsiTheme="minorEastAsia" w:eastAsiaTheme="minorEastAsia"/>
          <w:b/>
          <w:color w:val="auto"/>
          <w:kern w:val="2"/>
          <w:sz w:val="32"/>
          <w:szCs w:val="32"/>
        </w:rPr>
      </w:pPr>
    </w:p>
    <w:p w14:paraId="50ED9B15">
      <w:pPr>
        <w:pStyle w:val="2"/>
        <w:ind w:firstLine="643"/>
        <w:rPr>
          <w:rFonts w:hint="eastAsia" w:cs="Times New Roman" w:asciiTheme="minorEastAsia" w:hAnsiTheme="minorEastAsia" w:eastAsiaTheme="minorEastAsia"/>
          <w:b/>
          <w:color w:val="auto"/>
          <w:kern w:val="2"/>
          <w:sz w:val="32"/>
          <w:szCs w:val="32"/>
        </w:rPr>
      </w:pPr>
    </w:p>
    <w:p w14:paraId="46635B81">
      <w:pPr>
        <w:pStyle w:val="2"/>
        <w:ind w:firstLine="643"/>
        <w:rPr>
          <w:rFonts w:hint="eastAsia" w:cs="Times New Roman" w:asciiTheme="minorEastAsia" w:hAnsiTheme="minorEastAsia" w:eastAsiaTheme="minorEastAsia"/>
          <w:b/>
          <w:color w:val="auto"/>
          <w:kern w:val="2"/>
          <w:sz w:val="32"/>
          <w:szCs w:val="32"/>
        </w:rPr>
      </w:pPr>
    </w:p>
    <w:p w14:paraId="6CBA4CC3">
      <w:pPr>
        <w:pStyle w:val="2"/>
        <w:ind w:firstLine="643"/>
        <w:rPr>
          <w:rFonts w:hint="eastAsia" w:cs="Times New Roman" w:asciiTheme="minorEastAsia" w:hAnsiTheme="minorEastAsia" w:eastAsiaTheme="minorEastAsia"/>
          <w:b/>
          <w:color w:val="auto"/>
          <w:kern w:val="2"/>
          <w:sz w:val="32"/>
          <w:szCs w:val="32"/>
        </w:rPr>
      </w:pPr>
    </w:p>
    <w:p w14:paraId="421FBA11">
      <w:pPr>
        <w:pStyle w:val="2"/>
        <w:ind w:firstLine="643"/>
        <w:rPr>
          <w:rFonts w:hint="eastAsia" w:cs="Times New Roman" w:asciiTheme="minorEastAsia" w:hAnsiTheme="minorEastAsia" w:eastAsiaTheme="minorEastAsia"/>
          <w:b/>
          <w:color w:val="auto"/>
          <w:kern w:val="2"/>
          <w:sz w:val="32"/>
          <w:szCs w:val="32"/>
        </w:rPr>
      </w:pPr>
    </w:p>
    <w:p w14:paraId="5632074D">
      <w:pPr>
        <w:pStyle w:val="2"/>
        <w:ind w:firstLine="643"/>
        <w:rPr>
          <w:rFonts w:hint="eastAsia" w:cs="Times New Roman" w:asciiTheme="minorEastAsia" w:hAnsiTheme="minorEastAsia" w:eastAsiaTheme="minorEastAsia"/>
          <w:b/>
          <w:color w:val="auto"/>
          <w:kern w:val="2"/>
          <w:sz w:val="32"/>
          <w:szCs w:val="32"/>
        </w:rPr>
      </w:pPr>
    </w:p>
    <w:p w14:paraId="584EE8BE">
      <w:pPr>
        <w:pStyle w:val="2"/>
        <w:ind w:firstLine="643"/>
        <w:rPr>
          <w:rFonts w:hint="eastAsia" w:cs="Times New Roman" w:asciiTheme="minorEastAsia" w:hAnsiTheme="minorEastAsia" w:eastAsiaTheme="minorEastAsia"/>
          <w:b/>
          <w:color w:val="auto"/>
          <w:kern w:val="2"/>
          <w:sz w:val="32"/>
          <w:szCs w:val="32"/>
        </w:rPr>
      </w:pPr>
    </w:p>
    <w:p w14:paraId="66439DB5">
      <w:pPr>
        <w:pStyle w:val="2"/>
        <w:ind w:firstLine="643"/>
        <w:rPr>
          <w:rFonts w:hint="eastAsia" w:cs="Times New Roman" w:asciiTheme="minorEastAsia" w:hAnsiTheme="minorEastAsia" w:eastAsiaTheme="minorEastAsia"/>
          <w:b/>
          <w:color w:val="auto"/>
          <w:kern w:val="2"/>
          <w:sz w:val="32"/>
          <w:szCs w:val="32"/>
        </w:rPr>
      </w:pPr>
    </w:p>
    <w:p w14:paraId="4B061D0B">
      <w:pPr>
        <w:pStyle w:val="2"/>
        <w:ind w:firstLine="643"/>
        <w:rPr>
          <w:rFonts w:hint="eastAsia" w:cs="Times New Roman" w:asciiTheme="minorEastAsia" w:hAnsiTheme="minorEastAsia" w:eastAsiaTheme="minorEastAsia"/>
          <w:b/>
          <w:color w:val="auto"/>
          <w:kern w:val="2"/>
          <w:sz w:val="32"/>
          <w:szCs w:val="32"/>
        </w:rPr>
      </w:pPr>
    </w:p>
    <w:p w14:paraId="4495053D">
      <w:pPr>
        <w:pStyle w:val="2"/>
        <w:ind w:firstLine="643"/>
        <w:rPr>
          <w:rFonts w:hint="eastAsia" w:cs="Times New Roman" w:asciiTheme="minorEastAsia" w:hAnsiTheme="minorEastAsia" w:eastAsiaTheme="minorEastAsia"/>
          <w:b/>
          <w:color w:val="auto"/>
          <w:kern w:val="2"/>
          <w:sz w:val="32"/>
          <w:szCs w:val="32"/>
        </w:rPr>
      </w:pPr>
    </w:p>
    <w:p w14:paraId="23F6D1A0">
      <w:pPr>
        <w:pStyle w:val="2"/>
        <w:ind w:firstLine="0" w:firstLineChars="0"/>
        <w:rPr>
          <w:rFonts w:hint="eastAsia" w:cs="Times New Roman" w:asciiTheme="minorEastAsia" w:hAnsiTheme="minorEastAsia" w:eastAsiaTheme="minorEastAsia"/>
          <w:b/>
          <w:color w:val="auto"/>
          <w:kern w:val="2"/>
          <w:sz w:val="32"/>
          <w:szCs w:val="32"/>
        </w:rPr>
      </w:pPr>
    </w:p>
    <w:p w14:paraId="4ED4A025">
      <w:pPr>
        <w:pStyle w:val="2"/>
        <w:ind w:firstLine="0" w:firstLineChars="0"/>
        <w:rPr>
          <w:rFonts w:hint="eastAsia" w:cs="Times New Roman" w:asciiTheme="minorEastAsia" w:hAnsiTheme="minorEastAsia" w:eastAsiaTheme="minorEastAsia"/>
          <w:b/>
          <w:color w:val="auto"/>
          <w:kern w:val="2"/>
          <w:sz w:val="32"/>
          <w:szCs w:val="32"/>
        </w:rPr>
      </w:pPr>
    </w:p>
    <w:p w14:paraId="4E108E0C">
      <w:pPr>
        <w:pStyle w:val="2"/>
        <w:ind w:firstLine="0" w:firstLineChars="0"/>
        <w:rPr>
          <w:rFonts w:hint="eastAsia" w:cs="Times New Roman" w:asciiTheme="minorEastAsia" w:hAnsiTheme="minorEastAsia" w:eastAsiaTheme="minorEastAsia"/>
          <w:b/>
          <w:color w:val="auto"/>
          <w:kern w:val="2"/>
          <w:sz w:val="32"/>
          <w:szCs w:val="32"/>
        </w:rPr>
      </w:pPr>
    </w:p>
    <w:p w14:paraId="6C263DB2">
      <w:pPr>
        <w:widowControl w:val="0"/>
        <w:numPr>
          <w:ilvl w:val="255"/>
          <w:numId w:val="0"/>
        </w:numPr>
        <w:kinsoku/>
        <w:autoSpaceDE/>
        <w:autoSpaceDN/>
        <w:adjustRightInd/>
        <w:snapToGrid/>
        <w:spacing w:line="360" w:lineRule="auto"/>
        <w:ind w:firstLine="643" w:firstLineChars="200"/>
        <w:jc w:val="center"/>
        <w:textAlignment w:val="auto"/>
        <w:rPr>
          <w:rFonts w:hint="eastAsia" w:cs="Times New Roman" w:asciiTheme="minorEastAsia" w:hAnsiTheme="minorEastAsia" w:eastAsiaTheme="minorEastAsia"/>
          <w:b/>
          <w:color w:val="auto"/>
          <w:kern w:val="2"/>
          <w:sz w:val="32"/>
          <w:szCs w:val="32"/>
        </w:rPr>
      </w:pPr>
      <w:r>
        <w:rPr>
          <w:rFonts w:hint="eastAsia" w:cs="Times New Roman" w:asciiTheme="minorEastAsia" w:hAnsiTheme="minorEastAsia" w:eastAsiaTheme="minorEastAsia"/>
          <w:b/>
          <w:color w:val="auto"/>
          <w:kern w:val="2"/>
          <w:sz w:val="32"/>
          <w:szCs w:val="32"/>
        </w:rPr>
        <w:t>合同通用条款</w:t>
      </w:r>
    </w:p>
    <w:p w14:paraId="1219BF9E">
      <w:pPr>
        <w:spacing w:before="120" w:line="360" w:lineRule="exact"/>
        <w:jc w:val="both"/>
        <w:rPr>
          <w:rFonts w:ascii="宋体" w:hAnsi="宋体" w:cs="Times New Roman"/>
          <w:b/>
          <w:color w:val="auto"/>
          <w:kern w:val="2"/>
        </w:rPr>
      </w:pPr>
      <w:r>
        <w:rPr>
          <w:rFonts w:hint="eastAsia" w:ascii="宋体" w:hAnsi="宋体" w:cs="Times New Roman"/>
          <w:b/>
          <w:color w:val="auto"/>
          <w:kern w:val="2"/>
        </w:rPr>
        <w:t>一、乙方承诺</w:t>
      </w:r>
    </w:p>
    <w:p w14:paraId="00D8BDE2">
      <w:pPr>
        <w:pStyle w:val="21"/>
        <w:spacing w:before="120" w:line="360" w:lineRule="exact"/>
        <w:ind w:left="66"/>
        <w:rPr>
          <w:rFonts w:ascii="宋体" w:hAnsi="宋体"/>
          <w:b/>
          <w:color w:val="auto"/>
          <w:u w:val="single"/>
        </w:rPr>
      </w:pPr>
      <w:r>
        <w:rPr>
          <w:rFonts w:hint="eastAsia" w:ascii="宋体" w:hAnsi="宋体"/>
          <w:color w:val="auto"/>
        </w:rPr>
        <w:t>1、甲方依据本合同条款向乙方进行产品采购，乙方同意依据本</w:t>
      </w:r>
      <w:r>
        <w:rPr>
          <w:rFonts w:ascii="宋体" w:hAnsi="宋体"/>
          <w:color w:val="auto"/>
        </w:rPr>
        <w:t>合同的约定</w:t>
      </w:r>
      <w:r>
        <w:rPr>
          <w:rFonts w:hint="eastAsia" w:ascii="宋体" w:hAnsi="宋体"/>
          <w:color w:val="auto"/>
        </w:rPr>
        <w:t>向甲方</w:t>
      </w:r>
      <w:r>
        <w:rPr>
          <w:rFonts w:ascii="宋体" w:hAnsi="宋体"/>
          <w:color w:val="auto"/>
        </w:rPr>
        <w:t>销售</w:t>
      </w:r>
      <w:r>
        <w:rPr>
          <w:rFonts w:hint="eastAsia" w:ascii="宋体" w:hAnsi="宋体"/>
          <w:color w:val="auto"/>
        </w:rPr>
        <w:t>合</w:t>
      </w:r>
      <w:r>
        <w:rPr>
          <w:rFonts w:ascii="宋体" w:hAnsi="宋体"/>
          <w:color w:val="auto"/>
        </w:rPr>
        <w:t>同产品</w:t>
      </w:r>
      <w:r>
        <w:rPr>
          <w:rFonts w:hint="eastAsia" w:ascii="宋体" w:hAnsi="宋体"/>
          <w:color w:val="auto"/>
        </w:rPr>
        <w:t>。</w:t>
      </w:r>
    </w:p>
    <w:p w14:paraId="15F94465">
      <w:pPr>
        <w:pStyle w:val="21"/>
        <w:spacing w:before="120" w:line="360" w:lineRule="exact"/>
        <w:ind w:left="66"/>
        <w:rPr>
          <w:rFonts w:ascii="宋体" w:hAnsi="宋体"/>
          <w:color w:val="auto"/>
        </w:rPr>
      </w:pPr>
      <w:r>
        <w:rPr>
          <w:rFonts w:hint="eastAsia" w:ascii="宋体" w:hAnsi="宋体"/>
          <w:color w:val="auto"/>
        </w:rPr>
        <w:t>2、乙方理解并同意，在适用的管辖范围内已被合法授权从事经营并将应甲方要求提供相</w:t>
      </w:r>
      <w:r>
        <w:rPr>
          <w:rFonts w:ascii="宋体" w:hAnsi="宋体"/>
          <w:color w:val="auto"/>
        </w:rPr>
        <w:t>关的</w:t>
      </w:r>
      <w:r>
        <w:rPr>
          <w:rFonts w:hint="eastAsia" w:ascii="宋体" w:hAnsi="宋体"/>
          <w:color w:val="auto"/>
        </w:rPr>
        <w:t>授权证明。如在任何时间，该等授权证明失效或未续授权，乙方</w:t>
      </w:r>
      <w:r>
        <w:rPr>
          <w:rFonts w:ascii="宋体" w:hAnsi="宋体"/>
          <w:color w:val="auto"/>
        </w:rPr>
        <w:t>应在</w:t>
      </w:r>
      <w:r>
        <w:rPr>
          <w:rFonts w:hint="eastAsia" w:ascii="宋体" w:hAnsi="宋体"/>
          <w:color w:val="auto"/>
        </w:rPr>
        <w:t>甲方</w:t>
      </w:r>
      <w:r>
        <w:rPr>
          <w:rFonts w:ascii="宋体" w:hAnsi="宋体"/>
          <w:color w:val="auto"/>
        </w:rPr>
        <w:t>要求的时间内重新取得合法的授权证明，否则</w:t>
      </w:r>
      <w:r>
        <w:rPr>
          <w:rFonts w:hint="eastAsia" w:ascii="宋体" w:hAnsi="宋体"/>
          <w:color w:val="auto"/>
        </w:rPr>
        <w:t>甲方有权自行决定终止本合同而不</w:t>
      </w:r>
      <w:r>
        <w:rPr>
          <w:rFonts w:ascii="宋体" w:hAnsi="宋体"/>
          <w:color w:val="auto"/>
        </w:rPr>
        <w:t>视为</w:t>
      </w:r>
      <w:r>
        <w:rPr>
          <w:rFonts w:hint="eastAsia" w:ascii="宋体" w:hAnsi="宋体"/>
          <w:color w:val="auto"/>
        </w:rPr>
        <w:t>甲方</w:t>
      </w:r>
      <w:r>
        <w:rPr>
          <w:rFonts w:ascii="宋体" w:hAnsi="宋体"/>
          <w:color w:val="auto"/>
        </w:rPr>
        <w:t>的违约，如</w:t>
      </w:r>
      <w:r>
        <w:rPr>
          <w:rFonts w:hint="eastAsia" w:ascii="宋体" w:hAnsi="宋体"/>
          <w:color w:val="auto"/>
        </w:rPr>
        <w:t>因</w:t>
      </w:r>
      <w:r>
        <w:rPr>
          <w:rFonts w:ascii="宋体" w:hAnsi="宋体"/>
          <w:color w:val="auto"/>
        </w:rPr>
        <w:t>此给</w:t>
      </w:r>
      <w:r>
        <w:rPr>
          <w:rFonts w:hint="eastAsia" w:ascii="宋体" w:hAnsi="宋体"/>
          <w:color w:val="auto"/>
        </w:rPr>
        <w:t>甲方</w:t>
      </w:r>
      <w:r>
        <w:rPr>
          <w:rFonts w:ascii="宋体" w:hAnsi="宋体"/>
          <w:color w:val="auto"/>
        </w:rPr>
        <w:t>造成损失</w:t>
      </w:r>
      <w:r>
        <w:rPr>
          <w:rFonts w:hint="eastAsia" w:ascii="宋体" w:hAnsi="宋体"/>
          <w:color w:val="auto"/>
        </w:rPr>
        <w:t>的</w:t>
      </w:r>
      <w:r>
        <w:rPr>
          <w:rFonts w:ascii="宋体" w:hAnsi="宋体"/>
          <w:color w:val="auto"/>
        </w:rPr>
        <w:t>，</w:t>
      </w:r>
      <w:r>
        <w:rPr>
          <w:rFonts w:hint="eastAsia" w:ascii="宋体" w:hAnsi="宋体"/>
          <w:color w:val="auto"/>
        </w:rPr>
        <w:t>甲方</w:t>
      </w:r>
      <w:r>
        <w:rPr>
          <w:rFonts w:ascii="宋体" w:hAnsi="宋体"/>
          <w:color w:val="auto"/>
        </w:rPr>
        <w:t>还有权要求</w:t>
      </w:r>
      <w:r>
        <w:rPr>
          <w:rFonts w:hint="eastAsia" w:ascii="宋体" w:hAnsi="宋体"/>
          <w:color w:val="auto"/>
        </w:rPr>
        <w:t>乙方</w:t>
      </w:r>
      <w:r>
        <w:rPr>
          <w:rFonts w:ascii="宋体" w:hAnsi="宋体"/>
          <w:color w:val="auto"/>
        </w:rPr>
        <w:t>赔偿</w:t>
      </w:r>
      <w:r>
        <w:rPr>
          <w:rFonts w:hint="eastAsia" w:ascii="宋体" w:hAnsi="宋体"/>
          <w:color w:val="auto"/>
        </w:rPr>
        <w:t>该</w:t>
      </w:r>
      <w:r>
        <w:rPr>
          <w:rFonts w:ascii="宋体" w:hAnsi="宋体"/>
          <w:color w:val="auto"/>
        </w:rPr>
        <w:t>等损失</w:t>
      </w:r>
      <w:r>
        <w:rPr>
          <w:rFonts w:hint="eastAsia" w:ascii="宋体" w:hAnsi="宋体"/>
          <w:color w:val="auto"/>
        </w:rPr>
        <w:t>。</w:t>
      </w:r>
    </w:p>
    <w:p w14:paraId="16C1A080">
      <w:pPr>
        <w:pStyle w:val="21"/>
        <w:spacing w:before="120" w:line="360" w:lineRule="exact"/>
        <w:rPr>
          <w:rFonts w:ascii="宋体" w:hAnsi="宋体"/>
          <w:color w:val="auto"/>
        </w:rPr>
      </w:pPr>
      <w:r>
        <w:rPr>
          <w:rFonts w:hint="eastAsia" w:ascii="宋体" w:hAnsi="宋体"/>
          <w:color w:val="auto"/>
        </w:rPr>
        <w:t>3、乙方应自行承担成本和费用确保产品和服务人员在履行本合同项下服务之前有适当的健康、安全以及其它方面的妥善安排。</w:t>
      </w:r>
    </w:p>
    <w:p w14:paraId="1D370A42">
      <w:pPr>
        <w:pStyle w:val="21"/>
        <w:spacing w:before="120" w:line="360" w:lineRule="exact"/>
        <w:rPr>
          <w:rFonts w:ascii="宋体" w:hAnsi="宋体"/>
          <w:color w:val="auto"/>
        </w:rPr>
      </w:pPr>
      <w:r>
        <w:rPr>
          <w:rFonts w:hint="eastAsia" w:ascii="宋体" w:hAnsi="宋体"/>
          <w:color w:val="auto"/>
        </w:rPr>
        <w:t>4、未获得甲方的书面同意，乙方不得向第三方发布或披露与本合同有关的任何细节。</w:t>
      </w:r>
    </w:p>
    <w:p w14:paraId="63914733">
      <w:pPr>
        <w:pStyle w:val="21"/>
        <w:spacing w:before="120" w:line="360" w:lineRule="exact"/>
        <w:rPr>
          <w:rFonts w:ascii="宋体" w:hAnsi="宋体"/>
          <w:color w:val="auto"/>
        </w:rPr>
      </w:pPr>
      <w:r>
        <w:rPr>
          <w:rFonts w:hint="eastAsia" w:ascii="宋体" w:hAnsi="宋体"/>
          <w:color w:val="auto"/>
        </w:rPr>
        <w:t>5、乙方在此承诺将提供良好并具竞争力的服务，以满足甲方的需要。</w:t>
      </w:r>
    </w:p>
    <w:p w14:paraId="57656114">
      <w:pPr>
        <w:widowControl w:val="0"/>
        <w:numPr>
          <w:ilvl w:val="255"/>
          <w:numId w:val="0"/>
        </w:numPr>
        <w:kinsoku/>
        <w:autoSpaceDE/>
        <w:autoSpaceDN/>
        <w:adjustRightInd/>
        <w:snapToGrid/>
        <w:spacing w:line="360" w:lineRule="auto"/>
        <w:ind w:firstLine="420" w:firstLineChars="200"/>
        <w:jc w:val="both"/>
        <w:textAlignment w:val="auto"/>
        <w:rPr>
          <w:rFonts w:ascii="宋体" w:hAnsi="宋体"/>
          <w:color w:val="auto"/>
        </w:rPr>
      </w:pPr>
      <w:r>
        <w:rPr>
          <w:rFonts w:hint="eastAsia" w:ascii="宋体" w:hAnsi="宋体"/>
          <w:color w:val="auto"/>
        </w:rPr>
        <w:t>6、乙方承诺并保证不制造、不经销任何假冒或者仿冒甲方公司商标（图形或</w:t>
      </w:r>
      <w:r>
        <w:rPr>
          <w:rFonts w:ascii="宋体" w:hAnsi="宋体"/>
          <w:color w:val="auto"/>
        </w:rPr>
        <w:t>/和文字）与本协议产品相同、相似或相近的侵犯</w:t>
      </w:r>
      <w:r>
        <w:rPr>
          <w:rFonts w:hint="eastAsia" w:ascii="宋体" w:hAnsi="宋体"/>
          <w:color w:val="auto"/>
        </w:rPr>
        <w:t>甲方知识产权的产品。甲方可就该等假冒、仿冒、违法销售等行为追究乙方法律责任。</w:t>
      </w:r>
    </w:p>
    <w:p w14:paraId="674A33D9">
      <w:pPr>
        <w:pStyle w:val="2"/>
        <w:rPr>
          <w:rFonts w:ascii="宋体" w:hAnsi="宋体"/>
          <w:color w:val="auto"/>
          <w:szCs w:val="21"/>
        </w:rPr>
      </w:pPr>
    </w:p>
    <w:p w14:paraId="24B40824">
      <w:pPr>
        <w:pStyle w:val="2"/>
        <w:rPr>
          <w:rFonts w:ascii="宋体" w:hAnsi="宋体"/>
          <w:color w:val="auto"/>
          <w:szCs w:val="21"/>
        </w:rPr>
      </w:pPr>
    </w:p>
    <w:p w14:paraId="29A90DAB">
      <w:pPr>
        <w:spacing w:before="120" w:line="360" w:lineRule="exact"/>
        <w:jc w:val="both"/>
        <w:rPr>
          <w:rFonts w:ascii="宋体" w:hAnsi="宋体" w:cs="Times New Roman"/>
          <w:b/>
          <w:color w:val="auto"/>
          <w:kern w:val="2"/>
          <w:u w:val="single"/>
        </w:rPr>
      </w:pPr>
      <w:r>
        <w:rPr>
          <w:rFonts w:hint="eastAsia" w:ascii="宋体" w:hAnsi="宋体" w:cs="Times New Roman"/>
          <w:color w:val="auto"/>
          <w:kern w:val="2"/>
        </w:rPr>
        <w:t>二、</w:t>
      </w:r>
      <w:r>
        <w:rPr>
          <w:rFonts w:hint="eastAsia" w:ascii="宋体" w:hAnsi="宋体" w:cs="Times New Roman"/>
          <w:b/>
          <w:color w:val="auto"/>
          <w:kern w:val="2"/>
        </w:rPr>
        <w:t>价格</w:t>
      </w:r>
    </w:p>
    <w:p w14:paraId="557E22A0">
      <w:pPr>
        <w:pStyle w:val="21"/>
        <w:spacing w:before="120" w:line="360" w:lineRule="exact"/>
        <w:rPr>
          <w:rFonts w:ascii="宋体" w:hAnsi="宋体"/>
          <w:color w:val="auto"/>
        </w:rPr>
      </w:pPr>
      <w:r>
        <w:rPr>
          <w:rFonts w:hint="eastAsia" w:ascii="宋体" w:hAnsi="宋体"/>
          <w:color w:val="auto"/>
        </w:rPr>
        <w:t>1、本合同专用条款约定的标的价格包含乙方将合同产品送至甲方指定的交货地点并交付给甲方之前的所有费用（包括但不限于成本及利润、税金、包装费、运输费、保险费、仓储费、损耗费、劳务费、工人工资等）和后续费用（包括但不限于后续的合同产品验收、合同产品的安装、调试、移交、试运行、初验及终验、属于质保范围的保修和维修、技术服务）及政府机构征收的一切税费。</w:t>
      </w:r>
    </w:p>
    <w:p w14:paraId="6303353B">
      <w:pPr>
        <w:pStyle w:val="21"/>
        <w:spacing w:before="120" w:line="360" w:lineRule="exact"/>
        <w:rPr>
          <w:rFonts w:ascii="宋体" w:hAnsi="宋体"/>
          <w:color w:val="auto"/>
        </w:rPr>
      </w:pPr>
      <w:r>
        <w:rPr>
          <w:rFonts w:hint="eastAsia" w:ascii="宋体" w:hAnsi="宋体"/>
          <w:color w:val="auto"/>
        </w:rPr>
        <w:t>2、合同产品正常运转所必须的部件、构件、附件和配件即便未单独或整体列入本合同条款或附件清单中，也均应被视为包括在本合同及本合同总价中。</w:t>
      </w:r>
    </w:p>
    <w:p w14:paraId="0D1E01DC">
      <w:pPr>
        <w:pStyle w:val="21"/>
        <w:spacing w:before="120" w:line="360" w:lineRule="exact"/>
        <w:rPr>
          <w:rFonts w:ascii="宋体" w:hAnsi="宋体"/>
          <w:color w:val="auto"/>
        </w:rPr>
      </w:pPr>
      <w:r>
        <w:rPr>
          <w:rFonts w:hint="eastAsia" w:ascii="宋体" w:hAnsi="宋体"/>
          <w:color w:val="auto"/>
        </w:rPr>
        <w:t>3、除另有约定之情况下，乙方于本合同项下履行约定义务过程中，所有不可或缺的附带工作所产生的费用，不论该等工作是否在本合同文件中予以说明，亦不论是否已在双方签订合同时予以预见均已被包含在总价中。</w:t>
      </w:r>
    </w:p>
    <w:p w14:paraId="533A1E33">
      <w:pPr>
        <w:pStyle w:val="21"/>
        <w:spacing w:before="120" w:line="360" w:lineRule="exact"/>
        <w:rPr>
          <w:rFonts w:ascii="宋体" w:hAnsi="宋体"/>
          <w:color w:val="auto"/>
        </w:rPr>
      </w:pPr>
      <w:r>
        <w:rPr>
          <w:rFonts w:hint="eastAsia" w:ascii="宋体" w:hAnsi="宋体"/>
          <w:color w:val="auto"/>
        </w:rPr>
        <w:t>4、</w:t>
      </w:r>
      <w:r>
        <w:rPr>
          <w:rFonts w:hint="eastAsia" w:ascii="宋体" w:hAnsi="宋体"/>
          <w:color w:val="auto"/>
          <w:lang w:val="de-DE"/>
        </w:rPr>
        <w:t>乙方</w:t>
      </w:r>
      <w:r>
        <w:rPr>
          <w:rFonts w:hint="eastAsia" w:ascii="宋体" w:hAnsi="宋体"/>
          <w:color w:val="auto"/>
          <w:lang w:val="de-DE" w:eastAsia="de-DE"/>
        </w:rPr>
        <w:t>承诺在合同生效前后两个月内</w:t>
      </w:r>
      <w:r>
        <w:rPr>
          <w:rFonts w:hint="eastAsia" w:ascii="宋体" w:hAnsi="宋体"/>
          <w:color w:val="auto"/>
          <w:lang w:val="de-DE"/>
        </w:rPr>
        <w:t>，</w:t>
      </w:r>
      <w:r>
        <w:rPr>
          <w:rFonts w:hint="eastAsia" w:ascii="宋体" w:hAnsi="宋体"/>
          <w:color w:val="auto"/>
          <w:lang w:val="de-DE" w:eastAsia="de-DE"/>
        </w:rPr>
        <w:t>本合同项下产品价格不高于在</w:t>
      </w:r>
      <w:r>
        <w:rPr>
          <w:rFonts w:hint="eastAsia" w:ascii="宋体" w:hAnsi="宋体"/>
          <w:color w:val="auto"/>
          <w:lang w:val="de-DE"/>
        </w:rPr>
        <w:t>同等</w:t>
      </w:r>
      <w:r>
        <w:rPr>
          <w:rFonts w:hint="eastAsia" w:ascii="宋体" w:hAnsi="宋体"/>
          <w:color w:val="auto"/>
          <w:lang w:val="de-DE" w:eastAsia="de-DE"/>
        </w:rPr>
        <w:t>交易条件下</w:t>
      </w:r>
      <w:r>
        <w:rPr>
          <w:rFonts w:hint="eastAsia" w:ascii="宋体" w:hAnsi="宋体"/>
          <w:color w:val="auto"/>
          <w:lang w:val="de-DE"/>
        </w:rPr>
        <w:t>该产品在公开市场上的交易价格（含报价）。</w:t>
      </w:r>
      <w:r>
        <w:rPr>
          <w:rFonts w:hint="eastAsia" w:ascii="宋体" w:hAnsi="宋体"/>
          <w:color w:val="auto"/>
        </w:rPr>
        <w:t>乙方</w:t>
      </w:r>
      <w:r>
        <w:rPr>
          <w:rFonts w:ascii="宋体" w:hAnsi="宋体"/>
          <w:color w:val="auto"/>
        </w:rPr>
        <w:t>违反上述承诺的</w:t>
      </w:r>
      <w:r>
        <w:rPr>
          <w:rFonts w:hint="eastAsia" w:ascii="宋体" w:hAnsi="宋体"/>
          <w:color w:val="auto"/>
        </w:rPr>
        <w:t>，</w:t>
      </w:r>
      <w:r>
        <w:rPr>
          <w:rFonts w:ascii="宋体" w:hAnsi="宋体"/>
          <w:color w:val="auto"/>
        </w:rPr>
        <w:t>应当按合同专用条款约定之</w:t>
      </w:r>
      <w:r>
        <w:rPr>
          <w:rFonts w:hint="eastAsia" w:ascii="宋体" w:hAnsi="宋体"/>
          <w:color w:val="auto"/>
        </w:rPr>
        <w:t>甲方</w:t>
      </w:r>
      <w:r>
        <w:rPr>
          <w:rFonts w:ascii="宋体" w:hAnsi="宋体"/>
          <w:color w:val="auto"/>
        </w:rPr>
        <w:t>采购价格与该</w:t>
      </w:r>
      <w:r>
        <w:rPr>
          <w:rFonts w:hint="eastAsia" w:ascii="宋体" w:hAnsi="宋体"/>
          <w:color w:val="auto"/>
        </w:rPr>
        <w:t>较</w:t>
      </w:r>
      <w:r>
        <w:rPr>
          <w:rFonts w:ascii="宋体" w:hAnsi="宋体"/>
          <w:color w:val="auto"/>
        </w:rPr>
        <w:t>低价之间差</w:t>
      </w:r>
      <w:r>
        <w:rPr>
          <w:rFonts w:hint="eastAsia" w:ascii="宋体" w:hAnsi="宋体"/>
          <w:color w:val="auto"/>
        </w:rPr>
        <w:t>额</w:t>
      </w:r>
      <w:r>
        <w:rPr>
          <w:rFonts w:ascii="宋体" w:hAnsi="宋体"/>
          <w:color w:val="auto"/>
        </w:rPr>
        <w:t>的两倍向</w:t>
      </w:r>
      <w:r>
        <w:rPr>
          <w:rFonts w:hint="eastAsia" w:ascii="宋体" w:hAnsi="宋体"/>
          <w:color w:val="auto"/>
        </w:rPr>
        <w:t>甲方</w:t>
      </w:r>
      <w:r>
        <w:rPr>
          <w:rFonts w:ascii="宋体" w:hAnsi="宋体"/>
          <w:color w:val="auto"/>
        </w:rPr>
        <w:t>支付违约金</w:t>
      </w:r>
      <w:r>
        <w:rPr>
          <w:rFonts w:hint="eastAsia" w:ascii="宋体" w:hAnsi="宋体"/>
          <w:color w:val="auto"/>
        </w:rPr>
        <w:t>。</w:t>
      </w:r>
    </w:p>
    <w:p w14:paraId="77A57D17">
      <w:pPr>
        <w:pStyle w:val="21"/>
        <w:spacing w:before="120" w:line="360" w:lineRule="exact"/>
        <w:rPr>
          <w:rFonts w:ascii="宋体" w:hAnsi="宋体"/>
          <w:color w:val="auto"/>
        </w:rPr>
      </w:pPr>
      <w:r>
        <w:rPr>
          <w:rFonts w:hint="eastAsia" w:ascii="宋体" w:hAnsi="宋体"/>
          <w:color w:val="auto"/>
        </w:rPr>
        <w:t>5、乙方</w:t>
      </w:r>
      <w:r>
        <w:rPr>
          <w:rFonts w:ascii="宋体" w:hAnsi="宋体"/>
          <w:color w:val="auto"/>
        </w:rPr>
        <w:t>同意将本合同项下应付款项用于抵扣</w:t>
      </w:r>
      <w:r>
        <w:rPr>
          <w:rFonts w:hint="eastAsia" w:ascii="宋体" w:hAnsi="宋体"/>
          <w:color w:val="auto"/>
        </w:rPr>
        <w:t>本合</w:t>
      </w:r>
      <w:r>
        <w:rPr>
          <w:rFonts w:ascii="宋体" w:hAnsi="宋体"/>
          <w:color w:val="auto"/>
        </w:rPr>
        <w:t>同项下</w:t>
      </w:r>
      <w:r>
        <w:rPr>
          <w:rFonts w:hint="eastAsia" w:ascii="宋体" w:hAnsi="宋体"/>
          <w:color w:val="auto"/>
        </w:rPr>
        <w:t>乙方拖欠甲方的任何款项（如有，不限于违约金、赔偿金等）。</w:t>
      </w:r>
    </w:p>
    <w:p w14:paraId="22BCD125">
      <w:pPr>
        <w:spacing w:before="120" w:line="360" w:lineRule="exact"/>
        <w:jc w:val="both"/>
        <w:rPr>
          <w:rFonts w:ascii="宋体" w:hAnsi="宋体" w:cs="Times New Roman"/>
          <w:b/>
          <w:color w:val="auto"/>
          <w:kern w:val="2"/>
          <w:u w:val="single"/>
        </w:rPr>
      </w:pPr>
      <w:r>
        <w:rPr>
          <w:rFonts w:hint="eastAsia" w:ascii="宋体" w:hAnsi="宋体" w:cs="Times New Roman"/>
          <w:b/>
          <w:color w:val="auto"/>
          <w:kern w:val="2"/>
        </w:rPr>
        <w:t>三、包装和运输</w:t>
      </w:r>
    </w:p>
    <w:p w14:paraId="40B04099">
      <w:pPr>
        <w:pStyle w:val="21"/>
        <w:spacing w:before="120" w:line="360" w:lineRule="exact"/>
        <w:rPr>
          <w:rFonts w:ascii="宋体" w:hAnsi="宋体"/>
          <w:color w:val="auto"/>
        </w:rPr>
      </w:pPr>
      <w:r>
        <w:rPr>
          <w:rFonts w:hint="eastAsia" w:ascii="宋体" w:hAnsi="宋体"/>
          <w:color w:val="auto"/>
        </w:rPr>
        <w:t>1、乙方</w:t>
      </w:r>
      <w:r>
        <w:rPr>
          <w:rFonts w:ascii="宋体" w:hAnsi="宋体"/>
          <w:color w:val="auto"/>
        </w:rPr>
        <w:t>应提供合同产品运送至约定收货地址所需要的包装且保证相关包装材料坚固。根据合同产品特点和要求，</w:t>
      </w:r>
      <w:r>
        <w:rPr>
          <w:rFonts w:hint="eastAsia" w:ascii="宋体" w:hAnsi="宋体"/>
          <w:color w:val="auto"/>
        </w:rPr>
        <w:t>乙方</w:t>
      </w:r>
      <w:r>
        <w:rPr>
          <w:rFonts w:ascii="宋体" w:hAnsi="宋体"/>
          <w:color w:val="auto"/>
        </w:rPr>
        <w:t>应采取防潮、防晒、防震、防压、防水及防止其他损坏的必要保护措施，从而保证合同产品免受雨水、潮湿、震荡和撞击的损坏，使其在正常装卸和搬运的条件下能够安全无损地抵达安装现场。相关合同产品的卸货工作由</w:t>
      </w:r>
      <w:r>
        <w:rPr>
          <w:rFonts w:hint="eastAsia" w:ascii="宋体" w:hAnsi="宋体"/>
          <w:color w:val="auto"/>
        </w:rPr>
        <w:t>乙方</w:t>
      </w:r>
      <w:r>
        <w:rPr>
          <w:rFonts w:ascii="宋体" w:hAnsi="宋体"/>
          <w:color w:val="auto"/>
        </w:rPr>
        <w:t>负责完成。</w:t>
      </w:r>
    </w:p>
    <w:p w14:paraId="44AB0459">
      <w:pPr>
        <w:pStyle w:val="21"/>
        <w:spacing w:before="120" w:line="360" w:lineRule="exact"/>
        <w:ind w:left="66"/>
        <w:rPr>
          <w:rFonts w:ascii="宋体" w:hAnsi="宋体"/>
          <w:color w:val="auto"/>
        </w:rPr>
      </w:pPr>
      <w:r>
        <w:rPr>
          <w:rFonts w:hint="eastAsia" w:ascii="宋体" w:hAnsi="宋体"/>
          <w:color w:val="auto"/>
        </w:rPr>
        <w:t>2、</w:t>
      </w:r>
      <w:r>
        <w:rPr>
          <w:rFonts w:ascii="宋体" w:hAnsi="宋体"/>
          <w:color w:val="auto"/>
        </w:rPr>
        <w:t>如因</w:t>
      </w:r>
      <w:r>
        <w:rPr>
          <w:rFonts w:hint="eastAsia" w:ascii="宋体" w:hAnsi="宋体"/>
          <w:color w:val="auto"/>
        </w:rPr>
        <w:t>乙方</w:t>
      </w:r>
      <w:r>
        <w:rPr>
          <w:rFonts w:ascii="宋体" w:hAnsi="宋体"/>
          <w:color w:val="auto"/>
        </w:rPr>
        <w:t>在发货前未采取适当包装和/或不充分的保护措施而造成合同产品及配套材料的损坏或丢失，</w:t>
      </w:r>
      <w:r>
        <w:rPr>
          <w:rFonts w:hint="eastAsia" w:ascii="宋体" w:hAnsi="宋体"/>
          <w:color w:val="auto"/>
        </w:rPr>
        <w:t>甲方有权拒收或</w:t>
      </w:r>
      <w:r>
        <w:rPr>
          <w:rFonts w:ascii="宋体" w:hAnsi="宋体"/>
          <w:color w:val="auto"/>
        </w:rPr>
        <w:t>由</w:t>
      </w:r>
      <w:r>
        <w:rPr>
          <w:rFonts w:hint="eastAsia" w:ascii="宋体" w:hAnsi="宋体"/>
          <w:color w:val="auto"/>
        </w:rPr>
        <w:t>乙方</w:t>
      </w:r>
      <w:r>
        <w:rPr>
          <w:rFonts w:ascii="宋体" w:hAnsi="宋体"/>
          <w:color w:val="auto"/>
        </w:rPr>
        <w:t>负责更换，并承担</w:t>
      </w:r>
      <w:r>
        <w:rPr>
          <w:rFonts w:hint="eastAsia" w:ascii="宋体" w:hAnsi="宋体"/>
          <w:color w:val="auto"/>
        </w:rPr>
        <w:t>违约责任及</w:t>
      </w:r>
      <w:r>
        <w:rPr>
          <w:rFonts w:ascii="宋体" w:hAnsi="宋体"/>
          <w:color w:val="auto"/>
        </w:rPr>
        <w:t>因此造成的延误责任以及由此导致</w:t>
      </w:r>
      <w:r>
        <w:rPr>
          <w:rFonts w:hint="eastAsia" w:ascii="宋体" w:hAnsi="宋体"/>
          <w:color w:val="auto"/>
        </w:rPr>
        <w:t>甲方</w:t>
      </w:r>
      <w:r>
        <w:rPr>
          <w:rFonts w:ascii="宋体" w:hAnsi="宋体"/>
          <w:color w:val="auto"/>
        </w:rPr>
        <w:t>的经济损失。</w:t>
      </w:r>
    </w:p>
    <w:p w14:paraId="6FD2B135">
      <w:pPr>
        <w:widowControl w:val="0"/>
        <w:numPr>
          <w:ilvl w:val="255"/>
          <w:numId w:val="0"/>
        </w:numPr>
        <w:kinsoku/>
        <w:autoSpaceDE/>
        <w:autoSpaceDN/>
        <w:adjustRightInd/>
        <w:snapToGrid/>
        <w:spacing w:line="360" w:lineRule="auto"/>
        <w:ind w:firstLine="420" w:firstLineChars="200"/>
        <w:textAlignment w:val="auto"/>
        <w:rPr>
          <w:rFonts w:ascii="宋体" w:hAnsi="宋体"/>
          <w:color w:val="auto"/>
        </w:rPr>
      </w:pPr>
      <w:r>
        <w:rPr>
          <w:rFonts w:hint="eastAsia" w:ascii="宋体" w:hAnsi="宋体"/>
          <w:color w:val="auto"/>
        </w:rPr>
        <w:t>3、乙方</w:t>
      </w:r>
      <w:r>
        <w:rPr>
          <w:rFonts w:ascii="宋体" w:hAnsi="宋体"/>
          <w:color w:val="auto"/>
        </w:rPr>
        <w:t>应选择适合</w:t>
      </w:r>
      <w:r>
        <w:rPr>
          <w:rFonts w:hint="eastAsia" w:ascii="宋体" w:hAnsi="宋体"/>
          <w:color w:val="auto"/>
        </w:rPr>
        <w:t>合</w:t>
      </w:r>
      <w:r>
        <w:rPr>
          <w:rFonts w:ascii="宋体" w:hAnsi="宋体"/>
          <w:color w:val="auto"/>
        </w:rPr>
        <w:t>同产</w:t>
      </w:r>
      <w:r>
        <w:rPr>
          <w:rFonts w:hint="eastAsia" w:ascii="宋体" w:hAnsi="宋体"/>
          <w:color w:val="auto"/>
        </w:rPr>
        <w:t>品</w:t>
      </w:r>
      <w:r>
        <w:rPr>
          <w:rFonts w:ascii="宋体" w:hAnsi="宋体"/>
          <w:color w:val="auto"/>
        </w:rPr>
        <w:t>的方式运输</w:t>
      </w:r>
      <w:r>
        <w:rPr>
          <w:rFonts w:hint="eastAsia" w:ascii="宋体" w:hAnsi="宋体"/>
          <w:color w:val="auto"/>
        </w:rPr>
        <w:t>，如由于不可归责于任何一方的意外事件造成本合同产品在运输过程中丢失和</w:t>
      </w:r>
      <w:r>
        <w:rPr>
          <w:rFonts w:ascii="宋体" w:hAnsi="宋体"/>
          <w:color w:val="auto"/>
        </w:rPr>
        <w:t>/或损坏，</w:t>
      </w:r>
      <w:r>
        <w:rPr>
          <w:rFonts w:hint="eastAsia" w:ascii="宋体" w:hAnsi="宋体"/>
          <w:color w:val="auto"/>
        </w:rPr>
        <w:t>乙方</w:t>
      </w:r>
      <w:r>
        <w:rPr>
          <w:rFonts w:ascii="宋体" w:hAnsi="宋体"/>
          <w:color w:val="auto"/>
        </w:rPr>
        <w:t>应尽快补齐丢失和/或损坏的产品及配套材料以使本合同得以及时、完整履行。由此造成</w:t>
      </w:r>
      <w:r>
        <w:rPr>
          <w:rFonts w:hint="eastAsia" w:ascii="宋体" w:hAnsi="宋体"/>
          <w:color w:val="auto"/>
        </w:rPr>
        <w:t>甲方</w:t>
      </w:r>
      <w:r>
        <w:rPr>
          <w:rFonts w:ascii="宋体" w:hAnsi="宋体"/>
          <w:color w:val="auto"/>
        </w:rPr>
        <w:t>损失的，双方按照公平原则协商处理。</w:t>
      </w:r>
    </w:p>
    <w:p w14:paraId="00E52728">
      <w:pPr>
        <w:spacing w:before="120" w:line="360" w:lineRule="exact"/>
        <w:jc w:val="both"/>
        <w:rPr>
          <w:rFonts w:ascii="宋体" w:hAnsi="宋体" w:cs="Times New Roman"/>
          <w:color w:val="auto"/>
          <w:kern w:val="2"/>
        </w:rPr>
      </w:pPr>
      <w:r>
        <w:rPr>
          <w:rFonts w:hint="eastAsia" w:ascii="宋体" w:hAnsi="宋体" w:cs="Times New Roman"/>
          <w:b/>
          <w:color w:val="auto"/>
          <w:kern w:val="2"/>
        </w:rPr>
        <w:t>四、交货与验收</w:t>
      </w:r>
    </w:p>
    <w:p w14:paraId="721BE865">
      <w:pPr>
        <w:pStyle w:val="21"/>
        <w:spacing w:before="120" w:line="360" w:lineRule="exact"/>
        <w:ind w:left="66" w:firstLine="0" w:firstLineChars="0"/>
        <w:rPr>
          <w:rFonts w:ascii="宋体" w:hAnsi="宋体"/>
          <w:color w:val="auto"/>
        </w:rPr>
      </w:pPr>
      <w:r>
        <w:rPr>
          <w:rFonts w:hint="eastAsia" w:ascii="宋体" w:hAnsi="宋体"/>
          <w:color w:val="auto"/>
        </w:rPr>
        <w:t>1、交货</w:t>
      </w:r>
    </w:p>
    <w:p w14:paraId="33AF53BE">
      <w:pPr>
        <w:pStyle w:val="21"/>
        <w:numPr>
          <w:ilvl w:val="0"/>
          <w:numId w:val="6"/>
        </w:numPr>
        <w:tabs>
          <w:tab w:val="left" w:pos="993"/>
        </w:tabs>
        <w:spacing w:before="120" w:line="360" w:lineRule="exact"/>
        <w:ind w:left="567" w:hanging="567" w:firstLineChars="0"/>
        <w:rPr>
          <w:rFonts w:ascii="宋体" w:hAnsi="宋体"/>
          <w:color w:val="auto"/>
        </w:rPr>
      </w:pPr>
      <w:r>
        <w:rPr>
          <w:rFonts w:hint="eastAsia" w:ascii="宋体" w:hAnsi="宋体"/>
          <w:color w:val="auto"/>
        </w:rPr>
        <w:t>乙方应当于专用条款</w:t>
      </w:r>
      <w:r>
        <w:rPr>
          <w:rFonts w:ascii="宋体" w:hAnsi="宋体"/>
          <w:color w:val="auto"/>
        </w:rPr>
        <w:t>约定的</w:t>
      </w:r>
      <w:r>
        <w:rPr>
          <w:rFonts w:hint="eastAsia" w:ascii="宋体" w:hAnsi="宋体"/>
          <w:color w:val="auto"/>
        </w:rPr>
        <w:t>交货日前</w:t>
      </w:r>
      <w:r>
        <w:rPr>
          <w:rFonts w:ascii="宋体" w:hAnsi="宋体"/>
          <w:color w:val="auto"/>
        </w:rPr>
        <w:t>将合同产品运送至</w:t>
      </w:r>
      <w:r>
        <w:rPr>
          <w:rFonts w:hint="eastAsia" w:ascii="宋体" w:hAnsi="宋体"/>
          <w:color w:val="auto"/>
        </w:rPr>
        <w:t>甲方</w:t>
      </w:r>
      <w:r>
        <w:rPr>
          <w:rFonts w:ascii="宋体" w:hAnsi="宋体"/>
          <w:color w:val="auto"/>
        </w:rPr>
        <w:t>指定收货地点</w:t>
      </w:r>
      <w:r>
        <w:rPr>
          <w:rFonts w:hint="eastAsia" w:ascii="宋体" w:hAnsi="宋体"/>
          <w:color w:val="auto"/>
        </w:rPr>
        <w:t>；乙方在交货前应通知甲方准备收货</w:t>
      </w:r>
      <w:r>
        <w:rPr>
          <w:rFonts w:ascii="宋体" w:hAnsi="宋体"/>
          <w:color w:val="auto"/>
        </w:rPr>
        <w:t>,否则</w:t>
      </w:r>
      <w:r>
        <w:rPr>
          <w:rFonts w:hint="eastAsia" w:ascii="宋体" w:hAnsi="宋体"/>
          <w:color w:val="auto"/>
        </w:rPr>
        <w:t>甲方</w:t>
      </w:r>
      <w:r>
        <w:rPr>
          <w:rFonts w:ascii="宋体" w:hAnsi="宋体"/>
          <w:color w:val="auto"/>
        </w:rPr>
        <w:t>有权拒绝接收。</w:t>
      </w:r>
      <w:r>
        <w:rPr>
          <w:rFonts w:hint="eastAsia" w:ascii="宋体" w:hAnsi="宋体"/>
          <w:color w:val="auto"/>
        </w:rPr>
        <w:t>甲方要求延迟交货的应当在交货日前三</w:t>
      </w:r>
      <w:r>
        <w:rPr>
          <w:rFonts w:ascii="宋体" w:hAnsi="宋体"/>
          <w:color w:val="auto"/>
        </w:rPr>
        <w:t>天通知</w:t>
      </w:r>
      <w:r>
        <w:rPr>
          <w:rFonts w:hint="eastAsia" w:ascii="宋体" w:hAnsi="宋体"/>
          <w:color w:val="auto"/>
        </w:rPr>
        <w:t>乙方</w:t>
      </w:r>
      <w:r>
        <w:rPr>
          <w:rFonts w:ascii="宋体" w:hAnsi="宋体"/>
          <w:color w:val="auto"/>
        </w:rPr>
        <w:t>。</w:t>
      </w:r>
    </w:p>
    <w:p w14:paraId="682C785D">
      <w:pPr>
        <w:pStyle w:val="21"/>
        <w:numPr>
          <w:ilvl w:val="0"/>
          <w:numId w:val="6"/>
        </w:numPr>
        <w:spacing w:before="120" w:line="360" w:lineRule="exact"/>
        <w:ind w:left="567" w:hanging="567" w:firstLineChars="0"/>
        <w:rPr>
          <w:rFonts w:ascii="宋体" w:hAnsi="宋体"/>
          <w:color w:val="auto"/>
        </w:rPr>
      </w:pPr>
      <w:r>
        <w:rPr>
          <w:rFonts w:hint="eastAsia" w:ascii="宋体" w:hAnsi="宋体"/>
          <w:color w:val="auto"/>
        </w:rPr>
        <w:t>交货时，合</w:t>
      </w:r>
      <w:r>
        <w:rPr>
          <w:rFonts w:ascii="宋体" w:hAnsi="宋体"/>
          <w:color w:val="auto"/>
        </w:rPr>
        <w:t>同</w:t>
      </w:r>
      <w:r>
        <w:rPr>
          <w:rFonts w:hint="eastAsia" w:ascii="宋体" w:hAnsi="宋体"/>
          <w:color w:val="auto"/>
        </w:rPr>
        <w:t>产品须带有包含合同</w:t>
      </w:r>
      <w:r>
        <w:rPr>
          <w:rFonts w:ascii="宋体" w:hAnsi="宋体"/>
          <w:color w:val="auto"/>
        </w:rPr>
        <w:t>产品</w:t>
      </w:r>
      <w:r>
        <w:rPr>
          <w:rFonts w:hint="eastAsia" w:ascii="宋体" w:hAnsi="宋体"/>
          <w:color w:val="auto"/>
        </w:rPr>
        <w:t>名称、数量、机组号、图号等</w:t>
      </w:r>
      <w:r>
        <w:rPr>
          <w:rFonts w:ascii="宋体" w:hAnsi="宋体"/>
          <w:color w:val="auto"/>
        </w:rPr>
        <w:t>相关</w:t>
      </w:r>
      <w:r>
        <w:rPr>
          <w:rFonts w:hint="eastAsia" w:ascii="宋体" w:hAnsi="宋体"/>
          <w:color w:val="auto"/>
        </w:rPr>
        <w:t>信息的详细送货</w:t>
      </w:r>
      <w:r>
        <w:rPr>
          <w:rFonts w:ascii="宋体" w:hAnsi="宋体"/>
          <w:color w:val="auto"/>
        </w:rPr>
        <w:t>单</w:t>
      </w:r>
      <w:r>
        <w:rPr>
          <w:rFonts w:hint="eastAsia" w:ascii="宋体" w:hAnsi="宋体"/>
          <w:color w:val="auto"/>
        </w:rPr>
        <w:t>、产</w:t>
      </w:r>
      <w:r>
        <w:rPr>
          <w:rFonts w:ascii="宋体" w:hAnsi="宋体"/>
          <w:color w:val="auto"/>
        </w:rPr>
        <w:t>品</w:t>
      </w:r>
      <w:r>
        <w:rPr>
          <w:rFonts w:hint="eastAsia" w:ascii="宋体" w:hAnsi="宋体"/>
          <w:color w:val="auto"/>
        </w:rPr>
        <w:t>合格证及产品出厂检测报告（如有）、发货证明等相</w:t>
      </w:r>
      <w:r>
        <w:rPr>
          <w:rFonts w:ascii="宋体" w:hAnsi="宋体"/>
          <w:color w:val="auto"/>
        </w:rPr>
        <w:t>关附属材料</w:t>
      </w:r>
      <w:r>
        <w:rPr>
          <w:rFonts w:hint="eastAsia" w:ascii="宋体" w:hAnsi="宋体"/>
          <w:color w:val="auto"/>
        </w:rPr>
        <w:t>。</w:t>
      </w:r>
    </w:p>
    <w:p w14:paraId="0D12678C">
      <w:pPr>
        <w:pStyle w:val="21"/>
        <w:numPr>
          <w:ilvl w:val="0"/>
          <w:numId w:val="6"/>
        </w:numPr>
        <w:spacing w:before="120" w:line="360" w:lineRule="exact"/>
        <w:ind w:left="567" w:hanging="567" w:firstLineChars="0"/>
        <w:rPr>
          <w:rFonts w:ascii="宋体" w:hAnsi="宋体"/>
          <w:color w:val="auto"/>
        </w:rPr>
      </w:pPr>
      <w:r>
        <w:rPr>
          <w:rFonts w:hint="eastAsia" w:ascii="宋体" w:hAnsi="宋体"/>
          <w:color w:val="auto"/>
        </w:rPr>
        <w:t>如是进口产品，乙方应于</w:t>
      </w:r>
      <w:r>
        <w:rPr>
          <w:rFonts w:ascii="宋体" w:hAnsi="宋体"/>
          <w:color w:val="auto"/>
        </w:rPr>
        <w:t>交货时</w:t>
      </w:r>
      <w:r>
        <w:rPr>
          <w:rFonts w:hint="eastAsia" w:ascii="宋体" w:hAnsi="宋体"/>
          <w:color w:val="auto"/>
        </w:rPr>
        <w:t>提供原产地证明、原厂测试报告、报关单等相关文件，并负责清关事宜。</w:t>
      </w:r>
    </w:p>
    <w:p w14:paraId="161B1E95">
      <w:pPr>
        <w:pStyle w:val="21"/>
        <w:spacing w:before="120" w:line="360" w:lineRule="exact"/>
        <w:ind w:firstLine="0" w:firstLineChars="0"/>
        <w:rPr>
          <w:rFonts w:ascii="宋体" w:hAnsi="宋体"/>
          <w:color w:val="auto"/>
        </w:rPr>
      </w:pPr>
      <w:r>
        <w:rPr>
          <w:rFonts w:hint="eastAsia" w:ascii="宋体" w:hAnsi="宋体"/>
          <w:color w:val="auto"/>
        </w:rPr>
        <w:t>2、安装调试</w:t>
      </w:r>
    </w:p>
    <w:p w14:paraId="297100DD">
      <w:pPr>
        <w:pStyle w:val="21"/>
        <w:spacing w:before="120" w:line="360" w:lineRule="exact"/>
        <w:ind w:left="426" w:firstLine="0" w:firstLineChars="0"/>
        <w:rPr>
          <w:rFonts w:ascii="宋体" w:hAnsi="宋体"/>
          <w:color w:val="auto"/>
        </w:rPr>
      </w:pPr>
      <w:r>
        <w:rPr>
          <w:rFonts w:hint="eastAsia" w:ascii="宋体" w:hAnsi="宋体"/>
          <w:color w:val="auto"/>
        </w:rPr>
        <w:t>如双方约定由乙方安装、调试的，乙方应指定符合资质的专业人员严格按照相关安装技术规程及调试规程进行产品的全程安装和调试。</w:t>
      </w:r>
    </w:p>
    <w:p w14:paraId="6F3AE3BE">
      <w:pPr>
        <w:pStyle w:val="21"/>
        <w:spacing w:before="120" w:line="360" w:lineRule="exact"/>
        <w:ind w:firstLine="0" w:firstLineChars="0"/>
        <w:rPr>
          <w:rFonts w:ascii="宋体" w:hAnsi="宋体"/>
          <w:color w:val="auto"/>
        </w:rPr>
      </w:pPr>
      <w:r>
        <w:rPr>
          <w:rFonts w:hint="eastAsia" w:ascii="宋体" w:hAnsi="宋体"/>
          <w:color w:val="auto"/>
        </w:rPr>
        <w:t>3、验收</w:t>
      </w:r>
    </w:p>
    <w:p w14:paraId="413FD879">
      <w:pPr>
        <w:pStyle w:val="21"/>
        <w:numPr>
          <w:ilvl w:val="0"/>
          <w:numId w:val="7"/>
        </w:numPr>
        <w:tabs>
          <w:tab w:val="left" w:pos="426"/>
          <w:tab w:val="left" w:pos="567"/>
        </w:tabs>
        <w:spacing w:before="120" w:line="360" w:lineRule="exact"/>
        <w:ind w:left="567" w:hanging="567" w:firstLineChars="0"/>
        <w:rPr>
          <w:rFonts w:ascii="宋体" w:hAnsi="宋体"/>
          <w:color w:val="auto"/>
        </w:rPr>
      </w:pPr>
      <w:r>
        <w:rPr>
          <w:rFonts w:hint="eastAsia" w:ascii="宋体" w:hAnsi="宋体"/>
          <w:color w:val="auto"/>
        </w:rPr>
        <w:t>外观验收：合同</w:t>
      </w:r>
      <w:r>
        <w:rPr>
          <w:rFonts w:ascii="宋体" w:hAnsi="宋体"/>
          <w:color w:val="auto"/>
        </w:rPr>
        <w:t>产品送至</w:t>
      </w:r>
      <w:r>
        <w:rPr>
          <w:rFonts w:hint="eastAsia" w:ascii="宋体" w:hAnsi="宋体"/>
          <w:color w:val="auto"/>
        </w:rPr>
        <w:t>甲方指定</w:t>
      </w:r>
      <w:r>
        <w:rPr>
          <w:rFonts w:ascii="宋体" w:hAnsi="宋体"/>
          <w:color w:val="auto"/>
        </w:rPr>
        <w:t>地点后</w:t>
      </w:r>
      <w:r>
        <w:rPr>
          <w:rFonts w:hint="eastAsia" w:ascii="宋体" w:hAnsi="宋体"/>
          <w:color w:val="auto"/>
        </w:rPr>
        <w:t>，甲方应对产品数量、包装等外观质量进行初步检验，确认与合同标的相符后在相应</w:t>
      </w:r>
      <w:r>
        <w:rPr>
          <w:rFonts w:ascii="宋体" w:hAnsi="宋体"/>
          <w:color w:val="auto"/>
        </w:rPr>
        <w:t>的送货单据上签收</w:t>
      </w:r>
      <w:r>
        <w:rPr>
          <w:rFonts w:hint="eastAsia" w:ascii="宋体" w:hAnsi="宋体"/>
          <w:color w:val="auto"/>
        </w:rPr>
        <w:t>，甲方的签收将不视为对合同产品质量的最终确认。</w:t>
      </w:r>
    </w:p>
    <w:p w14:paraId="49607BE3">
      <w:pPr>
        <w:pStyle w:val="21"/>
        <w:numPr>
          <w:ilvl w:val="0"/>
          <w:numId w:val="7"/>
        </w:numPr>
        <w:tabs>
          <w:tab w:val="left" w:pos="567"/>
        </w:tabs>
        <w:spacing w:before="120" w:line="360" w:lineRule="exact"/>
        <w:ind w:left="567" w:hanging="567" w:firstLineChars="0"/>
        <w:rPr>
          <w:rFonts w:ascii="宋体" w:hAnsi="宋体"/>
          <w:color w:val="auto"/>
        </w:rPr>
      </w:pPr>
      <w:r>
        <w:rPr>
          <w:rFonts w:hint="eastAsia" w:ascii="宋体" w:hAnsi="宋体"/>
          <w:color w:val="auto"/>
        </w:rPr>
        <w:t>甲方在</w:t>
      </w:r>
      <w:r>
        <w:rPr>
          <w:rFonts w:ascii="宋体" w:hAnsi="宋体"/>
          <w:color w:val="auto"/>
        </w:rPr>
        <w:t>签收过程中</w:t>
      </w:r>
      <w:r>
        <w:rPr>
          <w:rFonts w:hint="eastAsia" w:ascii="宋体" w:hAnsi="宋体"/>
          <w:color w:val="auto"/>
        </w:rPr>
        <w:t>如发现任何短缺、故障、损坏或与合同规定不符之处，甲方有权</w:t>
      </w:r>
      <w:r>
        <w:rPr>
          <w:rFonts w:ascii="宋体" w:hAnsi="宋体"/>
          <w:color w:val="auto"/>
        </w:rPr>
        <w:t>拒收或在</w:t>
      </w:r>
      <w:r>
        <w:rPr>
          <w:rFonts w:hint="eastAsia" w:ascii="宋体" w:hAnsi="宋体"/>
          <w:color w:val="auto"/>
        </w:rPr>
        <w:t>送货</w:t>
      </w:r>
      <w:r>
        <w:rPr>
          <w:rFonts w:ascii="宋体" w:hAnsi="宋体"/>
          <w:color w:val="auto"/>
        </w:rPr>
        <w:t>单</w:t>
      </w:r>
      <w:r>
        <w:rPr>
          <w:rFonts w:hint="eastAsia" w:ascii="宋体" w:hAnsi="宋体"/>
          <w:color w:val="auto"/>
        </w:rPr>
        <w:t>据</w:t>
      </w:r>
      <w:r>
        <w:rPr>
          <w:rFonts w:ascii="宋体" w:hAnsi="宋体"/>
          <w:color w:val="auto"/>
        </w:rPr>
        <w:t>中注明</w:t>
      </w:r>
      <w:r>
        <w:rPr>
          <w:rFonts w:hint="eastAsia" w:ascii="宋体" w:hAnsi="宋体"/>
          <w:color w:val="auto"/>
        </w:rPr>
        <w:t>短缺、故障、损坏、与</w:t>
      </w:r>
      <w:r>
        <w:rPr>
          <w:rFonts w:ascii="宋体" w:hAnsi="宋体"/>
          <w:color w:val="auto"/>
        </w:rPr>
        <w:t>合同不符的情况后</w:t>
      </w:r>
      <w:r>
        <w:rPr>
          <w:rFonts w:hint="eastAsia" w:ascii="宋体" w:hAnsi="宋体"/>
          <w:color w:val="auto"/>
        </w:rPr>
        <w:t>部分</w:t>
      </w:r>
      <w:r>
        <w:rPr>
          <w:rFonts w:ascii="宋体" w:hAnsi="宋体"/>
          <w:color w:val="auto"/>
        </w:rPr>
        <w:t>签收</w:t>
      </w:r>
      <w:r>
        <w:rPr>
          <w:rFonts w:hint="eastAsia" w:ascii="宋体" w:hAnsi="宋体"/>
          <w:color w:val="auto"/>
        </w:rPr>
        <w:t>，双方签字确认的送货</w:t>
      </w:r>
      <w:r>
        <w:rPr>
          <w:rFonts w:ascii="宋体" w:hAnsi="宋体"/>
          <w:color w:val="auto"/>
        </w:rPr>
        <w:t>单</w:t>
      </w:r>
      <w:r>
        <w:rPr>
          <w:rFonts w:hint="eastAsia" w:ascii="宋体" w:hAnsi="宋体"/>
          <w:color w:val="auto"/>
        </w:rPr>
        <w:t>据作为更换、修理及赔偿的有效证据；经乙方更换、修理达到要求后，甲方对</w:t>
      </w:r>
      <w:r>
        <w:rPr>
          <w:rFonts w:ascii="宋体" w:hAnsi="宋体"/>
          <w:color w:val="auto"/>
        </w:rPr>
        <w:t>更换、修理后的合同产品重新签收</w:t>
      </w:r>
      <w:r>
        <w:rPr>
          <w:rFonts w:hint="eastAsia" w:ascii="宋体" w:hAnsi="宋体"/>
          <w:color w:val="auto"/>
        </w:rPr>
        <w:t>。</w:t>
      </w:r>
    </w:p>
    <w:p w14:paraId="157D9CD1">
      <w:pPr>
        <w:pStyle w:val="21"/>
        <w:numPr>
          <w:ilvl w:val="0"/>
          <w:numId w:val="7"/>
        </w:numPr>
        <w:tabs>
          <w:tab w:val="left" w:pos="426"/>
          <w:tab w:val="left" w:pos="567"/>
        </w:tabs>
        <w:spacing w:before="120" w:line="360" w:lineRule="exact"/>
        <w:ind w:left="567" w:hanging="567" w:firstLineChars="0"/>
        <w:rPr>
          <w:rFonts w:ascii="宋体" w:hAnsi="宋体"/>
          <w:color w:val="auto"/>
        </w:rPr>
      </w:pPr>
      <w:r>
        <w:rPr>
          <w:rFonts w:hint="eastAsia" w:ascii="宋体" w:hAnsi="宋体"/>
          <w:color w:val="auto"/>
        </w:rPr>
        <w:t>甲方应在合同产品签收且</w:t>
      </w:r>
      <w:r>
        <w:rPr>
          <w:rFonts w:ascii="宋体" w:hAnsi="宋体"/>
          <w:color w:val="auto"/>
        </w:rPr>
        <w:t>安装、</w:t>
      </w:r>
      <w:r>
        <w:rPr>
          <w:rFonts w:hint="eastAsia" w:ascii="宋体" w:hAnsi="宋体"/>
          <w:color w:val="auto"/>
        </w:rPr>
        <w:t>调试</w:t>
      </w:r>
      <w:r>
        <w:rPr>
          <w:rFonts w:ascii="宋体" w:hAnsi="宋体"/>
          <w:color w:val="auto"/>
        </w:rPr>
        <w:t>完成</w:t>
      </w:r>
      <w:r>
        <w:rPr>
          <w:rFonts w:hint="eastAsia" w:ascii="宋体" w:hAnsi="宋体"/>
          <w:color w:val="auto"/>
        </w:rPr>
        <w:t>后（</w:t>
      </w:r>
      <w:r>
        <w:rPr>
          <w:rFonts w:ascii="宋体" w:hAnsi="宋体"/>
          <w:color w:val="auto"/>
        </w:rPr>
        <w:t>如需</w:t>
      </w:r>
      <w:r>
        <w:rPr>
          <w:rFonts w:hint="eastAsia" w:ascii="宋体" w:hAnsi="宋体"/>
          <w:color w:val="auto"/>
        </w:rPr>
        <w:t>要</w:t>
      </w:r>
      <w:r>
        <w:rPr>
          <w:rFonts w:ascii="宋体" w:hAnsi="宋体"/>
          <w:color w:val="auto"/>
        </w:rPr>
        <w:t>）</w:t>
      </w:r>
      <w:r>
        <w:rPr>
          <w:rFonts w:hint="eastAsia" w:ascii="宋体" w:hAnsi="宋体"/>
          <w:color w:val="auto"/>
        </w:rPr>
        <w:t>尽快根据本合同约定的质量标准对产品进行最终验收，如有任何异议，应及时向乙方提出，乙方应当在收到甲方异议通知后五（</w:t>
      </w:r>
      <w:r>
        <w:rPr>
          <w:rFonts w:ascii="宋体" w:hAnsi="宋体"/>
          <w:color w:val="auto"/>
        </w:rPr>
        <w:t>5）个工作日内根据</w:t>
      </w:r>
      <w:r>
        <w:rPr>
          <w:rFonts w:hint="eastAsia" w:ascii="宋体" w:hAnsi="宋体"/>
          <w:color w:val="auto"/>
        </w:rPr>
        <w:t>甲方</w:t>
      </w:r>
      <w:r>
        <w:rPr>
          <w:rFonts w:ascii="宋体" w:hAnsi="宋体"/>
          <w:color w:val="auto"/>
        </w:rPr>
        <w:t>的指示进行补足或更换，否则视为</w:t>
      </w:r>
      <w:r>
        <w:rPr>
          <w:rFonts w:hint="eastAsia" w:ascii="宋体" w:hAnsi="宋体"/>
          <w:color w:val="auto"/>
        </w:rPr>
        <w:t>乙方</w:t>
      </w:r>
      <w:r>
        <w:rPr>
          <w:rFonts w:ascii="宋体" w:hAnsi="宋体"/>
          <w:color w:val="auto"/>
        </w:rPr>
        <w:t>交付的产品不符合本合同约定</w:t>
      </w:r>
      <w:r>
        <w:rPr>
          <w:rFonts w:hint="eastAsia" w:ascii="宋体" w:hAnsi="宋体"/>
          <w:color w:val="auto"/>
        </w:rPr>
        <w:t>。乙方应积极与甲方联系，共同签署《验收单》。</w:t>
      </w:r>
    </w:p>
    <w:p w14:paraId="0EF5C03E">
      <w:pPr>
        <w:spacing w:before="120" w:line="360" w:lineRule="exact"/>
        <w:jc w:val="both"/>
        <w:rPr>
          <w:rFonts w:ascii="宋体" w:hAnsi="宋体" w:cs="Times New Roman"/>
          <w:b/>
          <w:color w:val="auto"/>
          <w:kern w:val="2"/>
          <w:u w:val="single"/>
        </w:rPr>
      </w:pPr>
      <w:r>
        <w:rPr>
          <w:rFonts w:hint="eastAsia" w:ascii="宋体" w:hAnsi="宋体" w:cs="Times New Roman"/>
          <w:b/>
          <w:color w:val="auto"/>
          <w:kern w:val="2"/>
        </w:rPr>
        <w:t>五、质量、权利保证和保修</w:t>
      </w:r>
    </w:p>
    <w:p w14:paraId="04DCB47D">
      <w:pPr>
        <w:pStyle w:val="21"/>
        <w:spacing w:before="120" w:line="360" w:lineRule="exact"/>
        <w:ind w:left="66"/>
        <w:rPr>
          <w:rFonts w:ascii="宋体" w:hAnsi="宋体"/>
          <w:color w:val="auto"/>
        </w:rPr>
      </w:pPr>
      <w:r>
        <w:rPr>
          <w:rFonts w:hint="eastAsia" w:ascii="宋体" w:hAnsi="宋体"/>
          <w:color w:val="auto"/>
        </w:rPr>
        <w:t>1、乙方在此承诺，其向甲方提供的合同产品是全新、完整、未经使用。乙方</w:t>
      </w:r>
      <w:r>
        <w:rPr>
          <w:rFonts w:ascii="宋体" w:hAnsi="宋体"/>
          <w:color w:val="auto"/>
        </w:rPr>
        <w:t>承诺于</w:t>
      </w:r>
      <w:r>
        <w:rPr>
          <w:rFonts w:hint="eastAsia" w:ascii="宋体" w:hAnsi="宋体"/>
          <w:color w:val="auto"/>
        </w:rPr>
        <w:t>甲方</w:t>
      </w:r>
      <w:r>
        <w:rPr>
          <w:rFonts w:ascii="宋体" w:hAnsi="宋体"/>
          <w:color w:val="auto"/>
        </w:rPr>
        <w:t>使用合同产品期间将不受任何第三方提出侵犯知识产权之诉讼。如任何第三方向</w:t>
      </w:r>
      <w:r>
        <w:rPr>
          <w:rFonts w:hint="eastAsia" w:ascii="宋体" w:hAnsi="宋体"/>
          <w:color w:val="auto"/>
        </w:rPr>
        <w:t>甲方</w:t>
      </w:r>
      <w:r>
        <w:rPr>
          <w:rFonts w:ascii="宋体" w:hAnsi="宋体"/>
          <w:color w:val="auto"/>
        </w:rPr>
        <w:t>提起侵权指控，</w:t>
      </w:r>
      <w:r>
        <w:rPr>
          <w:rFonts w:hint="eastAsia" w:ascii="宋体" w:hAnsi="宋体"/>
          <w:color w:val="auto"/>
        </w:rPr>
        <w:t>乙方</w:t>
      </w:r>
      <w:r>
        <w:rPr>
          <w:rFonts w:ascii="宋体" w:hAnsi="宋体"/>
          <w:color w:val="auto"/>
        </w:rPr>
        <w:t>须与第三方交涉并承担可能发生的法律责任和费用，包括为</w:t>
      </w:r>
      <w:r>
        <w:rPr>
          <w:rFonts w:hint="eastAsia" w:ascii="宋体" w:hAnsi="宋体"/>
          <w:color w:val="auto"/>
        </w:rPr>
        <w:t>甲方</w:t>
      </w:r>
      <w:r>
        <w:rPr>
          <w:rFonts w:ascii="宋体" w:hAnsi="宋体"/>
          <w:color w:val="auto"/>
        </w:rPr>
        <w:t>委托律师、应诉费用及最终须承担的侵权赔偿费用。如由于上述瑕疵，</w:t>
      </w:r>
      <w:r>
        <w:rPr>
          <w:rFonts w:hint="eastAsia" w:ascii="宋体" w:hAnsi="宋体"/>
          <w:color w:val="auto"/>
        </w:rPr>
        <w:t>甲方</w:t>
      </w:r>
      <w:r>
        <w:rPr>
          <w:rFonts w:ascii="宋体" w:hAnsi="宋体"/>
          <w:color w:val="auto"/>
        </w:rPr>
        <w:t>需向任何第三方实施赔礼道歉等可能给</w:t>
      </w:r>
      <w:r>
        <w:rPr>
          <w:rFonts w:hint="eastAsia" w:ascii="宋体" w:hAnsi="宋体"/>
          <w:color w:val="auto"/>
        </w:rPr>
        <w:t>甲方</w:t>
      </w:r>
      <w:r>
        <w:rPr>
          <w:rFonts w:ascii="宋体" w:hAnsi="宋体"/>
          <w:color w:val="auto"/>
        </w:rPr>
        <w:t>名誉造成损失的行为，</w:t>
      </w:r>
      <w:r>
        <w:rPr>
          <w:rFonts w:hint="eastAsia" w:ascii="宋体" w:hAnsi="宋体"/>
          <w:color w:val="auto"/>
        </w:rPr>
        <w:t>乙方</w:t>
      </w:r>
      <w:r>
        <w:rPr>
          <w:rFonts w:ascii="宋体" w:hAnsi="宋体"/>
          <w:color w:val="auto"/>
        </w:rPr>
        <w:t>应与第三</w:t>
      </w:r>
      <w:r>
        <w:rPr>
          <w:rFonts w:hint="eastAsia" w:ascii="宋体" w:hAnsi="宋体"/>
          <w:color w:val="auto"/>
        </w:rPr>
        <w:t>方积极协商，由乙方另行采用其他赔偿方式予以替代。如因此导致甲方无法继续使用合同产品，乙方应及时提供相应替代品或使甲方于限期内重新获得使用许可，并按照本合同通用条款第八条之约定向甲方承担因无法使用合同产品所造成的全部赔偿责任。</w:t>
      </w:r>
    </w:p>
    <w:p w14:paraId="2204C819">
      <w:pPr>
        <w:pStyle w:val="21"/>
        <w:spacing w:before="120" w:line="360" w:lineRule="exact"/>
        <w:rPr>
          <w:rFonts w:ascii="宋体" w:hAnsi="宋体"/>
          <w:color w:val="auto"/>
        </w:rPr>
      </w:pPr>
      <w:r>
        <w:rPr>
          <w:rFonts w:hint="eastAsia" w:ascii="宋体" w:hAnsi="宋体"/>
          <w:color w:val="auto"/>
        </w:rPr>
        <w:t>2、合</w:t>
      </w:r>
      <w:r>
        <w:rPr>
          <w:rFonts w:ascii="宋体" w:hAnsi="宋体"/>
          <w:color w:val="auto"/>
        </w:rPr>
        <w:t>同产品的质量标准</w:t>
      </w:r>
    </w:p>
    <w:p w14:paraId="2C7D32C3">
      <w:pPr>
        <w:widowControl w:val="0"/>
        <w:spacing w:before="120" w:line="360" w:lineRule="exact"/>
        <w:ind w:right="-16" w:firstLine="420" w:firstLineChars="200"/>
        <w:jc w:val="both"/>
        <w:rPr>
          <w:rFonts w:ascii="宋体" w:hAnsi="宋体" w:cs="宋体"/>
          <w:color w:val="auto"/>
        </w:rPr>
      </w:pPr>
      <w:r>
        <w:rPr>
          <w:rFonts w:hint="eastAsia" w:ascii="宋体" w:hAnsi="宋体" w:cs="Times New Roman"/>
          <w:color w:val="auto"/>
          <w:kern w:val="2"/>
        </w:rPr>
        <w:t>如双方对产品质量标准未做特别约定的，合同产品质量标准适用下列较高的技术和质量标准：</w:t>
      </w:r>
      <w:r>
        <w:rPr>
          <w:rFonts w:hint="eastAsia" w:ascii="宋体" w:hAnsi="宋体" w:cs="宋体"/>
          <w:color w:val="auto"/>
        </w:rPr>
        <w:t>同类产品国家标准；同类产品部颁标准；同类产品行业标准；乙方</w:t>
      </w:r>
      <w:r>
        <w:rPr>
          <w:rFonts w:ascii="宋体" w:hAnsi="宋体" w:cs="宋体"/>
          <w:color w:val="auto"/>
        </w:rPr>
        <w:t>提供的</w:t>
      </w:r>
      <w:r>
        <w:rPr>
          <w:rFonts w:hint="eastAsia" w:ascii="宋体" w:hAnsi="宋体" w:cs="Times New Roman"/>
          <w:color w:val="auto"/>
          <w:kern w:val="2"/>
        </w:rPr>
        <w:t>产品标准或技术参数；</w:t>
      </w:r>
      <w:r>
        <w:rPr>
          <w:rFonts w:hint="eastAsia" w:ascii="宋体" w:hAnsi="宋体" w:cs="宋体"/>
          <w:color w:val="auto"/>
        </w:rPr>
        <w:t>没有上述标准或虽有上述标准，但双方同意按双方</w:t>
      </w:r>
      <w:r>
        <w:rPr>
          <w:rFonts w:ascii="宋体" w:hAnsi="宋体" w:cs="宋体"/>
          <w:color w:val="auto"/>
        </w:rPr>
        <w:t>另行</w:t>
      </w:r>
      <w:r>
        <w:rPr>
          <w:rFonts w:hint="eastAsia" w:ascii="宋体" w:hAnsi="宋体" w:cs="宋体"/>
          <w:color w:val="auto"/>
        </w:rPr>
        <w:t>确定</w:t>
      </w:r>
      <w:r>
        <w:rPr>
          <w:rFonts w:ascii="宋体" w:hAnsi="宋体" w:cs="宋体"/>
          <w:color w:val="auto"/>
        </w:rPr>
        <w:t>的</w:t>
      </w:r>
      <w:r>
        <w:rPr>
          <w:rFonts w:hint="eastAsia" w:ascii="宋体" w:hAnsi="宋体" w:cs="宋体"/>
          <w:color w:val="auto"/>
        </w:rPr>
        <w:t>文件约定的标准。</w:t>
      </w:r>
    </w:p>
    <w:p w14:paraId="5A1127D9">
      <w:pPr>
        <w:pStyle w:val="21"/>
        <w:spacing w:before="120" w:line="360" w:lineRule="exact"/>
        <w:rPr>
          <w:rFonts w:ascii="宋体" w:hAnsi="宋体"/>
          <w:color w:val="auto"/>
        </w:rPr>
      </w:pPr>
      <w:r>
        <w:rPr>
          <w:rFonts w:hint="eastAsia" w:ascii="宋体" w:hAnsi="宋体"/>
          <w:color w:val="auto"/>
        </w:rPr>
        <w:t>3、乙方承诺于正确安装、正常使用和经维修情况下，产品在本合同所列明质保期内始终是良好的、可正常使用的。</w:t>
      </w:r>
    </w:p>
    <w:p w14:paraId="5F3294D5">
      <w:pPr>
        <w:pStyle w:val="21"/>
        <w:spacing w:before="120" w:line="360" w:lineRule="exact"/>
        <w:rPr>
          <w:rFonts w:ascii="宋体" w:hAnsi="宋体"/>
          <w:color w:val="auto"/>
        </w:rPr>
      </w:pPr>
      <w:r>
        <w:rPr>
          <w:rFonts w:hint="eastAsia" w:ascii="宋体" w:hAnsi="宋体"/>
          <w:color w:val="auto"/>
        </w:rPr>
        <w:t>4、</w:t>
      </w:r>
      <w:r>
        <w:rPr>
          <w:rFonts w:ascii="宋体" w:hAnsi="宋体"/>
          <w:color w:val="auto"/>
        </w:rPr>
        <w:t>质保/</w:t>
      </w:r>
      <w:r>
        <w:rPr>
          <w:rFonts w:hint="eastAsia" w:ascii="宋体" w:hAnsi="宋体"/>
          <w:color w:val="auto"/>
        </w:rPr>
        <w:t>保修：</w:t>
      </w:r>
    </w:p>
    <w:p w14:paraId="3284A9E3">
      <w:pPr>
        <w:pStyle w:val="21"/>
        <w:numPr>
          <w:ilvl w:val="0"/>
          <w:numId w:val="8"/>
        </w:numPr>
        <w:tabs>
          <w:tab w:val="left" w:pos="709"/>
        </w:tabs>
        <w:spacing w:before="120" w:line="360" w:lineRule="exact"/>
        <w:ind w:left="709" w:hanging="709" w:firstLineChars="0"/>
        <w:rPr>
          <w:rFonts w:ascii="宋体" w:hAnsi="宋体"/>
          <w:color w:val="auto"/>
        </w:rPr>
      </w:pPr>
      <w:r>
        <w:rPr>
          <w:rFonts w:hint="eastAsia" w:ascii="宋体" w:hAnsi="宋体"/>
          <w:color w:val="auto"/>
        </w:rPr>
        <w:t>质保期自产品最终验收之日起算</w:t>
      </w:r>
      <w:r>
        <w:rPr>
          <w:rFonts w:ascii="宋体" w:hAnsi="宋体"/>
          <w:color w:val="auto"/>
        </w:rPr>
        <w:t>。</w:t>
      </w:r>
      <w:r>
        <w:rPr>
          <w:rFonts w:hint="eastAsia" w:ascii="宋体" w:hAnsi="宋体"/>
          <w:color w:val="auto"/>
        </w:rPr>
        <w:t>质保期内，如生产厂家不提供质保服务的，由乙方提供质保服务。</w:t>
      </w:r>
    </w:p>
    <w:p w14:paraId="267642A2">
      <w:pPr>
        <w:pStyle w:val="21"/>
        <w:numPr>
          <w:ilvl w:val="0"/>
          <w:numId w:val="8"/>
        </w:numPr>
        <w:spacing w:before="120" w:line="360" w:lineRule="exact"/>
        <w:ind w:left="709" w:hanging="709" w:firstLineChars="0"/>
        <w:rPr>
          <w:rFonts w:ascii="宋体" w:hAnsi="宋体"/>
          <w:color w:val="auto"/>
        </w:rPr>
      </w:pPr>
      <w:r>
        <w:rPr>
          <w:rFonts w:hint="eastAsia" w:ascii="宋体" w:hAnsi="宋体"/>
          <w:color w:val="auto"/>
        </w:rPr>
        <w:t>产品质保期内</w:t>
      </w:r>
      <w:r>
        <w:rPr>
          <w:rFonts w:ascii="宋体" w:hAnsi="宋体"/>
          <w:color w:val="auto"/>
        </w:rPr>
        <w:t>，除非</w:t>
      </w:r>
      <w:r>
        <w:rPr>
          <w:rFonts w:hint="eastAsia" w:ascii="宋体" w:hAnsi="宋体"/>
          <w:color w:val="auto"/>
        </w:rPr>
        <w:t>乙方</w:t>
      </w:r>
      <w:r>
        <w:rPr>
          <w:rFonts w:ascii="宋体" w:hAnsi="宋体"/>
          <w:color w:val="auto"/>
        </w:rPr>
        <w:t>证明系因</w:t>
      </w:r>
      <w:r>
        <w:rPr>
          <w:rFonts w:hint="eastAsia" w:ascii="宋体" w:hAnsi="宋体"/>
          <w:color w:val="auto"/>
        </w:rPr>
        <w:t>甲方</w:t>
      </w:r>
      <w:r>
        <w:rPr>
          <w:rFonts w:ascii="宋体" w:hAnsi="宋体"/>
          <w:color w:val="auto"/>
        </w:rPr>
        <w:t>使用不当或第三人故意破坏，</w:t>
      </w:r>
      <w:r>
        <w:rPr>
          <w:rFonts w:hint="eastAsia" w:ascii="宋体" w:hAnsi="宋体"/>
          <w:color w:val="auto"/>
        </w:rPr>
        <w:t>乙方</w:t>
      </w:r>
      <w:r>
        <w:rPr>
          <w:rFonts w:ascii="宋体" w:hAnsi="宋体"/>
          <w:color w:val="auto"/>
        </w:rPr>
        <w:t>应免费维修或更换发生故障或损坏之产品。</w:t>
      </w:r>
    </w:p>
    <w:p w14:paraId="21E6FA2D">
      <w:pPr>
        <w:pStyle w:val="21"/>
        <w:numPr>
          <w:ilvl w:val="0"/>
          <w:numId w:val="8"/>
        </w:numPr>
        <w:tabs>
          <w:tab w:val="left" w:pos="709"/>
        </w:tabs>
        <w:spacing w:before="120" w:line="360" w:lineRule="exact"/>
        <w:ind w:left="709" w:hanging="709" w:firstLineChars="0"/>
        <w:rPr>
          <w:rFonts w:ascii="宋体" w:hAnsi="宋体"/>
          <w:color w:val="auto"/>
        </w:rPr>
      </w:pPr>
      <w:r>
        <w:rPr>
          <w:rFonts w:hint="eastAsia" w:ascii="宋体" w:hAnsi="宋体"/>
          <w:color w:val="auto"/>
        </w:rPr>
        <w:t>产品应附所有易损件清单、价格及更换周期等相关信息，并于质保期内负责免费保养及更换清单所列的零部件。</w:t>
      </w:r>
    </w:p>
    <w:p w14:paraId="3518421A">
      <w:pPr>
        <w:pStyle w:val="21"/>
        <w:spacing w:before="120" w:line="360" w:lineRule="exact"/>
        <w:rPr>
          <w:rFonts w:ascii="宋体" w:hAnsi="宋体"/>
          <w:color w:val="auto"/>
        </w:rPr>
      </w:pPr>
      <w:r>
        <w:rPr>
          <w:rFonts w:hint="eastAsia" w:ascii="宋体" w:hAnsi="宋体"/>
          <w:color w:val="auto"/>
        </w:rPr>
        <w:t>5、响应</w:t>
      </w:r>
      <w:r>
        <w:rPr>
          <w:rFonts w:ascii="宋体" w:hAnsi="宋体"/>
          <w:color w:val="auto"/>
        </w:rPr>
        <w:t xml:space="preserve"> </w:t>
      </w:r>
    </w:p>
    <w:p w14:paraId="7EACAA4C">
      <w:pPr>
        <w:pStyle w:val="21"/>
        <w:numPr>
          <w:ilvl w:val="0"/>
          <w:numId w:val="9"/>
        </w:numPr>
        <w:spacing w:before="120" w:line="360" w:lineRule="exact"/>
        <w:ind w:left="709" w:hanging="709" w:firstLineChars="0"/>
        <w:rPr>
          <w:rFonts w:ascii="宋体" w:hAnsi="宋体"/>
          <w:color w:val="auto"/>
        </w:rPr>
      </w:pPr>
      <w:r>
        <w:rPr>
          <w:rFonts w:hint="eastAsia" w:ascii="宋体" w:hAnsi="宋体"/>
          <w:color w:val="auto"/>
        </w:rPr>
        <w:t>乙方在接到甲方</w:t>
      </w:r>
      <w:r>
        <w:rPr>
          <w:rFonts w:ascii="宋体" w:hAnsi="宋体"/>
          <w:color w:val="auto"/>
        </w:rPr>
        <w:t>报修</w:t>
      </w:r>
      <w:r>
        <w:rPr>
          <w:rFonts w:hint="eastAsia" w:ascii="宋体" w:hAnsi="宋体"/>
          <w:color w:val="auto"/>
        </w:rPr>
        <w:t>通知后</w:t>
      </w:r>
      <w:r>
        <w:rPr>
          <w:rFonts w:ascii="宋体" w:hAnsi="宋体"/>
          <w:color w:val="auto"/>
        </w:rPr>
        <w:t>24</w:t>
      </w:r>
      <w:r>
        <w:rPr>
          <w:rFonts w:hint="eastAsia" w:ascii="宋体" w:hAnsi="宋体"/>
          <w:color w:val="auto"/>
        </w:rPr>
        <w:t>小时内响应；</w:t>
      </w:r>
      <w:r>
        <w:rPr>
          <w:rFonts w:ascii="宋体" w:hAnsi="宋体"/>
          <w:color w:val="auto"/>
        </w:rPr>
        <w:t xml:space="preserve"> </w:t>
      </w:r>
    </w:p>
    <w:p w14:paraId="410E110F">
      <w:pPr>
        <w:pStyle w:val="21"/>
        <w:numPr>
          <w:ilvl w:val="0"/>
          <w:numId w:val="9"/>
        </w:numPr>
        <w:spacing w:before="120" w:line="360" w:lineRule="exact"/>
        <w:ind w:left="709" w:hanging="709" w:firstLineChars="0"/>
        <w:rPr>
          <w:rFonts w:ascii="宋体" w:hAnsi="宋体"/>
          <w:color w:val="auto"/>
        </w:rPr>
      </w:pPr>
      <w:r>
        <w:rPr>
          <w:rFonts w:hint="eastAsia" w:ascii="宋体" w:hAnsi="宋体"/>
          <w:color w:val="auto"/>
        </w:rPr>
        <w:t>产品未及时得到维修，导致不能正常工作而影响甲方使用和生产的，甲方有权委托第三方维修，所产生的维修费用由乙方承担。</w:t>
      </w:r>
    </w:p>
    <w:p w14:paraId="53B13235">
      <w:pPr>
        <w:pStyle w:val="21"/>
        <w:spacing w:before="120" w:line="360" w:lineRule="exact"/>
        <w:rPr>
          <w:rFonts w:ascii="宋体" w:hAnsi="宋体"/>
          <w:color w:val="auto"/>
        </w:rPr>
      </w:pPr>
      <w:r>
        <w:rPr>
          <w:rFonts w:hint="eastAsia" w:ascii="宋体" w:hAnsi="宋体"/>
          <w:color w:val="auto"/>
        </w:rPr>
        <w:t>6、缺陷处理：</w:t>
      </w:r>
    </w:p>
    <w:p w14:paraId="4FDFF937">
      <w:pPr>
        <w:pStyle w:val="21"/>
        <w:numPr>
          <w:ilvl w:val="0"/>
          <w:numId w:val="10"/>
        </w:numPr>
        <w:spacing w:before="120" w:line="360" w:lineRule="exact"/>
        <w:ind w:hanging="578" w:firstLineChars="0"/>
        <w:rPr>
          <w:rFonts w:ascii="宋体" w:hAnsi="宋体"/>
          <w:color w:val="auto"/>
        </w:rPr>
      </w:pPr>
      <w:r>
        <w:rPr>
          <w:rFonts w:hint="eastAsia" w:ascii="宋体" w:hAnsi="宋体"/>
          <w:color w:val="auto"/>
        </w:rPr>
        <w:t>在质保</w:t>
      </w:r>
      <w:r>
        <w:rPr>
          <w:rFonts w:ascii="宋体" w:hAnsi="宋体"/>
          <w:color w:val="auto"/>
        </w:rPr>
        <w:t>/保修期</w:t>
      </w:r>
      <w:r>
        <w:rPr>
          <w:rFonts w:hint="eastAsia" w:ascii="宋体" w:hAnsi="宋体"/>
          <w:color w:val="auto"/>
        </w:rPr>
        <w:t>内，若发现产品存有任何缺陷，乙方应在收到甲方发出书面</w:t>
      </w:r>
      <w:r>
        <w:rPr>
          <w:rFonts w:ascii="宋体" w:hAnsi="宋体"/>
          <w:color w:val="auto"/>
        </w:rPr>
        <w:t>通知</w:t>
      </w:r>
      <w:r>
        <w:rPr>
          <w:rFonts w:hint="eastAsia" w:ascii="宋体" w:hAnsi="宋体"/>
          <w:color w:val="auto"/>
        </w:rPr>
        <w:t>所列更换需求后合理时间内进行更换。</w:t>
      </w:r>
    </w:p>
    <w:p w14:paraId="5E688447">
      <w:pPr>
        <w:pStyle w:val="21"/>
        <w:numPr>
          <w:ilvl w:val="0"/>
          <w:numId w:val="10"/>
        </w:numPr>
        <w:spacing w:before="120" w:line="360" w:lineRule="exact"/>
        <w:ind w:hanging="578" w:firstLineChars="0"/>
        <w:rPr>
          <w:rFonts w:ascii="宋体" w:hAnsi="宋体"/>
          <w:color w:val="auto"/>
        </w:rPr>
      </w:pPr>
      <w:r>
        <w:rPr>
          <w:rFonts w:hint="eastAsia" w:ascii="宋体" w:hAnsi="宋体"/>
          <w:color w:val="auto"/>
        </w:rPr>
        <w:t>若上述缺陷，系由于合同产品所使用基础材料或生产技术不符合本合同约定</w:t>
      </w:r>
      <w:r>
        <w:rPr>
          <w:rFonts w:ascii="宋体" w:hAnsi="宋体"/>
          <w:color w:val="auto"/>
        </w:rPr>
        <w:t>/行业规定，或是由于</w:t>
      </w:r>
      <w:r>
        <w:rPr>
          <w:rFonts w:hint="eastAsia" w:ascii="宋体" w:hAnsi="宋体"/>
          <w:color w:val="auto"/>
        </w:rPr>
        <w:t>乙方</w:t>
      </w:r>
      <w:r>
        <w:rPr>
          <w:rFonts w:ascii="宋体" w:hAnsi="宋体"/>
          <w:color w:val="auto"/>
        </w:rPr>
        <w:t>责任而造成，合同产品本身的拆除及更换费用及由此引起的其它拆除、搬位及修复的费用等均由</w:t>
      </w:r>
      <w:r>
        <w:rPr>
          <w:rFonts w:hint="eastAsia" w:ascii="宋体" w:hAnsi="宋体"/>
          <w:color w:val="auto"/>
        </w:rPr>
        <w:t>乙方</w:t>
      </w:r>
      <w:r>
        <w:rPr>
          <w:rFonts w:ascii="宋体" w:hAnsi="宋体"/>
          <w:color w:val="auto"/>
        </w:rPr>
        <w:t>负担。</w:t>
      </w:r>
    </w:p>
    <w:p w14:paraId="6AA774B4">
      <w:pPr>
        <w:pStyle w:val="21"/>
        <w:numPr>
          <w:ilvl w:val="0"/>
          <w:numId w:val="10"/>
        </w:numPr>
        <w:spacing w:before="120" w:line="360" w:lineRule="exact"/>
        <w:ind w:hanging="578" w:firstLineChars="0"/>
        <w:rPr>
          <w:rFonts w:ascii="宋体" w:hAnsi="宋体"/>
          <w:color w:val="auto"/>
        </w:rPr>
      </w:pPr>
      <w:r>
        <w:rPr>
          <w:rFonts w:hint="eastAsia" w:ascii="宋体" w:hAnsi="宋体"/>
          <w:color w:val="auto"/>
        </w:rPr>
        <w:t>若质保</w:t>
      </w:r>
      <w:r>
        <w:rPr>
          <w:rFonts w:ascii="宋体" w:hAnsi="宋体"/>
          <w:color w:val="auto"/>
        </w:rPr>
        <w:t>/保修期</w:t>
      </w:r>
      <w:r>
        <w:rPr>
          <w:rFonts w:hint="eastAsia" w:ascii="宋体" w:hAnsi="宋体"/>
          <w:color w:val="auto"/>
        </w:rPr>
        <w:t>满，甲方未提出合同产品存有缺陷或乙方已对相关缺陷予以修复并经甲方确认的，乙方相关质保责任已完成，但隐蔽性、合理的检查和试验都不能发觉的缺陷除外。</w:t>
      </w:r>
    </w:p>
    <w:p w14:paraId="35350039">
      <w:pPr>
        <w:pStyle w:val="21"/>
        <w:numPr>
          <w:ilvl w:val="0"/>
          <w:numId w:val="10"/>
        </w:numPr>
        <w:spacing w:before="120" w:line="360" w:lineRule="exact"/>
        <w:ind w:hanging="578" w:firstLineChars="0"/>
        <w:rPr>
          <w:rFonts w:ascii="宋体" w:hAnsi="宋体"/>
          <w:color w:val="auto"/>
        </w:rPr>
      </w:pPr>
      <w:r>
        <w:rPr>
          <w:rFonts w:hint="eastAsia" w:ascii="宋体" w:hAnsi="宋体"/>
          <w:color w:val="auto"/>
        </w:rPr>
        <w:t>质保</w:t>
      </w:r>
      <w:r>
        <w:rPr>
          <w:rFonts w:ascii="宋体" w:hAnsi="宋体"/>
          <w:color w:val="auto"/>
        </w:rPr>
        <w:t>/保修期</w:t>
      </w:r>
      <w:r>
        <w:rPr>
          <w:rFonts w:hint="eastAsia" w:ascii="宋体" w:hAnsi="宋体"/>
          <w:color w:val="auto"/>
        </w:rPr>
        <w:t>仅就整体合同产品而言，若合同产品个别零部件规定有较长质保期的，则乙方应按照相关规定提供质保服务。</w:t>
      </w:r>
    </w:p>
    <w:p w14:paraId="4D565496">
      <w:pPr>
        <w:pStyle w:val="21"/>
        <w:spacing w:before="120" w:line="360" w:lineRule="exact"/>
        <w:ind w:left="66"/>
        <w:rPr>
          <w:rFonts w:ascii="宋体" w:hAnsi="宋体"/>
          <w:color w:val="auto"/>
        </w:rPr>
      </w:pPr>
      <w:r>
        <w:rPr>
          <w:rFonts w:hint="eastAsia" w:ascii="宋体" w:hAnsi="宋体"/>
          <w:color w:val="auto"/>
        </w:rPr>
        <w:t>7、在质保</w:t>
      </w:r>
      <w:r>
        <w:rPr>
          <w:rFonts w:ascii="宋体" w:hAnsi="宋体"/>
          <w:color w:val="auto"/>
        </w:rPr>
        <w:t>/保修期内，如</w:t>
      </w:r>
      <w:r>
        <w:rPr>
          <w:rFonts w:hint="eastAsia" w:ascii="宋体" w:hAnsi="宋体"/>
          <w:color w:val="auto"/>
        </w:rPr>
        <w:t>乙方</w:t>
      </w:r>
      <w:r>
        <w:rPr>
          <w:rFonts w:ascii="宋体" w:hAnsi="宋体"/>
          <w:color w:val="auto"/>
        </w:rPr>
        <w:t>对合同产品进行了技术改进，且</w:t>
      </w:r>
      <w:r>
        <w:rPr>
          <w:rFonts w:hint="eastAsia" w:ascii="宋体" w:hAnsi="宋体"/>
          <w:color w:val="auto"/>
        </w:rPr>
        <w:t>甲方</w:t>
      </w:r>
      <w:r>
        <w:rPr>
          <w:rFonts w:ascii="宋体" w:hAnsi="宋体"/>
          <w:color w:val="auto"/>
        </w:rPr>
        <w:t>认为这项改进对</w:t>
      </w:r>
      <w:r>
        <w:rPr>
          <w:rFonts w:hint="eastAsia" w:ascii="宋体" w:hAnsi="宋体"/>
          <w:color w:val="auto"/>
        </w:rPr>
        <w:t>甲方</w:t>
      </w:r>
      <w:r>
        <w:rPr>
          <w:rFonts w:ascii="宋体" w:hAnsi="宋体"/>
          <w:color w:val="auto"/>
        </w:rPr>
        <w:t>有重要意义并对产品运行维护具有实用价值，</w:t>
      </w:r>
      <w:r>
        <w:rPr>
          <w:rFonts w:hint="eastAsia" w:ascii="宋体" w:hAnsi="宋体"/>
          <w:color w:val="auto"/>
        </w:rPr>
        <w:t>乙方</w:t>
      </w:r>
      <w:r>
        <w:rPr>
          <w:rFonts w:ascii="宋体" w:hAnsi="宋体"/>
          <w:color w:val="auto"/>
        </w:rPr>
        <w:t>应向</w:t>
      </w:r>
      <w:r>
        <w:rPr>
          <w:rFonts w:hint="eastAsia" w:ascii="宋体" w:hAnsi="宋体"/>
          <w:color w:val="auto"/>
        </w:rPr>
        <w:t>甲方</w:t>
      </w:r>
      <w:r>
        <w:rPr>
          <w:rFonts w:ascii="宋体" w:hAnsi="宋体"/>
          <w:color w:val="auto"/>
        </w:rPr>
        <w:t>提供与这些技术改进有关的详细技术资料。对于增加硬件或合同产品功能所做的技术改进，具体费用由双方进一步协商确定。一旦达成协议，</w:t>
      </w:r>
      <w:r>
        <w:rPr>
          <w:rFonts w:hint="eastAsia" w:ascii="宋体" w:hAnsi="宋体"/>
          <w:color w:val="auto"/>
        </w:rPr>
        <w:t>甲方</w:t>
      </w:r>
      <w:r>
        <w:rPr>
          <w:rFonts w:ascii="宋体" w:hAnsi="宋体"/>
          <w:color w:val="auto"/>
        </w:rPr>
        <w:t>将按照双方约定的交易条件与</w:t>
      </w:r>
      <w:r>
        <w:rPr>
          <w:rFonts w:hint="eastAsia" w:ascii="宋体" w:hAnsi="宋体"/>
          <w:color w:val="auto"/>
        </w:rPr>
        <w:t>乙方</w:t>
      </w:r>
      <w:r>
        <w:rPr>
          <w:rFonts w:ascii="宋体" w:hAnsi="宋体"/>
          <w:color w:val="auto"/>
        </w:rPr>
        <w:t>签订补充协议。</w:t>
      </w:r>
    </w:p>
    <w:p w14:paraId="03F7DC15">
      <w:pPr>
        <w:pStyle w:val="21"/>
        <w:spacing w:before="120" w:line="360" w:lineRule="exact"/>
        <w:rPr>
          <w:rFonts w:ascii="宋体" w:hAnsi="宋体"/>
          <w:color w:val="auto"/>
        </w:rPr>
      </w:pPr>
      <w:r>
        <w:rPr>
          <w:rFonts w:hint="eastAsia" w:ascii="宋体" w:hAnsi="宋体"/>
          <w:color w:val="auto"/>
        </w:rPr>
        <w:t>8、乙方应存有足够供给甲方替换或紧急所需之零部件、备品备件及易损件存货以满</w:t>
      </w:r>
      <w:r>
        <w:rPr>
          <w:rFonts w:ascii="宋体" w:hAnsi="宋体"/>
          <w:color w:val="auto"/>
        </w:rPr>
        <w:t>足保修期内</w:t>
      </w:r>
      <w:r>
        <w:rPr>
          <w:rFonts w:hint="eastAsia" w:ascii="宋体" w:hAnsi="宋体"/>
          <w:color w:val="auto"/>
        </w:rPr>
        <w:t>合</w:t>
      </w:r>
      <w:r>
        <w:rPr>
          <w:rFonts w:ascii="宋体" w:hAnsi="宋体"/>
          <w:color w:val="auto"/>
        </w:rPr>
        <w:t>同产品</w:t>
      </w:r>
      <w:r>
        <w:rPr>
          <w:rFonts w:hint="eastAsia" w:ascii="宋体" w:hAnsi="宋体"/>
          <w:color w:val="auto"/>
        </w:rPr>
        <w:t>维修</w:t>
      </w:r>
      <w:r>
        <w:rPr>
          <w:rFonts w:ascii="宋体" w:hAnsi="宋体"/>
          <w:color w:val="auto"/>
        </w:rPr>
        <w:t>的需求</w:t>
      </w:r>
      <w:r>
        <w:rPr>
          <w:rFonts w:hint="eastAsia" w:ascii="宋体" w:hAnsi="宋体"/>
          <w:color w:val="auto"/>
        </w:rPr>
        <w:t>。</w:t>
      </w:r>
    </w:p>
    <w:p w14:paraId="56C2C015">
      <w:pPr>
        <w:spacing w:before="120" w:line="360" w:lineRule="exact"/>
        <w:jc w:val="both"/>
        <w:rPr>
          <w:rFonts w:ascii="宋体" w:hAnsi="宋体" w:cs="Times New Roman"/>
          <w:b/>
          <w:color w:val="auto"/>
          <w:kern w:val="2"/>
          <w:u w:val="single"/>
        </w:rPr>
      </w:pPr>
      <w:r>
        <w:rPr>
          <w:rFonts w:hint="eastAsia" w:ascii="宋体" w:hAnsi="宋体" w:cs="Times New Roman"/>
          <w:b/>
          <w:color w:val="auto"/>
          <w:kern w:val="2"/>
        </w:rPr>
        <w:t>六、不可抗力与情势变更</w:t>
      </w:r>
    </w:p>
    <w:p w14:paraId="084FD726">
      <w:pPr>
        <w:pStyle w:val="21"/>
        <w:spacing w:before="120" w:line="360" w:lineRule="exact"/>
        <w:rPr>
          <w:rFonts w:ascii="宋体" w:hAnsi="宋体"/>
          <w:color w:val="auto"/>
        </w:rPr>
      </w:pPr>
      <w:r>
        <w:rPr>
          <w:rFonts w:hint="eastAsia" w:ascii="宋体" w:hAnsi="宋体"/>
          <w:color w:val="auto"/>
        </w:rPr>
        <w:t>1、本合同存续期间，如发生火灾、台风、洪水、地震、塌方、海啸、瘟疫、海险、战争（不论是否宣战）、内乱、封锁、军事征用、怠工、罢工、停工、工业设施的事故或瘫痪，以及其他双方共同认为属于不可抗力的原因而被迫停止或推迟合同的执行，则合同执行相应顺延，顺延时间等于不可抗力持续的时间。</w:t>
      </w:r>
    </w:p>
    <w:p w14:paraId="79FD8765">
      <w:pPr>
        <w:pStyle w:val="21"/>
        <w:spacing w:before="120" w:line="360" w:lineRule="exact"/>
        <w:rPr>
          <w:rFonts w:ascii="宋体" w:hAnsi="宋体"/>
          <w:color w:val="auto"/>
        </w:rPr>
      </w:pPr>
      <w:r>
        <w:rPr>
          <w:rFonts w:hint="eastAsia" w:ascii="宋体" w:hAnsi="宋体"/>
          <w:color w:val="auto"/>
        </w:rPr>
        <w:t>2、在不可抗力出现之七天内，受影响的一方应尽快通过电传或传真通知另一方，并提供一份有关权威机构出具的证明以便另一方核实和确认。</w:t>
      </w:r>
    </w:p>
    <w:p w14:paraId="0E402F8C">
      <w:pPr>
        <w:pStyle w:val="21"/>
        <w:spacing w:before="120" w:line="360" w:lineRule="exact"/>
        <w:rPr>
          <w:rFonts w:ascii="宋体" w:hAnsi="宋体"/>
          <w:color w:val="auto"/>
        </w:rPr>
      </w:pPr>
      <w:r>
        <w:rPr>
          <w:rFonts w:hint="eastAsia" w:ascii="宋体" w:hAnsi="宋体"/>
          <w:color w:val="auto"/>
        </w:rPr>
        <w:t>3、受影响的一方在不可抗力终止或被排除后应尽快通过电传或传真通知另一方不可抗力已终止或排除，同时尽全力弥补因遭受不可抗力给另一方造成的延误。</w:t>
      </w:r>
    </w:p>
    <w:p w14:paraId="4F6CB918">
      <w:pPr>
        <w:pStyle w:val="21"/>
        <w:spacing w:before="120" w:line="360" w:lineRule="exact"/>
        <w:rPr>
          <w:rFonts w:ascii="宋体" w:hAnsi="宋体"/>
          <w:color w:val="auto"/>
        </w:rPr>
      </w:pPr>
      <w:r>
        <w:rPr>
          <w:rFonts w:hint="eastAsia" w:ascii="宋体" w:hAnsi="宋体"/>
          <w:color w:val="auto"/>
        </w:rPr>
        <w:t>4、如不可抗力持续作用超过三</w:t>
      </w:r>
      <w:r>
        <w:rPr>
          <w:rFonts w:ascii="宋体" w:hAnsi="宋体"/>
          <w:color w:val="auto"/>
        </w:rPr>
        <w:t>十（30</w:t>
      </w:r>
      <w:r>
        <w:rPr>
          <w:rFonts w:hint="eastAsia" w:ascii="宋体" w:hAnsi="宋体"/>
          <w:color w:val="auto"/>
        </w:rPr>
        <w:t>）天，双方将通过友好协商解决合同执行问题。</w:t>
      </w:r>
    </w:p>
    <w:p w14:paraId="1905A024">
      <w:pPr>
        <w:pStyle w:val="21"/>
        <w:spacing w:before="120" w:line="360" w:lineRule="exact"/>
        <w:rPr>
          <w:rFonts w:ascii="宋体" w:hAnsi="宋体"/>
          <w:color w:val="auto"/>
        </w:rPr>
      </w:pPr>
      <w:r>
        <w:rPr>
          <w:rFonts w:hint="eastAsia" w:ascii="宋体" w:hAnsi="宋体"/>
          <w:color w:val="auto"/>
        </w:rPr>
        <w:t>5、本合同存续期间，如发生政治、经济、金融、法律或其他方面的重大变故，继续履行本合同已无实质意义，双方可协商暂缓或终止本合同，任何一方均不承担责任。</w:t>
      </w:r>
    </w:p>
    <w:p w14:paraId="07DD576E">
      <w:pPr>
        <w:pStyle w:val="21"/>
        <w:spacing w:before="120" w:line="360" w:lineRule="exact"/>
        <w:rPr>
          <w:rFonts w:ascii="宋体" w:hAnsi="宋体"/>
          <w:color w:val="auto"/>
        </w:rPr>
      </w:pPr>
      <w:r>
        <w:rPr>
          <w:rFonts w:hint="eastAsia" w:ascii="宋体" w:hAnsi="宋体"/>
          <w:color w:val="auto"/>
        </w:rPr>
        <w:t>6、双方签订本合</w:t>
      </w:r>
      <w:r>
        <w:rPr>
          <w:rFonts w:ascii="宋体" w:hAnsi="宋体"/>
          <w:color w:val="auto"/>
        </w:rPr>
        <w:t>同</w:t>
      </w:r>
      <w:r>
        <w:rPr>
          <w:rFonts w:hint="eastAsia" w:ascii="宋体" w:hAnsi="宋体"/>
          <w:color w:val="auto"/>
        </w:rPr>
        <w:t>是依照协议签订时的国家现行政策、法律法规制定的。如果本合同履行过程中遇法律、法规、政策等的变化致使任何一方无法履行本合同的，双方不负任何法律责任。</w:t>
      </w:r>
    </w:p>
    <w:p w14:paraId="516FBBFA">
      <w:pPr>
        <w:spacing w:before="120" w:line="360" w:lineRule="exact"/>
        <w:jc w:val="both"/>
        <w:rPr>
          <w:rFonts w:ascii="宋体" w:hAnsi="宋体" w:cs="Times New Roman"/>
          <w:b/>
          <w:color w:val="auto"/>
          <w:kern w:val="2"/>
          <w:u w:val="single"/>
        </w:rPr>
      </w:pPr>
      <w:r>
        <w:rPr>
          <w:rFonts w:hint="eastAsia" w:ascii="宋体" w:hAnsi="宋体" w:cs="Times New Roman"/>
          <w:b/>
          <w:color w:val="auto"/>
          <w:kern w:val="2"/>
        </w:rPr>
        <w:t>七、保密条款</w:t>
      </w:r>
    </w:p>
    <w:p w14:paraId="468B3552">
      <w:pPr>
        <w:pStyle w:val="21"/>
        <w:spacing w:before="120" w:line="360" w:lineRule="exact"/>
        <w:rPr>
          <w:rFonts w:ascii="宋体" w:hAnsi="宋体"/>
          <w:color w:val="auto"/>
        </w:rPr>
      </w:pPr>
      <w:r>
        <w:rPr>
          <w:rFonts w:hint="eastAsia" w:ascii="宋体" w:hAnsi="宋体"/>
          <w:color w:val="auto"/>
        </w:rPr>
        <w:t>双方同意，在签署及实施本合同过程中所知悉的对方所有文件、资料、信息、数据、档案、技术文件、设计方案、市场经营信息等，无论该等信息表现形式为书面的、口头的、电子数据或以其他载体记载的文字、图案和数据等均被视为保密信息，双方承诺并保证其委托参与事务相关人员不将上述保密信息用于本合同之外的任何目的，遵守本条款之约定。</w:t>
      </w:r>
    </w:p>
    <w:p w14:paraId="658959E9">
      <w:pPr>
        <w:spacing w:before="120" w:line="360" w:lineRule="exact"/>
        <w:jc w:val="both"/>
        <w:outlineLvl w:val="0"/>
        <w:rPr>
          <w:rFonts w:ascii="宋体" w:hAnsi="宋体" w:cs="Times New Roman"/>
          <w:b/>
          <w:color w:val="auto"/>
          <w:kern w:val="2"/>
          <w:u w:val="single"/>
        </w:rPr>
      </w:pPr>
      <w:r>
        <w:rPr>
          <w:rFonts w:hint="eastAsia" w:ascii="宋体" w:hAnsi="宋体" w:cs="Times New Roman"/>
          <w:b/>
          <w:color w:val="auto"/>
          <w:kern w:val="2"/>
        </w:rPr>
        <w:t>八、抗辩</w:t>
      </w:r>
    </w:p>
    <w:p w14:paraId="614B38A7">
      <w:pPr>
        <w:spacing w:before="120" w:line="360" w:lineRule="exact"/>
        <w:ind w:firstLine="420" w:firstLineChars="200"/>
        <w:jc w:val="both"/>
        <w:rPr>
          <w:rFonts w:ascii="宋体" w:hAnsi="宋体" w:cs="Times New Roman"/>
          <w:color w:val="auto"/>
          <w:kern w:val="2"/>
        </w:rPr>
      </w:pPr>
      <w:r>
        <w:rPr>
          <w:rFonts w:hint="eastAsia" w:ascii="宋体" w:hAnsi="宋体" w:cs="Times New Roman"/>
          <w:color w:val="auto"/>
          <w:kern w:val="2"/>
        </w:rPr>
        <w:t>因乙方及其相关人员违反本合同条款而引起的第三方对乙方</w:t>
      </w:r>
      <w:r>
        <w:rPr>
          <w:rFonts w:ascii="宋体" w:hAnsi="宋体" w:cs="Times New Roman"/>
          <w:color w:val="auto"/>
          <w:kern w:val="2"/>
        </w:rPr>
        <w:t>的任何交涉、要求、诉讼、索赔或禁止，</w:t>
      </w:r>
      <w:r>
        <w:rPr>
          <w:rFonts w:hint="eastAsia" w:ascii="宋体" w:hAnsi="宋体" w:cs="Times New Roman"/>
          <w:color w:val="auto"/>
          <w:kern w:val="2"/>
        </w:rPr>
        <w:t>乙方</w:t>
      </w:r>
      <w:r>
        <w:rPr>
          <w:rFonts w:ascii="宋体" w:hAnsi="宋体" w:cs="Times New Roman"/>
          <w:color w:val="auto"/>
          <w:kern w:val="2"/>
        </w:rPr>
        <w:t>应为</w:t>
      </w:r>
      <w:r>
        <w:rPr>
          <w:rFonts w:hint="eastAsia" w:ascii="宋体" w:hAnsi="宋体" w:cs="Times New Roman"/>
          <w:color w:val="auto"/>
          <w:kern w:val="2"/>
        </w:rPr>
        <w:t>甲方</w:t>
      </w:r>
      <w:r>
        <w:rPr>
          <w:rFonts w:ascii="宋体" w:hAnsi="宋体" w:cs="Times New Roman"/>
          <w:color w:val="auto"/>
          <w:kern w:val="2"/>
        </w:rPr>
        <w:t>抗辩，或在</w:t>
      </w:r>
      <w:r>
        <w:rPr>
          <w:rFonts w:hint="eastAsia" w:ascii="宋体" w:hAnsi="宋体" w:cs="Times New Roman"/>
          <w:color w:val="auto"/>
          <w:kern w:val="2"/>
        </w:rPr>
        <w:t>乙方</w:t>
      </w:r>
      <w:r>
        <w:rPr>
          <w:rFonts w:ascii="宋体" w:hAnsi="宋体" w:cs="Times New Roman"/>
          <w:color w:val="auto"/>
          <w:kern w:val="2"/>
        </w:rPr>
        <w:t>的要求下合作抗辩，保护</w:t>
      </w:r>
      <w:r>
        <w:rPr>
          <w:rFonts w:hint="eastAsia" w:ascii="宋体" w:hAnsi="宋体" w:cs="Times New Roman"/>
          <w:color w:val="auto"/>
          <w:kern w:val="2"/>
        </w:rPr>
        <w:t>甲方</w:t>
      </w:r>
      <w:r>
        <w:rPr>
          <w:rFonts w:ascii="宋体" w:hAnsi="宋体" w:cs="Times New Roman"/>
          <w:color w:val="auto"/>
          <w:kern w:val="2"/>
        </w:rPr>
        <w:t>的利益不受损害，</w:t>
      </w:r>
      <w:r>
        <w:rPr>
          <w:rFonts w:hint="eastAsia" w:ascii="宋体" w:hAnsi="宋体" w:cs="Times New Roman"/>
          <w:color w:val="auto"/>
          <w:kern w:val="2"/>
        </w:rPr>
        <w:t>乙方</w:t>
      </w:r>
      <w:r>
        <w:rPr>
          <w:rFonts w:ascii="宋体" w:hAnsi="宋体" w:cs="Times New Roman"/>
          <w:color w:val="auto"/>
          <w:kern w:val="2"/>
        </w:rPr>
        <w:t>应承担因此给</w:t>
      </w:r>
      <w:r>
        <w:rPr>
          <w:rFonts w:hint="eastAsia" w:ascii="宋体" w:hAnsi="宋体" w:cs="Times New Roman"/>
          <w:color w:val="auto"/>
          <w:kern w:val="2"/>
        </w:rPr>
        <w:t>甲方</w:t>
      </w:r>
      <w:r>
        <w:rPr>
          <w:rFonts w:ascii="宋体" w:hAnsi="宋体" w:cs="Times New Roman"/>
          <w:color w:val="auto"/>
          <w:kern w:val="2"/>
        </w:rPr>
        <w:t>带来的所有费用、罚款、律师费及损害赔偿等。</w:t>
      </w:r>
    </w:p>
    <w:p w14:paraId="1DC945EC">
      <w:pPr>
        <w:widowControl w:val="0"/>
        <w:numPr>
          <w:ilvl w:val="255"/>
          <w:numId w:val="0"/>
        </w:numPr>
        <w:kinsoku/>
        <w:autoSpaceDE/>
        <w:autoSpaceDN/>
        <w:adjustRightInd/>
        <w:snapToGrid/>
        <w:spacing w:line="360" w:lineRule="auto"/>
        <w:textAlignment w:val="auto"/>
        <w:rPr>
          <w:rFonts w:ascii="宋体" w:hAnsi="宋体"/>
          <w:color w:val="auto"/>
        </w:rPr>
      </w:pPr>
    </w:p>
    <w:p w14:paraId="4D8C2DC0">
      <w:pPr>
        <w:pStyle w:val="2"/>
        <w:rPr>
          <w:rFonts w:ascii="宋体" w:hAnsi="宋体"/>
          <w:color w:val="auto"/>
          <w:szCs w:val="21"/>
        </w:rPr>
      </w:pPr>
    </w:p>
    <w:p w14:paraId="15C3EF60">
      <w:pPr>
        <w:pStyle w:val="2"/>
        <w:rPr>
          <w:rFonts w:ascii="宋体" w:hAnsi="宋体"/>
          <w:color w:val="auto"/>
          <w:szCs w:val="21"/>
        </w:rPr>
      </w:pPr>
    </w:p>
    <w:p w14:paraId="18C2FA70">
      <w:pPr>
        <w:widowControl w:val="0"/>
        <w:kinsoku/>
        <w:autoSpaceDE/>
        <w:autoSpaceDN/>
        <w:adjustRightInd/>
        <w:snapToGrid/>
        <w:spacing w:line="360" w:lineRule="auto"/>
        <w:textAlignment w:val="auto"/>
        <w:rPr>
          <w:b/>
          <w:bCs/>
          <w:color w:val="auto"/>
        </w:rPr>
      </w:pPr>
      <w:r>
        <w:rPr>
          <w:rFonts w:hint="eastAsia"/>
          <w:b/>
          <w:bCs/>
          <w:color w:val="auto"/>
        </w:rPr>
        <w:t>（以下无正文）</w:t>
      </w:r>
    </w:p>
    <w:p w14:paraId="0B0E55E2">
      <w:pPr>
        <w:widowControl w:val="0"/>
        <w:kinsoku/>
        <w:autoSpaceDE/>
        <w:autoSpaceDN/>
        <w:adjustRightInd/>
        <w:snapToGrid/>
        <w:spacing w:line="360" w:lineRule="auto"/>
        <w:textAlignment w:val="auto"/>
        <w:rPr>
          <w:b/>
          <w:bCs/>
          <w:color w:val="auto"/>
        </w:rPr>
      </w:pPr>
      <w:r>
        <w:rPr>
          <w:rFonts w:hint="eastAsia"/>
          <w:b/>
          <w:bCs/>
          <w:color w:val="auto"/>
        </w:rPr>
        <w:t>甲方名称：                   甲方</w:t>
      </w:r>
      <w:r>
        <w:rPr>
          <w:rFonts w:hint="eastAsia" w:ascii="宋体" w:hAnsi="宋体" w:cs="宋体"/>
          <w:b/>
          <w:bCs/>
          <w:color w:val="auto"/>
        </w:rPr>
        <w:t>盖章：</w:t>
      </w:r>
    </w:p>
    <w:p w14:paraId="4001859C">
      <w:pPr>
        <w:widowControl w:val="0"/>
        <w:kinsoku/>
        <w:autoSpaceDE/>
        <w:autoSpaceDN/>
        <w:adjustRightInd/>
        <w:snapToGrid/>
        <w:spacing w:line="360" w:lineRule="auto"/>
        <w:textAlignment w:val="auto"/>
        <w:rPr>
          <w:b/>
          <w:bCs/>
          <w:color w:val="auto"/>
        </w:rPr>
      </w:pPr>
      <w:r>
        <w:rPr>
          <w:rFonts w:hint="eastAsia"/>
          <w:b/>
          <w:bCs/>
          <w:color w:val="auto"/>
        </w:rPr>
        <w:t>法人代表：                   代理人：</w:t>
      </w:r>
    </w:p>
    <w:p w14:paraId="156F8897">
      <w:pPr>
        <w:widowControl w:val="0"/>
        <w:kinsoku/>
        <w:autoSpaceDE/>
        <w:autoSpaceDN/>
        <w:adjustRightInd/>
        <w:snapToGrid/>
        <w:spacing w:line="360" w:lineRule="auto"/>
        <w:textAlignment w:val="auto"/>
        <w:rPr>
          <w:b/>
          <w:bCs/>
          <w:color w:val="auto"/>
        </w:rPr>
      </w:pPr>
      <w:r>
        <w:rPr>
          <w:rFonts w:hint="eastAsia"/>
          <w:b/>
          <w:bCs/>
          <w:color w:val="auto"/>
        </w:rPr>
        <w:t>地址：</w:t>
      </w:r>
    </w:p>
    <w:p w14:paraId="72D7D74D">
      <w:pPr>
        <w:widowControl w:val="0"/>
        <w:kinsoku/>
        <w:autoSpaceDE/>
        <w:autoSpaceDN/>
        <w:adjustRightInd/>
        <w:snapToGrid/>
        <w:spacing w:line="360" w:lineRule="auto"/>
        <w:textAlignment w:val="auto"/>
        <w:rPr>
          <w:b/>
          <w:bCs/>
          <w:color w:val="auto"/>
        </w:rPr>
      </w:pPr>
      <w:r>
        <w:rPr>
          <w:rFonts w:hint="eastAsia"/>
          <w:b/>
          <w:bCs/>
          <w:color w:val="auto"/>
        </w:rPr>
        <w:t>税号：</w:t>
      </w:r>
    </w:p>
    <w:p w14:paraId="5D6BABFE">
      <w:pPr>
        <w:widowControl w:val="0"/>
        <w:kinsoku/>
        <w:autoSpaceDE/>
        <w:autoSpaceDN/>
        <w:adjustRightInd/>
        <w:snapToGrid/>
        <w:spacing w:line="360" w:lineRule="auto"/>
        <w:textAlignment w:val="auto"/>
        <w:rPr>
          <w:b/>
          <w:bCs/>
          <w:color w:val="auto"/>
        </w:rPr>
      </w:pPr>
      <w:r>
        <w:rPr>
          <w:rFonts w:hint="eastAsia"/>
          <w:b/>
          <w:bCs/>
          <w:color w:val="auto"/>
        </w:rPr>
        <w:t>电话：</w:t>
      </w:r>
    </w:p>
    <w:p w14:paraId="06B21568">
      <w:pPr>
        <w:widowControl w:val="0"/>
        <w:kinsoku/>
        <w:autoSpaceDE/>
        <w:autoSpaceDN/>
        <w:adjustRightInd/>
        <w:snapToGrid/>
        <w:spacing w:line="360" w:lineRule="auto"/>
        <w:textAlignment w:val="auto"/>
        <w:rPr>
          <w:b/>
          <w:bCs/>
          <w:color w:val="auto"/>
        </w:rPr>
      </w:pPr>
      <w:r>
        <w:rPr>
          <w:rFonts w:hint="eastAsia"/>
          <w:b/>
          <w:bCs/>
          <w:color w:val="auto"/>
        </w:rPr>
        <w:t xml:space="preserve">开户行：                      账号： </w:t>
      </w:r>
    </w:p>
    <w:p w14:paraId="78EBD9FF">
      <w:pPr>
        <w:widowControl w:val="0"/>
        <w:kinsoku/>
        <w:autoSpaceDE/>
        <w:autoSpaceDN/>
        <w:adjustRightInd/>
        <w:snapToGrid/>
        <w:spacing w:line="360" w:lineRule="auto"/>
        <w:textAlignment w:val="auto"/>
        <w:rPr>
          <w:b/>
          <w:bCs/>
          <w:color w:val="auto"/>
        </w:rPr>
      </w:pPr>
    </w:p>
    <w:p w14:paraId="0B16F3B7">
      <w:pPr>
        <w:widowControl w:val="0"/>
        <w:kinsoku/>
        <w:autoSpaceDE/>
        <w:autoSpaceDN/>
        <w:adjustRightInd/>
        <w:snapToGrid/>
        <w:spacing w:line="360" w:lineRule="auto"/>
        <w:textAlignment w:val="auto"/>
        <w:rPr>
          <w:b/>
          <w:bCs/>
          <w:color w:val="auto"/>
        </w:rPr>
      </w:pPr>
    </w:p>
    <w:p w14:paraId="0A907280">
      <w:pPr>
        <w:widowControl w:val="0"/>
        <w:kinsoku/>
        <w:autoSpaceDE/>
        <w:autoSpaceDN/>
        <w:adjustRightInd/>
        <w:snapToGrid/>
        <w:spacing w:line="360" w:lineRule="auto"/>
        <w:textAlignment w:val="auto"/>
        <w:rPr>
          <w:b/>
          <w:bCs/>
          <w:color w:val="auto"/>
        </w:rPr>
      </w:pPr>
      <w:r>
        <w:rPr>
          <w:rFonts w:hint="eastAsia"/>
          <w:b/>
          <w:bCs/>
          <w:color w:val="auto"/>
        </w:rPr>
        <w:t>乙方名称：                    乙方</w:t>
      </w:r>
      <w:r>
        <w:rPr>
          <w:rFonts w:hint="eastAsia" w:ascii="宋体" w:hAnsi="宋体" w:cs="宋体"/>
          <w:b/>
          <w:bCs/>
          <w:color w:val="auto"/>
        </w:rPr>
        <w:t xml:space="preserve">盖章： </w:t>
      </w:r>
    </w:p>
    <w:p w14:paraId="628542C2">
      <w:pPr>
        <w:widowControl w:val="0"/>
        <w:kinsoku/>
        <w:autoSpaceDE/>
        <w:autoSpaceDN/>
        <w:adjustRightInd/>
        <w:snapToGrid/>
        <w:spacing w:line="360" w:lineRule="auto"/>
        <w:textAlignment w:val="auto"/>
        <w:rPr>
          <w:b/>
          <w:bCs/>
          <w:color w:val="auto"/>
        </w:rPr>
      </w:pPr>
      <w:r>
        <w:rPr>
          <w:rFonts w:hint="eastAsia"/>
          <w:b/>
          <w:bCs/>
          <w:color w:val="auto"/>
        </w:rPr>
        <w:t>法人代表：                     代理人：</w:t>
      </w:r>
    </w:p>
    <w:p w14:paraId="2D5EF767">
      <w:pPr>
        <w:widowControl w:val="0"/>
        <w:kinsoku/>
        <w:autoSpaceDE/>
        <w:autoSpaceDN/>
        <w:adjustRightInd/>
        <w:snapToGrid/>
        <w:spacing w:line="360" w:lineRule="auto"/>
        <w:textAlignment w:val="auto"/>
        <w:rPr>
          <w:b/>
          <w:bCs/>
          <w:color w:val="auto"/>
        </w:rPr>
      </w:pPr>
      <w:r>
        <w:rPr>
          <w:rFonts w:hint="eastAsia"/>
          <w:b/>
          <w:bCs/>
          <w:color w:val="auto"/>
        </w:rPr>
        <w:t>地址：</w:t>
      </w:r>
    </w:p>
    <w:p w14:paraId="2F45E59D">
      <w:pPr>
        <w:widowControl w:val="0"/>
        <w:kinsoku/>
        <w:autoSpaceDE/>
        <w:autoSpaceDN/>
        <w:adjustRightInd/>
        <w:snapToGrid/>
        <w:spacing w:line="360" w:lineRule="auto"/>
        <w:textAlignment w:val="auto"/>
        <w:rPr>
          <w:b/>
          <w:bCs/>
          <w:color w:val="auto"/>
        </w:rPr>
      </w:pPr>
      <w:r>
        <w:rPr>
          <w:rFonts w:hint="eastAsia"/>
          <w:b/>
          <w:bCs/>
          <w:color w:val="auto"/>
        </w:rPr>
        <w:t>税号：</w:t>
      </w:r>
    </w:p>
    <w:p w14:paraId="27867E8B">
      <w:pPr>
        <w:widowControl w:val="0"/>
        <w:kinsoku/>
        <w:autoSpaceDE/>
        <w:autoSpaceDN/>
        <w:adjustRightInd/>
        <w:snapToGrid/>
        <w:spacing w:line="360" w:lineRule="auto"/>
        <w:textAlignment w:val="auto"/>
        <w:rPr>
          <w:b/>
          <w:bCs/>
          <w:color w:val="auto"/>
        </w:rPr>
      </w:pPr>
      <w:r>
        <w:rPr>
          <w:rFonts w:hint="eastAsia"/>
          <w:b/>
          <w:bCs/>
          <w:color w:val="auto"/>
        </w:rPr>
        <w:t>电话：</w:t>
      </w:r>
    </w:p>
    <w:p w14:paraId="6DB17169">
      <w:pPr>
        <w:widowControl w:val="0"/>
        <w:kinsoku/>
        <w:autoSpaceDE/>
        <w:autoSpaceDN/>
        <w:adjustRightInd/>
        <w:snapToGrid/>
        <w:spacing w:line="360" w:lineRule="auto"/>
        <w:textAlignment w:val="auto"/>
        <w:rPr>
          <w:b/>
          <w:bCs/>
          <w:color w:val="auto"/>
        </w:rPr>
      </w:pPr>
      <w:r>
        <w:rPr>
          <w:rFonts w:hint="eastAsia"/>
          <w:b/>
          <w:bCs/>
          <w:color w:val="auto"/>
        </w:rPr>
        <w:t>开户行：                       账号：</w:t>
      </w:r>
    </w:p>
    <w:p w14:paraId="4B58BDF5">
      <w:pPr>
        <w:widowControl w:val="0"/>
        <w:kinsoku/>
        <w:autoSpaceDE/>
        <w:autoSpaceDN/>
        <w:adjustRightInd/>
        <w:snapToGrid/>
        <w:spacing w:line="360" w:lineRule="auto"/>
        <w:textAlignment w:val="auto"/>
        <w:rPr>
          <w:color w:val="auto"/>
        </w:rPr>
      </w:pPr>
    </w:p>
    <w:p w14:paraId="267C40BD">
      <w:pPr>
        <w:widowControl w:val="0"/>
        <w:kinsoku/>
        <w:autoSpaceDE/>
        <w:autoSpaceDN/>
        <w:adjustRightInd/>
        <w:snapToGrid/>
        <w:spacing w:line="360" w:lineRule="auto"/>
        <w:textAlignment w:val="auto"/>
        <w:rPr>
          <w:color w:val="auto"/>
        </w:rPr>
      </w:pPr>
    </w:p>
    <w:p w14:paraId="07CC593F">
      <w:pPr>
        <w:widowControl w:val="0"/>
        <w:kinsoku/>
        <w:autoSpaceDE/>
        <w:autoSpaceDN/>
        <w:adjustRightInd/>
        <w:snapToGrid/>
        <w:spacing w:line="360" w:lineRule="auto"/>
        <w:textAlignment w:val="auto"/>
        <w:rPr>
          <w:color w:val="auto"/>
        </w:rPr>
      </w:pPr>
    </w:p>
    <w:p w14:paraId="45887D69">
      <w:pPr>
        <w:pStyle w:val="2"/>
        <w:ind w:firstLine="420"/>
        <w:rPr>
          <w:color w:val="auto"/>
          <w:sz w:val="21"/>
          <w:szCs w:val="21"/>
        </w:rPr>
      </w:pPr>
    </w:p>
    <w:p w14:paraId="203FEF7A">
      <w:pPr>
        <w:pStyle w:val="2"/>
        <w:ind w:firstLine="420"/>
        <w:rPr>
          <w:color w:val="auto"/>
          <w:sz w:val="21"/>
          <w:szCs w:val="21"/>
        </w:rPr>
      </w:pPr>
    </w:p>
    <w:p w14:paraId="4FD2D5FD">
      <w:pPr>
        <w:pStyle w:val="2"/>
        <w:ind w:firstLine="420"/>
        <w:rPr>
          <w:color w:val="auto"/>
          <w:sz w:val="21"/>
          <w:szCs w:val="21"/>
        </w:rPr>
      </w:pPr>
    </w:p>
    <w:p w14:paraId="66682D5D">
      <w:pPr>
        <w:pStyle w:val="2"/>
        <w:ind w:firstLine="420"/>
        <w:rPr>
          <w:color w:val="auto"/>
          <w:sz w:val="21"/>
          <w:szCs w:val="21"/>
        </w:rPr>
      </w:pPr>
    </w:p>
    <w:p w14:paraId="45A13C8D">
      <w:pPr>
        <w:pStyle w:val="2"/>
        <w:ind w:firstLine="420"/>
        <w:rPr>
          <w:color w:val="auto"/>
          <w:sz w:val="21"/>
          <w:szCs w:val="21"/>
        </w:rPr>
      </w:pPr>
    </w:p>
    <w:p w14:paraId="559CB90D">
      <w:pPr>
        <w:pStyle w:val="2"/>
        <w:ind w:firstLine="420"/>
        <w:rPr>
          <w:color w:val="auto"/>
          <w:sz w:val="21"/>
          <w:szCs w:val="21"/>
        </w:rPr>
      </w:pPr>
    </w:p>
    <w:p w14:paraId="7873FAAA">
      <w:pPr>
        <w:pStyle w:val="2"/>
        <w:ind w:firstLine="420"/>
        <w:rPr>
          <w:color w:val="auto"/>
          <w:sz w:val="21"/>
          <w:szCs w:val="21"/>
        </w:rPr>
      </w:pPr>
    </w:p>
    <w:p w14:paraId="14644EE3">
      <w:pPr>
        <w:pStyle w:val="2"/>
        <w:ind w:firstLine="420"/>
        <w:rPr>
          <w:color w:val="auto"/>
          <w:sz w:val="21"/>
          <w:szCs w:val="21"/>
        </w:rPr>
      </w:pPr>
    </w:p>
    <w:p w14:paraId="67330925">
      <w:pPr>
        <w:pStyle w:val="2"/>
        <w:ind w:firstLine="420"/>
        <w:rPr>
          <w:color w:val="auto"/>
          <w:sz w:val="21"/>
          <w:szCs w:val="21"/>
        </w:rPr>
      </w:pPr>
    </w:p>
    <w:p w14:paraId="2BF2B080">
      <w:pPr>
        <w:pStyle w:val="2"/>
        <w:ind w:firstLine="420"/>
        <w:rPr>
          <w:color w:val="auto"/>
          <w:sz w:val="21"/>
          <w:szCs w:val="21"/>
        </w:rPr>
      </w:pPr>
    </w:p>
    <w:p w14:paraId="1869F319">
      <w:pPr>
        <w:pStyle w:val="2"/>
        <w:ind w:firstLine="420"/>
        <w:rPr>
          <w:color w:val="auto"/>
          <w:sz w:val="21"/>
          <w:szCs w:val="21"/>
        </w:rPr>
      </w:pPr>
    </w:p>
    <w:p w14:paraId="339FBC55">
      <w:pPr>
        <w:pStyle w:val="2"/>
        <w:ind w:firstLine="420"/>
        <w:rPr>
          <w:color w:val="auto"/>
          <w:sz w:val="21"/>
          <w:szCs w:val="21"/>
        </w:rPr>
      </w:pPr>
    </w:p>
    <w:p w14:paraId="1208CFD7">
      <w:pPr>
        <w:pStyle w:val="2"/>
        <w:ind w:firstLine="420"/>
        <w:rPr>
          <w:color w:val="auto"/>
          <w:sz w:val="21"/>
          <w:szCs w:val="21"/>
        </w:rPr>
      </w:pPr>
    </w:p>
    <w:p w14:paraId="771A1F1A">
      <w:pPr>
        <w:pStyle w:val="2"/>
        <w:ind w:firstLine="420"/>
        <w:rPr>
          <w:color w:val="auto"/>
          <w:sz w:val="21"/>
          <w:szCs w:val="21"/>
        </w:rPr>
      </w:pPr>
    </w:p>
    <w:p w14:paraId="40282AE5">
      <w:pPr>
        <w:pStyle w:val="2"/>
        <w:ind w:firstLine="420"/>
        <w:rPr>
          <w:color w:val="auto"/>
          <w:sz w:val="21"/>
          <w:szCs w:val="21"/>
        </w:rPr>
      </w:pPr>
    </w:p>
    <w:p w14:paraId="6002762C">
      <w:pPr>
        <w:pStyle w:val="2"/>
        <w:ind w:firstLine="420"/>
        <w:rPr>
          <w:color w:val="auto"/>
          <w:sz w:val="21"/>
          <w:szCs w:val="21"/>
        </w:rPr>
      </w:pPr>
    </w:p>
    <w:p w14:paraId="597C4DCD">
      <w:pPr>
        <w:pStyle w:val="2"/>
        <w:ind w:firstLine="420"/>
        <w:rPr>
          <w:color w:val="auto"/>
          <w:sz w:val="21"/>
          <w:szCs w:val="21"/>
        </w:rPr>
      </w:pPr>
    </w:p>
    <w:p w14:paraId="10C186D2">
      <w:pPr>
        <w:pStyle w:val="2"/>
        <w:ind w:firstLine="420"/>
        <w:rPr>
          <w:color w:val="auto"/>
          <w:sz w:val="21"/>
          <w:szCs w:val="21"/>
        </w:rPr>
      </w:pPr>
    </w:p>
    <w:p w14:paraId="6B5DD57E">
      <w:pPr>
        <w:pStyle w:val="2"/>
        <w:ind w:firstLine="420"/>
        <w:rPr>
          <w:color w:val="auto"/>
          <w:sz w:val="21"/>
          <w:szCs w:val="21"/>
        </w:rPr>
      </w:pPr>
    </w:p>
    <w:p w14:paraId="09D42D40">
      <w:pPr>
        <w:pStyle w:val="2"/>
        <w:ind w:firstLine="420"/>
        <w:rPr>
          <w:color w:val="auto"/>
          <w:sz w:val="21"/>
          <w:szCs w:val="21"/>
        </w:rPr>
      </w:pPr>
    </w:p>
    <w:p w14:paraId="2BD8A813">
      <w:pPr>
        <w:rPr>
          <w:rFonts w:ascii="黑体"/>
          <w:b/>
          <w:color w:val="auto"/>
          <w:szCs w:val="28"/>
        </w:rPr>
      </w:pPr>
    </w:p>
    <w:p w14:paraId="31B4A0BE">
      <w:pPr>
        <w:spacing w:before="120" w:beforeLines="50" w:line="480" w:lineRule="exact"/>
        <w:rPr>
          <w:rFonts w:ascii="黑体"/>
          <w:b/>
          <w:color w:val="auto"/>
          <w:szCs w:val="28"/>
        </w:rPr>
      </w:pPr>
      <w:r>
        <w:rPr>
          <w:rFonts w:hint="eastAsia" w:ascii="黑体"/>
          <w:b/>
          <w:color w:val="auto"/>
          <w:szCs w:val="28"/>
        </w:rPr>
        <w:t>附件：《廉洁协议》</w:t>
      </w:r>
    </w:p>
    <w:p w14:paraId="79876991">
      <w:pPr>
        <w:spacing w:before="120" w:beforeLines="50" w:line="480" w:lineRule="exact"/>
        <w:jc w:val="center"/>
        <w:rPr>
          <w:rFonts w:ascii="黑体"/>
          <w:b/>
          <w:color w:val="auto"/>
          <w:sz w:val="28"/>
          <w:szCs w:val="28"/>
        </w:rPr>
      </w:pPr>
      <w:r>
        <w:rPr>
          <w:rFonts w:hint="eastAsia" w:ascii="黑体"/>
          <w:b/>
          <w:color w:val="auto"/>
          <w:sz w:val="28"/>
          <w:szCs w:val="28"/>
        </w:rPr>
        <w:t>廉  洁  协  议</w:t>
      </w:r>
    </w:p>
    <w:p w14:paraId="5AE9E9FE">
      <w:pPr>
        <w:widowControl w:val="0"/>
        <w:kinsoku/>
        <w:autoSpaceDE/>
        <w:autoSpaceDN/>
        <w:adjustRightInd/>
        <w:snapToGrid/>
        <w:spacing w:line="360" w:lineRule="auto"/>
        <w:textAlignment w:val="auto"/>
        <w:rPr>
          <w:color w:val="auto"/>
        </w:rPr>
      </w:pPr>
      <w:r>
        <w:rPr>
          <w:rFonts w:hint="eastAsia"/>
          <w:color w:val="auto"/>
        </w:rPr>
        <w:t>甲方（采购方）</w:t>
      </w:r>
      <w:r>
        <w:rPr>
          <w:color w:val="auto"/>
        </w:rPr>
        <w:t>：</w:t>
      </w:r>
      <w:r>
        <w:rPr>
          <w:rFonts w:hint="eastAsia"/>
          <w:color w:val="auto"/>
        </w:rPr>
        <w:t>中国机械总院集团海西（福建）分院有限公司</w:t>
      </w:r>
    </w:p>
    <w:p w14:paraId="5AC29B1A">
      <w:pPr>
        <w:widowControl w:val="0"/>
        <w:kinsoku/>
        <w:autoSpaceDE/>
        <w:autoSpaceDN/>
        <w:adjustRightInd/>
        <w:snapToGrid/>
        <w:spacing w:line="360" w:lineRule="auto"/>
        <w:textAlignment w:val="auto"/>
        <w:rPr>
          <w:color w:val="auto"/>
        </w:rPr>
      </w:pPr>
      <w:r>
        <w:rPr>
          <w:rFonts w:hint="eastAsia"/>
          <w:color w:val="auto"/>
        </w:rPr>
        <w:t>乙方（供应商）</w:t>
      </w:r>
      <w:r>
        <w:rPr>
          <w:color w:val="auto"/>
        </w:rPr>
        <w:t>：</w:t>
      </w:r>
    </w:p>
    <w:p w14:paraId="76C50883">
      <w:pPr>
        <w:spacing w:line="460" w:lineRule="exact"/>
        <w:rPr>
          <w:rFonts w:ascii="宋体" w:hAnsi="宋体"/>
          <w:color w:val="auto"/>
        </w:rPr>
      </w:pPr>
      <w:r>
        <w:rPr>
          <w:rFonts w:hint="eastAsia" w:ascii="宋体" w:hAnsi="宋体"/>
          <w:color w:val="auto"/>
        </w:rPr>
        <w:t>为促进甲乙双方廉洁高效合作，防止各种不正当行为的发生，促使双方工作人员廉洁从业，按照《中华人民共和国民法典》、《中华人民共和国反不正当竞争法》、《关于禁止商业贿赂行为的暂行规定》和国家其他相关法律法规关于廉政建设的相关规定，经甲乙双方协商一致，自愿签订如下廉洁协议：</w:t>
      </w:r>
    </w:p>
    <w:p w14:paraId="7FE48225">
      <w:pPr>
        <w:tabs>
          <w:tab w:val="left" w:pos="0"/>
          <w:tab w:val="left" w:pos="142"/>
        </w:tabs>
        <w:spacing w:line="460" w:lineRule="exact"/>
        <w:rPr>
          <w:rFonts w:ascii="宋体" w:hAnsi="宋体"/>
          <w:color w:val="auto"/>
        </w:rPr>
      </w:pPr>
      <w:r>
        <w:rPr>
          <w:rFonts w:hint="eastAsia" w:ascii="宋体" w:hAnsi="宋体"/>
          <w:color w:val="auto"/>
        </w:rPr>
        <w:t>一、双方应当自觉遵守国家和地方关于公平交易、廉洁自律、反腐败的各项规定。</w:t>
      </w:r>
    </w:p>
    <w:p w14:paraId="7C61CFAE">
      <w:pPr>
        <w:tabs>
          <w:tab w:val="left" w:pos="0"/>
          <w:tab w:val="left" w:pos="142"/>
        </w:tabs>
        <w:spacing w:line="460" w:lineRule="exact"/>
        <w:rPr>
          <w:rFonts w:ascii="宋体" w:hAnsi="宋体"/>
          <w:color w:val="auto"/>
        </w:rPr>
      </w:pPr>
      <w:r>
        <w:rPr>
          <w:rFonts w:hint="eastAsia" w:ascii="宋体" w:hAnsi="宋体"/>
          <w:color w:val="auto"/>
        </w:rPr>
        <w:t>二、甲方及其工作人员不得以任何形式向乙方索要和收受回扣等好处。</w:t>
      </w:r>
    </w:p>
    <w:p w14:paraId="4F694B5C">
      <w:pPr>
        <w:tabs>
          <w:tab w:val="left" w:pos="0"/>
          <w:tab w:val="left" w:pos="142"/>
        </w:tabs>
        <w:spacing w:line="460" w:lineRule="exact"/>
        <w:ind w:left="420" w:hanging="420" w:hangingChars="200"/>
        <w:rPr>
          <w:rFonts w:ascii="宋体" w:hAnsi="宋体"/>
          <w:color w:val="auto"/>
        </w:rPr>
      </w:pPr>
      <w:r>
        <w:rPr>
          <w:rFonts w:hint="eastAsia" w:ascii="宋体" w:hAnsi="宋体"/>
          <w:color w:val="auto"/>
        </w:rPr>
        <w:t>三、甲方工作人员应当保持与乙方的正常业务交往，不得接受乙方的礼金、有价证券和贵重物品，不得在乙方处报销任何应由个人支付的费用。</w:t>
      </w:r>
    </w:p>
    <w:p w14:paraId="157CD9B9">
      <w:pPr>
        <w:spacing w:line="460" w:lineRule="exact"/>
        <w:rPr>
          <w:rFonts w:ascii="宋体" w:hAnsi="宋体"/>
          <w:color w:val="auto"/>
        </w:rPr>
      </w:pPr>
      <w:r>
        <w:rPr>
          <w:rFonts w:hint="eastAsia" w:ascii="宋体" w:hAnsi="宋体"/>
          <w:color w:val="auto"/>
        </w:rPr>
        <w:t>四、甲方工作人员不得参加可能对公正执行职务有影响的宴请和娱乐活动。</w:t>
      </w:r>
    </w:p>
    <w:p w14:paraId="71B944C1">
      <w:pPr>
        <w:spacing w:line="460" w:lineRule="exact"/>
        <w:ind w:left="420" w:hanging="420" w:hangingChars="200"/>
        <w:rPr>
          <w:rFonts w:ascii="宋体" w:hAnsi="宋体"/>
          <w:color w:val="auto"/>
        </w:rPr>
      </w:pPr>
      <w:r>
        <w:rPr>
          <w:rFonts w:hint="eastAsia" w:ascii="宋体" w:hAnsi="宋体"/>
          <w:color w:val="auto"/>
        </w:rPr>
        <w:t>五、甲方工作人员不得要求或者接受乙方为其住房装修、婚丧嫁娶、家属和子女的工作安排以及出国等提乙方便。</w:t>
      </w:r>
    </w:p>
    <w:p w14:paraId="6B8F82F1">
      <w:pPr>
        <w:spacing w:line="460" w:lineRule="exact"/>
        <w:ind w:left="420" w:hanging="420" w:hangingChars="200"/>
        <w:rPr>
          <w:rFonts w:ascii="宋体" w:hAnsi="宋体"/>
          <w:color w:val="auto"/>
        </w:rPr>
      </w:pPr>
      <w:r>
        <w:rPr>
          <w:rFonts w:hint="eastAsia" w:ascii="宋体" w:hAnsi="宋体"/>
          <w:color w:val="auto"/>
        </w:rPr>
        <w:t>六、甲方工作人员不得向乙方介绍家属或者亲友从事与甲方采购有关的材料、设备供应、提供相关服务等经济活动。</w:t>
      </w:r>
    </w:p>
    <w:p w14:paraId="7B9F47DD">
      <w:pPr>
        <w:spacing w:line="460" w:lineRule="exact"/>
        <w:ind w:left="420" w:hanging="420" w:hangingChars="200"/>
        <w:rPr>
          <w:rFonts w:ascii="宋体" w:hAnsi="宋体"/>
          <w:color w:val="auto"/>
        </w:rPr>
      </w:pPr>
      <w:r>
        <w:rPr>
          <w:rFonts w:hint="eastAsia" w:ascii="宋体" w:hAnsi="宋体"/>
          <w:color w:val="auto"/>
        </w:rPr>
        <w:t>七、乙方应当通过正常途径开展相对业务工作，不得为获取某些不正当利益而向甲方工作人员赠送礼金、有价证券和贵重物品等。</w:t>
      </w:r>
    </w:p>
    <w:p w14:paraId="2894F447">
      <w:pPr>
        <w:spacing w:line="460" w:lineRule="exact"/>
        <w:ind w:left="420" w:hanging="420" w:hangingChars="200"/>
        <w:rPr>
          <w:rFonts w:ascii="宋体" w:hAnsi="宋体"/>
          <w:color w:val="auto"/>
        </w:rPr>
      </w:pPr>
      <w:r>
        <w:rPr>
          <w:rFonts w:hint="eastAsia" w:ascii="宋体" w:hAnsi="宋体"/>
          <w:color w:val="auto"/>
        </w:rPr>
        <w:t>八、乙方不得为谋取私利擅自与甲方工作人员就双方合同洽谈、签订及履行过程中的相关问题的处理进行私下商谈或者达成默契。</w:t>
      </w:r>
    </w:p>
    <w:p w14:paraId="756C1F88">
      <w:pPr>
        <w:spacing w:line="460" w:lineRule="exact"/>
        <w:ind w:left="420" w:hanging="420" w:hangingChars="200"/>
        <w:rPr>
          <w:rFonts w:ascii="宋体" w:hAnsi="宋体"/>
          <w:color w:val="auto"/>
        </w:rPr>
      </w:pPr>
      <w:r>
        <w:rPr>
          <w:rFonts w:hint="eastAsia" w:ascii="宋体" w:hAnsi="宋体"/>
          <w:color w:val="auto"/>
        </w:rPr>
        <w:t>九、乙方不得以洽谈业务、签订合同为借口，邀请甲方工作人员外出旅游或/和进入营业性高档娱乐场所。</w:t>
      </w:r>
    </w:p>
    <w:p w14:paraId="50029925">
      <w:pPr>
        <w:spacing w:line="460" w:lineRule="exact"/>
        <w:ind w:left="420" w:hanging="420" w:hangingChars="200"/>
        <w:rPr>
          <w:rFonts w:ascii="宋体" w:hAnsi="宋体"/>
          <w:color w:val="auto"/>
        </w:rPr>
      </w:pPr>
      <w:r>
        <w:rPr>
          <w:rFonts w:hint="eastAsia" w:ascii="宋体" w:hAnsi="宋体"/>
          <w:color w:val="auto"/>
        </w:rPr>
        <w:t>十、乙方不得为甲方单位、个人购置或提供通讯工具、交通工具、家电、高档办公用品等物品。</w:t>
      </w:r>
    </w:p>
    <w:p w14:paraId="0EB9FA49">
      <w:pPr>
        <w:spacing w:line="460" w:lineRule="exact"/>
        <w:ind w:left="420" w:hanging="420" w:hangingChars="200"/>
        <w:rPr>
          <w:rFonts w:ascii="宋体" w:hAnsi="宋体"/>
          <w:color w:val="auto"/>
        </w:rPr>
      </w:pPr>
      <w:r>
        <w:rPr>
          <w:rFonts w:hint="eastAsia" w:ascii="宋体" w:hAnsi="宋体"/>
          <w:color w:val="auto"/>
        </w:rPr>
        <w:t>十一、乙方不得与甲方单位或个人及其亲友间进行任何形式之借贷、租赁、投资及任何非直接工作往来的活动。</w:t>
      </w:r>
    </w:p>
    <w:p w14:paraId="0FC36DD5">
      <w:pPr>
        <w:spacing w:line="460" w:lineRule="exact"/>
        <w:ind w:left="420" w:hanging="420" w:hangingChars="200"/>
        <w:rPr>
          <w:rFonts w:ascii="宋体" w:hAnsi="宋体"/>
          <w:color w:val="auto"/>
        </w:rPr>
      </w:pPr>
      <w:r>
        <w:rPr>
          <w:rFonts w:hint="eastAsia" w:ascii="宋体" w:hAnsi="宋体"/>
          <w:color w:val="auto"/>
        </w:rPr>
        <w:t>十二、乙方如发现甲方工作人员在日常业务过程中有任何索贿行为，乙方必须立即拒绝，并向甲方单位举报。若乙方对甲方人员的索贿行为不拒绝、不举报，并满足其要求的，则该行为视同乙方的贿赂行为，乙方应当承担相应的责任。甲方不得以任何借口对乙方的举报行为进行报复。甲方对举报属实和严格遵守廉洁协议的乙方，在同等条件下优先列入甲方合格供应商名录。</w:t>
      </w:r>
    </w:p>
    <w:p w14:paraId="57593767">
      <w:pPr>
        <w:spacing w:line="460" w:lineRule="exact"/>
        <w:ind w:left="420" w:hanging="420" w:hangingChars="200"/>
        <w:rPr>
          <w:rFonts w:ascii="宋体" w:hAnsi="宋体"/>
          <w:color w:val="auto"/>
        </w:rPr>
      </w:pPr>
      <w:r>
        <w:rPr>
          <w:rFonts w:hint="eastAsia" w:ascii="宋体" w:hAnsi="宋体"/>
          <w:color w:val="auto"/>
        </w:rPr>
        <w:t>十三、甲方发现乙方有违反本协议或者采用不正当的手段行贿甲方工作人员行为的，甲方根据具体情节和造成的后果，将有权：①将乙方列为不合格供应商并不再与乙方开展任何形式的合作；②立即终止与乙方签订的尚未履行完毕的合同；③要求乙方按双方签订的合同总金额的</w:t>
      </w:r>
      <w:r>
        <w:rPr>
          <w:rFonts w:ascii="宋体" w:hAnsi="宋体"/>
          <w:color w:val="auto"/>
        </w:rPr>
        <w:t>l</w:t>
      </w:r>
      <w:r>
        <w:rPr>
          <w:rFonts w:hint="eastAsia" w:ascii="宋体" w:hAnsi="宋体"/>
          <w:color w:val="auto"/>
        </w:rPr>
        <w:t>-</w:t>
      </w:r>
      <w:r>
        <w:rPr>
          <w:rFonts w:ascii="宋体" w:hAnsi="宋体"/>
          <w:color w:val="auto"/>
        </w:rPr>
        <w:t>5</w:t>
      </w:r>
      <w:r>
        <w:rPr>
          <w:rFonts w:hint="eastAsia" w:ascii="宋体" w:hAnsi="宋体"/>
          <w:color w:val="auto"/>
        </w:rPr>
        <w:t>％的向甲方支付违约金；④如由此给甲方造成其他损失的均由乙方全部承担；⑤乙方用不正当手段获取的非法所得由甲方予以追缴；⑥对涉及的相关人员，由甲方移送有关主管部门按有关规定进行查处。</w:t>
      </w:r>
    </w:p>
    <w:p w14:paraId="14AF5F02">
      <w:pPr>
        <w:spacing w:line="460" w:lineRule="exact"/>
        <w:ind w:left="420" w:hanging="420" w:hangingChars="200"/>
        <w:rPr>
          <w:rFonts w:ascii="宋体" w:hAnsi="宋体"/>
          <w:color w:val="auto"/>
        </w:rPr>
      </w:pPr>
      <w:r>
        <w:rPr>
          <w:rFonts w:hint="eastAsia" w:ascii="宋体" w:hAnsi="宋体"/>
          <w:color w:val="auto"/>
        </w:rPr>
        <w:t>十四、本《廉洁协议》作为甲乙双方签订的采购合同的有效附件，并与采购合同具有同等法律效力。</w:t>
      </w:r>
    </w:p>
    <w:p w14:paraId="26DC9B7B">
      <w:pPr>
        <w:spacing w:line="460" w:lineRule="exact"/>
        <w:ind w:left="420" w:hanging="420" w:hangingChars="200"/>
        <w:rPr>
          <w:rFonts w:ascii="宋体" w:hAnsi="宋体"/>
          <w:color w:val="auto"/>
        </w:rPr>
      </w:pPr>
      <w:r>
        <w:rPr>
          <w:rFonts w:hint="eastAsia" w:ascii="宋体" w:hAnsi="宋体"/>
          <w:color w:val="auto"/>
        </w:rPr>
        <w:t>十五、双方采购业务关系变更或解除，不影响甲方按本协议约定向乙方追究责任及要求赔偿损失的权利。</w:t>
      </w:r>
    </w:p>
    <w:p w14:paraId="784589A8">
      <w:pPr>
        <w:spacing w:line="460" w:lineRule="exact"/>
        <w:rPr>
          <w:rFonts w:ascii="宋体" w:hAnsi="宋体"/>
          <w:color w:val="auto"/>
        </w:rPr>
      </w:pPr>
      <w:r>
        <w:rPr>
          <w:rFonts w:hint="eastAsia" w:ascii="宋体" w:hAnsi="宋体"/>
          <w:color w:val="auto"/>
        </w:rPr>
        <w:t>十六、本协议一式贰份，甲、乙双方各执壹份。</w:t>
      </w:r>
    </w:p>
    <w:p w14:paraId="1EBEF947">
      <w:pPr>
        <w:pStyle w:val="2"/>
        <w:ind w:firstLine="0" w:firstLineChars="0"/>
        <w:rPr>
          <w:rFonts w:hint="eastAsia" w:ascii="宋体" w:hAnsi="宋体" w:eastAsia="宋体" w:cs="宋体"/>
          <w:sz w:val="24"/>
          <w:szCs w:val="24"/>
        </w:rPr>
      </w:pPr>
    </w:p>
    <w:sectPr>
      <w:headerReference r:id="rId8" w:type="default"/>
      <w:footerReference r:id="rId9" w:type="default"/>
      <w:pgSz w:w="11905" w:h="16838"/>
      <w:pgMar w:top="1389" w:right="1202" w:bottom="1389" w:left="1434" w:header="851" w:footer="102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仿宋">
    <w:altName w:val="宋体"/>
    <w:panose1 w:val="00000000000000000000"/>
    <w:charset w:val="86"/>
    <w:family w:val="roman"/>
    <w:pitch w:val="default"/>
    <w:sig w:usb0="00000000" w:usb1="00000000" w:usb2="00000000" w:usb3="00000000" w:csb0="00040001" w:csb1="00000000"/>
  </w:font>
  <w:font w:name="宋体;SimSun">
    <w:altName w:val="宋体"/>
    <w:panose1 w:val="00000000000000000000"/>
    <w:charset w:val="86"/>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90CF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80C64">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B4F615">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63B4F615">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2E040">
    <w:pPr>
      <w:pStyle w:val="11"/>
    </w:pPr>
    <w:r>
      <mc:AlternateContent>
        <mc:Choice Requires="wps">
          <w:drawing>
            <wp:anchor distT="0" distB="0" distL="114300" distR="114300" simplePos="0" relativeHeight="251659264" behindDoc="0" locked="0" layoutInCell="1" allowOverlap="1">
              <wp:simplePos x="0" y="0"/>
              <wp:positionH relativeFrom="margin">
                <wp:posOffset>2907030</wp:posOffset>
              </wp:positionH>
              <wp:positionV relativeFrom="paragraph">
                <wp:posOffset>635</wp:posOffset>
              </wp:positionV>
              <wp:extent cx="289560" cy="171450"/>
              <wp:effectExtent l="0" t="0" r="15240" b="0"/>
              <wp:wrapNone/>
              <wp:docPr id="12" name="文本框 12"/>
              <wp:cNvGraphicFramePr/>
              <a:graphic xmlns:a="http://schemas.openxmlformats.org/drawingml/2006/main">
                <a:graphicData uri="http://schemas.microsoft.com/office/word/2010/wordprocessingShape">
                  <wps:wsp>
                    <wps:cNvSpPr txBox="1"/>
                    <wps:spPr>
                      <a:xfrm>
                        <a:off x="0" y="0"/>
                        <a:ext cx="289560" cy="171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AC488F">
                          <w:pPr>
                            <w:pStyle w:val="11"/>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15</w:t>
                          </w:r>
                          <w:r>
                            <w:rPr>
                              <w:rFonts w:hint="eastAsia" w:eastAsia="宋体"/>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8.9pt;margin-top:0.05pt;height:13.5pt;width:22.8pt;mso-position-horizontal-relative:margin;z-index:251659264;mso-width-relative:page;mso-height-relative:page;" filled="f" stroked="f" coordsize="21600,21600" o:gfxdata="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X0BGI1QAAAAcBAAAPAAAAAAAAAAEAIAAAACIAAABkcnMvZG93bnJldi54bWxQSwEC&#10;FAAUAAAACACHTuJArhTFAjACAABXBAAADgAAAAAAAAABACAAAAAkAQAAZHJzL2Uyb0RvYy54bWxQ&#10;SwUGAAAAAAYABgBZAQAAxgUAAAAA&#10;">
              <v:fill on="f" focussize="0,0"/>
              <v:stroke on="f" weight="0.5pt"/>
              <v:imagedata o:title=""/>
              <o:lock v:ext="edit" aspectratio="f"/>
              <v:textbox inset="0mm,0mm,0mm,0mm">
                <w:txbxContent>
                  <w:p w14:paraId="3DAC488F">
                    <w:pPr>
                      <w:pStyle w:val="11"/>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15</w:t>
                    </w:r>
                    <w:r>
                      <w:rPr>
                        <w:rFonts w:hint="eastAsia" w:eastAsia="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07E63">
    <w:pPr>
      <w:spacing w:before="224" w:line="185" w:lineRule="auto"/>
      <w:ind w:firstLine="1802"/>
      <w:rPr>
        <w:rFonts w:hint="eastAsia" w:ascii="宋体" w:hAnsi="宋体" w:eastAsia="宋体" w:cs="宋体"/>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5E5ED">
    <w:pPr>
      <w:spacing w:before="224" w:line="185" w:lineRule="auto"/>
      <w:rPr>
        <w:rFonts w:hint="eastAsia" w:ascii="宋体" w:hAnsi="宋体" w:eastAsia="宋体" w:cs="宋体"/>
        <w:sz w:val="28"/>
        <w:szCs w:val="28"/>
      </w:rPr>
    </w:pPr>
    <w:r>
      <w:drawing>
        <wp:inline distT="0" distB="0" distL="114300" distR="114300">
          <wp:extent cx="3980815" cy="428625"/>
          <wp:effectExtent l="0" t="0" r="0" b="0"/>
          <wp:docPr id="1" name="图片 1"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国机械总院集团海西（福建）分院有限公司"/>
                  <pic:cNvPicPr>
                    <a:picLocks noChangeAspect="1"/>
                  </pic:cNvPicPr>
                </pic:nvPicPr>
                <pic:blipFill>
                  <a:blip r:embed="rId1"/>
                  <a:srcRect l="6195" t="36732" b="24043"/>
                  <a:stretch>
                    <a:fillRect/>
                  </a:stretch>
                </pic:blipFill>
                <pic:spPr>
                  <a:xfrm>
                    <a:off x="0" y="0"/>
                    <a:ext cx="3980815" cy="428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7602F">
    <w:pPr>
      <w:spacing w:before="224" w:line="185" w:lineRule="auto"/>
      <w:rPr>
        <w:rFonts w:hint="eastAsia" w:ascii="宋体" w:hAnsi="宋体" w:eastAsia="宋体" w:cs="宋体"/>
        <w:sz w:val="28"/>
        <w:szCs w:val="28"/>
      </w:rPr>
    </w:pPr>
    <w:r>
      <w:drawing>
        <wp:inline distT="0" distB="0" distL="114300" distR="114300">
          <wp:extent cx="3848100" cy="647700"/>
          <wp:effectExtent l="0" t="0" r="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
                  <a:stretch>
                    <a:fillRect/>
                  </a:stretch>
                </pic:blipFill>
                <pic:spPr>
                  <a:xfrm>
                    <a:off x="0" y="0"/>
                    <a:ext cx="3848100" cy="64770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83659">
    <w:pPr>
      <w:spacing w:before="224" w:line="185" w:lineRule="auto"/>
      <w:rPr>
        <w:rFonts w:hint="eastAsia" w:ascii="宋体" w:hAnsi="宋体" w:eastAsia="宋体" w:cs="宋体"/>
        <w:sz w:val="28"/>
        <w:szCs w:val="28"/>
      </w:rPr>
    </w:pPr>
    <w:bookmarkStart w:id="6" w:name="_bookmark18"/>
    <w:bookmarkEnd w:id="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BEB22"/>
    <w:multiLevelType w:val="singleLevel"/>
    <w:tmpl w:val="8AABEB22"/>
    <w:lvl w:ilvl="0" w:tentative="0">
      <w:start w:val="3"/>
      <w:numFmt w:val="chineseCounting"/>
      <w:suff w:val="nothing"/>
      <w:lvlText w:val="%1、"/>
      <w:lvlJc w:val="left"/>
      <w:rPr>
        <w:rFonts w:hint="eastAsia"/>
      </w:rPr>
    </w:lvl>
  </w:abstractNum>
  <w:abstractNum w:abstractNumId="1">
    <w:nsid w:val="A5F09BD6"/>
    <w:multiLevelType w:val="singleLevel"/>
    <w:tmpl w:val="A5F09BD6"/>
    <w:lvl w:ilvl="0" w:tentative="0">
      <w:start w:val="1"/>
      <w:numFmt w:val="decimal"/>
      <w:suff w:val="nothing"/>
      <w:lvlText w:val="%1、"/>
      <w:lvlJc w:val="left"/>
    </w:lvl>
  </w:abstractNum>
  <w:abstractNum w:abstractNumId="2">
    <w:nsid w:val="E757BAAB"/>
    <w:multiLevelType w:val="singleLevel"/>
    <w:tmpl w:val="E757BAAB"/>
    <w:lvl w:ilvl="0" w:tentative="0">
      <w:start w:val="3"/>
      <w:numFmt w:val="decimal"/>
      <w:suff w:val="nothing"/>
      <w:lvlText w:val="%1、"/>
      <w:lvlJc w:val="left"/>
    </w:lvl>
  </w:abstractNum>
  <w:abstractNum w:abstractNumId="3">
    <w:nsid w:val="12A8B50E"/>
    <w:multiLevelType w:val="singleLevel"/>
    <w:tmpl w:val="12A8B50E"/>
    <w:lvl w:ilvl="0" w:tentative="0">
      <w:start w:val="2"/>
      <w:numFmt w:val="chineseCounting"/>
      <w:suff w:val="nothing"/>
      <w:lvlText w:val="%1、"/>
      <w:lvlJc w:val="left"/>
      <w:rPr>
        <w:rFonts w:hint="eastAsia"/>
      </w:rPr>
    </w:lvl>
  </w:abstractNum>
  <w:abstractNum w:abstractNumId="4">
    <w:nsid w:val="1A1831C9"/>
    <w:multiLevelType w:val="multilevel"/>
    <w:tmpl w:val="1A1831C9"/>
    <w:lvl w:ilvl="0" w:tentative="0">
      <w:start w:val="1"/>
      <w:numFmt w:val="decimal"/>
      <w:lvlText w:val="（%1）"/>
      <w:lvlJc w:val="left"/>
      <w:pPr>
        <w:ind w:left="720" w:hanging="360"/>
      </w:pPr>
      <w:rPr>
        <w:sz w:val="23"/>
        <w:szCs w:val="23"/>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BEE2314"/>
    <w:multiLevelType w:val="multilevel"/>
    <w:tmpl w:val="1BEE2314"/>
    <w:lvl w:ilvl="0" w:tentative="0">
      <w:start w:val="1"/>
      <w:numFmt w:val="decimal"/>
      <w:lvlText w:val="（%1）"/>
      <w:lvlJc w:val="left"/>
      <w:pPr>
        <w:ind w:left="720" w:hanging="360"/>
      </w:pPr>
      <w:rPr>
        <w:rFonts w:hint="default" w:ascii="Arial" w:hAnsi="Arial" w:cs="Aria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2E90870"/>
    <w:multiLevelType w:val="multilevel"/>
    <w:tmpl w:val="22E90870"/>
    <w:lvl w:ilvl="0" w:tentative="0">
      <w:start w:val="1"/>
      <w:numFmt w:val="decimal"/>
      <w:lvlText w:val="（%1）"/>
      <w:lvlJc w:val="left"/>
      <w:pPr>
        <w:ind w:left="900" w:hanging="360"/>
      </w:pPr>
      <w:rPr>
        <w:sz w:val="23"/>
        <w:szCs w:val="23"/>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abstractNum w:abstractNumId="7">
    <w:nsid w:val="460C6A6F"/>
    <w:multiLevelType w:val="singleLevel"/>
    <w:tmpl w:val="460C6A6F"/>
    <w:lvl w:ilvl="0" w:tentative="0">
      <w:start w:val="1"/>
      <w:numFmt w:val="japaneseCounting"/>
      <w:lvlText w:val="%1."/>
      <w:lvlJc w:val="left"/>
      <w:pPr>
        <w:tabs>
          <w:tab w:val="left" w:pos="420"/>
        </w:tabs>
        <w:ind w:left="420" w:hanging="420"/>
      </w:pPr>
    </w:lvl>
  </w:abstractNum>
  <w:abstractNum w:abstractNumId="8">
    <w:nsid w:val="65361B2D"/>
    <w:multiLevelType w:val="multilevel"/>
    <w:tmpl w:val="65361B2D"/>
    <w:lvl w:ilvl="0" w:tentative="0">
      <w:start w:val="1"/>
      <w:numFmt w:val="decimal"/>
      <w:lvlText w:val="（%1）"/>
      <w:lvlJc w:val="left"/>
      <w:pPr>
        <w:ind w:left="995" w:hanging="360"/>
      </w:pPr>
      <w:rPr>
        <w:sz w:val="23"/>
        <w:szCs w:val="23"/>
      </w:rPr>
    </w:lvl>
    <w:lvl w:ilvl="1" w:tentative="0">
      <w:start w:val="1"/>
      <w:numFmt w:val="lowerLetter"/>
      <w:lvlText w:val="%2."/>
      <w:lvlJc w:val="left"/>
      <w:pPr>
        <w:ind w:left="1715" w:hanging="360"/>
      </w:pPr>
    </w:lvl>
    <w:lvl w:ilvl="2" w:tentative="0">
      <w:start w:val="1"/>
      <w:numFmt w:val="lowerRoman"/>
      <w:lvlText w:val="%3."/>
      <w:lvlJc w:val="right"/>
      <w:pPr>
        <w:ind w:left="2435" w:hanging="180"/>
      </w:pPr>
    </w:lvl>
    <w:lvl w:ilvl="3" w:tentative="0">
      <w:start w:val="1"/>
      <w:numFmt w:val="decimal"/>
      <w:lvlText w:val="%4."/>
      <w:lvlJc w:val="left"/>
      <w:pPr>
        <w:ind w:left="3155" w:hanging="360"/>
      </w:pPr>
    </w:lvl>
    <w:lvl w:ilvl="4" w:tentative="0">
      <w:start w:val="1"/>
      <w:numFmt w:val="lowerLetter"/>
      <w:lvlText w:val="%5."/>
      <w:lvlJc w:val="left"/>
      <w:pPr>
        <w:ind w:left="3875" w:hanging="360"/>
      </w:pPr>
    </w:lvl>
    <w:lvl w:ilvl="5" w:tentative="0">
      <w:start w:val="1"/>
      <w:numFmt w:val="lowerRoman"/>
      <w:lvlText w:val="%6."/>
      <w:lvlJc w:val="right"/>
      <w:pPr>
        <w:ind w:left="4595" w:hanging="180"/>
      </w:pPr>
    </w:lvl>
    <w:lvl w:ilvl="6" w:tentative="0">
      <w:start w:val="1"/>
      <w:numFmt w:val="decimal"/>
      <w:lvlText w:val="%7."/>
      <w:lvlJc w:val="left"/>
      <w:pPr>
        <w:ind w:left="5315" w:hanging="360"/>
      </w:pPr>
    </w:lvl>
    <w:lvl w:ilvl="7" w:tentative="0">
      <w:start w:val="1"/>
      <w:numFmt w:val="lowerLetter"/>
      <w:lvlText w:val="%8."/>
      <w:lvlJc w:val="left"/>
      <w:pPr>
        <w:ind w:left="6035" w:hanging="360"/>
      </w:pPr>
    </w:lvl>
    <w:lvl w:ilvl="8" w:tentative="0">
      <w:start w:val="1"/>
      <w:numFmt w:val="lowerRoman"/>
      <w:lvlText w:val="%9."/>
      <w:lvlJc w:val="right"/>
      <w:pPr>
        <w:ind w:left="6755" w:hanging="180"/>
      </w:pPr>
    </w:lvl>
  </w:abstractNum>
  <w:abstractNum w:abstractNumId="9">
    <w:nsid w:val="79310C4E"/>
    <w:multiLevelType w:val="multilevel"/>
    <w:tmpl w:val="79310C4E"/>
    <w:lvl w:ilvl="0" w:tentative="0">
      <w:start w:val="1"/>
      <w:numFmt w:val="decimal"/>
      <w:lvlText w:val="（%1）"/>
      <w:lvlJc w:val="left"/>
      <w:pPr>
        <w:ind w:left="720" w:hanging="360"/>
      </w:pPr>
      <w:rPr>
        <w:rFonts w:hint="default" w:ascii="Arial" w:hAnsi="Arial" w:cs="Aria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7"/>
    <w:lvlOverride w:ilvl="0">
      <w:startOverride w:val="1"/>
    </w:lvlOverride>
  </w:num>
  <w:num w:numId="3">
    <w:abstractNumId w:val="3"/>
  </w:num>
  <w:num w:numId="4">
    <w:abstractNumId w:val="0"/>
  </w:num>
  <w:num w:numId="5">
    <w:abstractNumId w:val="1"/>
  </w:num>
  <w:num w:numId="6">
    <w:abstractNumId w:val="9"/>
  </w:num>
  <w:num w:numId="7">
    <w:abstractNumId w:val="5"/>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210"/>
  <w:drawingGridVerticalSpacing w:val="-794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zZTQ1M2Y3ZTE4MmQxNzlmZWI0NDRhNDkzMTIzOGEifQ=="/>
  </w:docVars>
  <w:rsids>
    <w:rsidRoot w:val="78EE6CAC"/>
    <w:rsid w:val="00044EF2"/>
    <w:rsid w:val="000B32C3"/>
    <w:rsid w:val="000D391D"/>
    <w:rsid w:val="00132776"/>
    <w:rsid w:val="00176098"/>
    <w:rsid w:val="001A50E8"/>
    <w:rsid w:val="001C3F19"/>
    <w:rsid w:val="001C6463"/>
    <w:rsid w:val="00212D19"/>
    <w:rsid w:val="002472E9"/>
    <w:rsid w:val="00254D24"/>
    <w:rsid w:val="0029255A"/>
    <w:rsid w:val="002A0F5F"/>
    <w:rsid w:val="002C1D9B"/>
    <w:rsid w:val="00397D70"/>
    <w:rsid w:val="00397DF7"/>
    <w:rsid w:val="00412F86"/>
    <w:rsid w:val="00424482"/>
    <w:rsid w:val="00434626"/>
    <w:rsid w:val="00501B59"/>
    <w:rsid w:val="005A2495"/>
    <w:rsid w:val="005F4AAF"/>
    <w:rsid w:val="00644761"/>
    <w:rsid w:val="00743E5E"/>
    <w:rsid w:val="00752046"/>
    <w:rsid w:val="00761160"/>
    <w:rsid w:val="007831C9"/>
    <w:rsid w:val="00783ACB"/>
    <w:rsid w:val="007B7B90"/>
    <w:rsid w:val="007F65BF"/>
    <w:rsid w:val="00834647"/>
    <w:rsid w:val="008F7071"/>
    <w:rsid w:val="0096672C"/>
    <w:rsid w:val="009922AC"/>
    <w:rsid w:val="009C61C5"/>
    <w:rsid w:val="00A073F3"/>
    <w:rsid w:val="00A13E32"/>
    <w:rsid w:val="00A57544"/>
    <w:rsid w:val="00A67931"/>
    <w:rsid w:val="00AB69B7"/>
    <w:rsid w:val="00BB01A2"/>
    <w:rsid w:val="00BB567C"/>
    <w:rsid w:val="00BC264C"/>
    <w:rsid w:val="00BF1AC5"/>
    <w:rsid w:val="00BF5FC1"/>
    <w:rsid w:val="00CD3536"/>
    <w:rsid w:val="00D31804"/>
    <w:rsid w:val="00D4282E"/>
    <w:rsid w:val="00DA456C"/>
    <w:rsid w:val="00DD406E"/>
    <w:rsid w:val="00DD64E0"/>
    <w:rsid w:val="00DF42CC"/>
    <w:rsid w:val="00DF5BEC"/>
    <w:rsid w:val="00E117BE"/>
    <w:rsid w:val="00E2095D"/>
    <w:rsid w:val="00E306D6"/>
    <w:rsid w:val="00EE0E37"/>
    <w:rsid w:val="00EE42BF"/>
    <w:rsid w:val="00EF78E2"/>
    <w:rsid w:val="00EF79E8"/>
    <w:rsid w:val="00F4371D"/>
    <w:rsid w:val="00F5114F"/>
    <w:rsid w:val="00F639E6"/>
    <w:rsid w:val="00F84B9D"/>
    <w:rsid w:val="00FA5BC3"/>
    <w:rsid w:val="00FA5EBC"/>
    <w:rsid w:val="01DE5DA6"/>
    <w:rsid w:val="0247556A"/>
    <w:rsid w:val="03254F41"/>
    <w:rsid w:val="032B09E8"/>
    <w:rsid w:val="04243986"/>
    <w:rsid w:val="045F783F"/>
    <w:rsid w:val="04892C2C"/>
    <w:rsid w:val="065625D5"/>
    <w:rsid w:val="066C0621"/>
    <w:rsid w:val="06D66EBD"/>
    <w:rsid w:val="0793771E"/>
    <w:rsid w:val="08E31B8A"/>
    <w:rsid w:val="0B923CFA"/>
    <w:rsid w:val="0BCD088E"/>
    <w:rsid w:val="0D702EC6"/>
    <w:rsid w:val="0DB61B71"/>
    <w:rsid w:val="0F707EAE"/>
    <w:rsid w:val="0F821347"/>
    <w:rsid w:val="0F935D46"/>
    <w:rsid w:val="10400AA6"/>
    <w:rsid w:val="119D5615"/>
    <w:rsid w:val="11C46BCB"/>
    <w:rsid w:val="11F63442"/>
    <w:rsid w:val="1441006B"/>
    <w:rsid w:val="14A910E0"/>
    <w:rsid w:val="15494E33"/>
    <w:rsid w:val="162714E3"/>
    <w:rsid w:val="165D18B7"/>
    <w:rsid w:val="169561AB"/>
    <w:rsid w:val="17F463E4"/>
    <w:rsid w:val="17F906B8"/>
    <w:rsid w:val="185365BF"/>
    <w:rsid w:val="189240B8"/>
    <w:rsid w:val="19416EE3"/>
    <w:rsid w:val="199155F1"/>
    <w:rsid w:val="19F83B84"/>
    <w:rsid w:val="1A2B2E16"/>
    <w:rsid w:val="1A3441CE"/>
    <w:rsid w:val="1C6A2129"/>
    <w:rsid w:val="1CA420EE"/>
    <w:rsid w:val="1D294680"/>
    <w:rsid w:val="1D406077"/>
    <w:rsid w:val="1DB76376"/>
    <w:rsid w:val="1F9C01BD"/>
    <w:rsid w:val="209854B7"/>
    <w:rsid w:val="21091236"/>
    <w:rsid w:val="22C96EF1"/>
    <w:rsid w:val="22EB3E7F"/>
    <w:rsid w:val="22F1792F"/>
    <w:rsid w:val="24151D08"/>
    <w:rsid w:val="2432352D"/>
    <w:rsid w:val="2483647E"/>
    <w:rsid w:val="25706817"/>
    <w:rsid w:val="262056BE"/>
    <w:rsid w:val="26CB4A58"/>
    <w:rsid w:val="27230389"/>
    <w:rsid w:val="28677A51"/>
    <w:rsid w:val="28872C4F"/>
    <w:rsid w:val="29211B9F"/>
    <w:rsid w:val="295E6B72"/>
    <w:rsid w:val="29864257"/>
    <w:rsid w:val="29DE5491"/>
    <w:rsid w:val="2A7E20F7"/>
    <w:rsid w:val="2CD14227"/>
    <w:rsid w:val="2D42232F"/>
    <w:rsid w:val="2D4C717F"/>
    <w:rsid w:val="2D5D45BA"/>
    <w:rsid w:val="2DFC193A"/>
    <w:rsid w:val="2F032695"/>
    <w:rsid w:val="2FF81469"/>
    <w:rsid w:val="30000983"/>
    <w:rsid w:val="303625F7"/>
    <w:rsid w:val="305A4537"/>
    <w:rsid w:val="30D2231F"/>
    <w:rsid w:val="317038E6"/>
    <w:rsid w:val="32714F51"/>
    <w:rsid w:val="32F07319"/>
    <w:rsid w:val="33227389"/>
    <w:rsid w:val="33FF1058"/>
    <w:rsid w:val="36E0150E"/>
    <w:rsid w:val="37851EB2"/>
    <w:rsid w:val="37A833E7"/>
    <w:rsid w:val="37CA1AB9"/>
    <w:rsid w:val="38402D6A"/>
    <w:rsid w:val="38C22E16"/>
    <w:rsid w:val="391F2F2E"/>
    <w:rsid w:val="3B0F23C2"/>
    <w:rsid w:val="3C005BD0"/>
    <w:rsid w:val="3C236D8A"/>
    <w:rsid w:val="3C767BB7"/>
    <w:rsid w:val="3CA8662A"/>
    <w:rsid w:val="3D430101"/>
    <w:rsid w:val="3D9B1CEB"/>
    <w:rsid w:val="3DE83A67"/>
    <w:rsid w:val="4004001B"/>
    <w:rsid w:val="404A1D0D"/>
    <w:rsid w:val="40C529A0"/>
    <w:rsid w:val="42CD2946"/>
    <w:rsid w:val="45C049E4"/>
    <w:rsid w:val="462C44F0"/>
    <w:rsid w:val="46A75AA7"/>
    <w:rsid w:val="46B97F68"/>
    <w:rsid w:val="46D64C42"/>
    <w:rsid w:val="47100713"/>
    <w:rsid w:val="474C1085"/>
    <w:rsid w:val="49203109"/>
    <w:rsid w:val="4A3E237C"/>
    <w:rsid w:val="4A946FEA"/>
    <w:rsid w:val="4AB34057"/>
    <w:rsid w:val="4AE14A72"/>
    <w:rsid w:val="4B17213F"/>
    <w:rsid w:val="4B5E45B8"/>
    <w:rsid w:val="4BF71DFE"/>
    <w:rsid w:val="4C0E5B77"/>
    <w:rsid w:val="4DC57782"/>
    <w:rsid w:val="4DF810AC"/>
    <w:rsid w:val="4E39363A"/>
    <w:rsid w:val="50F10148"/>
    <w:rsid w:val="50F32112"/>
    <w:rsid w:val="517645ED"/>
    <w:rsid w:val="51792D37"/>
    <w:rsid w:val="53326F35"/>
    <w:rsid w:val="53DA462E"/>
    <w:rsid w:val="53DA53DB"/>
    <w:rsid w:val="542425E2"/>
    <w:rsid w:val="54393EBB"/>
    <w:rsid w:val="55061CE8"/>
    <w:rsid w:val="550D5850"/>
    <w:rsid w:val="55B013F5"/>
    <w:rsid w:val="55CA11C1"/>
    <w:rsid w:val="5621082A"/>
    <w:rsid w:val="5756111B"/>
    <w:rsid w:val="582864A7"/>
    <w:rsid w:val="58D02D39"/>
    <w:rsid w:val="5A13454B"/>
    <w:rsid w:val="5A1D7123"/>
    <w:rsid w:val="5A513A05"/>
    <w:rsid w:val="5B570FD8"/>
    <w:rsid w:val="5DC2080A"/>
    <w:rsid w:val="5E4733C9"/>
    <w:rsid w:val="5E9A1B85"/>
    <w:rsid w:val="62E9512A"/>
    <w:rsid w:val="62FD1B62"/>
    <w:rsid w:val="641C7C95"/>
    <w:rsid w:val="656B5F2D"/>
    <w:rsid w:val="65B23EF2"/>
    <w:rsid w:val="662F0F0F"/>
    <w:rsid w:val="670A1B0C"/>
    <w:rsid w:val="67FF3F88"/>
    <w:rsid w:val="680B0D7B"/>
    <w:rsid w:val="684828EC"/>
    <w:rsid w:val="6A6D4009"/>
    <w:rsid w:val="6B1B44E6"/>
    <w:rsid w:val="6BB169FA"/>
    <w:rsid w:val="6C1A00FB"/>
    <w:rsid w:val="6C4907A0"/>
    <w:rsid w:val="6C4A4810"/>
    <w:rsid w:val="6C615D2A"/>
    <w:rsid w:val="6F014E03"/>
    <w:rsid w:val="6F932CA1"/>
    <w:rsid w:val="6FCA62DC"/>
    <w:rsid w:val="71AA4AD5"/>
    <w:rsid w:val="733C304D"/>
    <w:rsid w:val="750A0CFF"/>
    <w:rsid w:val="76BC0952"/>
    <w:rsid w:val="788A2AAC"/>
    <w:rsid w:val="78EE6CAC"/>
    <w:rsid w:val="79F214BE"/>
    <w:rsid w:val="7A7953A0"/>
    <w:rsid w:val="7B5405E5"/>
    <w:rsid w:val="7BFE037F"/>
    <w:rsid w:val="7C3B7E88"/>
    <w:rsid w:val="7C603C27"/>
    <w:rsid w:val="7C975798"/>
    <w:rsid w:val="7CE714EC"/>
    <w:rsid w:val="7D3B19E1"/>
    <w:rsid w:val="7D507F04"/>
    <w:rsid w:val="7EB4439D"/>
    <w:rsid w:val="7EBD3628"/>
    <w:rsid w:val="7EEC216D"/>
    <w:rsid w:val="7F030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semiHidden/>
    <w:unhideWhenUsed/>
    <w:qFormat/>
    <w:uiPriority w:val="0"/>
    <w:pPr>
      <w:keepNext/>
      <w:keepLines/>
      <w:spacing w:before="50" w:beforeLines="50" w:line="360" w:lineRule="auto"/>
      <w:outlineLvl w:val="1"/>
    </w:pPr>
    <w:rPr>
      <w:rFonts w:eastAsia="宋体"/>
      <w:b/>
      <w:bCs/>
      <w:szCs w:val="32"/>
    </w:rPr>
  </w:style>
  <w:style w:type="paragraph" w:styleId="5">
    <w:name w:val="heading 3"/>
    <w:basedOn w:val="1"/>
    <w:next w:val="1"/>
    <w:qFormat/>
    <w:uiPriority w:val="0"/>
    <w:pPr>
      <w:keepNext/>
      <w:keepLines/>
      <w:spacing w:before="260" w:after="260" w:line="416" w:lineRule="auto"/>
      <w:jc w:val="center"/>
      <w:outlineLvl w:val="2"/>
    </w:pPr>
    <w:rPr>
      <w:bCs/>
      <w:sz w:val="28"/>
      <w:szCs w:val="32"/>
    </w:rPr>
  </w:style>
  <w:style w:type="paragraph" w:styleId="6">
    <w:name w:val="heading 4"/>
    <w:basedOn w:val="1"/>
    <w:next w:val="1"/>
    <w:qFormat/>
    <w:uiPriority w:val="0"/>
    <w:pPr>
      <w:keepNext/>
      <w:spacing w:line="300" w:lineRule="exact"/>
      <w:jc w:val="center"/>
      <w:outlineLvl w:val="3"/>
    </w:pPr>
    <w:rPr>
      <w:rFonts w:ascii="楷体_GB2312" w:eastAsia="楷体_GB2312"/>
      <w:color w:val="800080"/>
      <w:sz w:val="3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报告正文"/>
    <w:basedOn w:val="1"/>
    <w:qFormat/>
    <w:uiPriority w:val="99"/>
    <w:pPr>
      <w:spacing w:line="360" w:lineRule="auto"/>
      <w:ind w:firstLine="560" w:firstLineChars="200"/>
    </w:pPr>
    <w:rPr>
      <w:sz w:val="28"/>
      <w:szCs w:val="28"/>
    </w:rPr>
  </w:style>
  <w:style w:type="paragraph" w:styleId="7">
    <w:name w:val="Normal Indent"/>
    <w:basedOn w:val="1"/>
    <w:qFormat/>
    <w:uiPriority w:val="0"/>
    <w:pPr>
      <w:ind w:firstLine="420" w:firstLineChars="200"/>
    </w:pPr>
    <w:rPr>
      <w:rFonts w:ascii="Times New Roman" w:hAnsi="Times New Roman"/>
      <w:sz w:val="20"/>
      <w:szCs w:val="20"/>
    </w:rPr>
  </w:style>
  <w:style w:type="paragraph" w:styleId="8">
    <w:name w:val="Salutation"/>
    <w:basedOn w:val="1"/>
    <w:next w:val="1"/>
    <w:qFormat/>
    <w:uiPriority w:val="0"/>
    <w:rPr>
      <w:rFonts w:ascii="仿宋_GB2312;仿宋" w:hAnsi="仿宋_GB2312;仿宋" w:eastAsia="仿宋_GB2312;仿宋" w:cs="宋体;SimSun"/>
      <w:sz w:val="24"/>
      <w:lang w:val="zh-CN"/>
    </w:rPr>
  </w:style>
  <w:style w:type="paragraph" w:styleId="9">
    <w:name w:val="Body Text"/>
    <w:basedOn w:val="1"/>
    <w:qFormat/>
    <w:uiPriority w:val="1"/>
    <w:rPr>
      <w:rFonts w:ascii="宋体" w:hAnsi="宋体" w:eastAsia="宋体" w:cs="宋体"/>
      <w:sz w:val="24"/>
      <w:szCs w:val="24"/>
      <w:lang w:val="zh-CN" w:bidi="zh-CN"/>
    </w:rPr>
  </w:style>
  <w:style w:type="paragraph" w:styleId="10">
    <w:name w:val="index 4"/>
    <w:basedOn w:val="1"/>
    <w:next w:val="1"/>
    <w:unhideWhenUsed/>
    <w:qFormat/>
    <w:uiPriority w:val="99"/>
    <w:pPr>
      <w:ind w:left="600" w:leftChars="600"/>
    </w:pPr>
    <w:rPr>
      <w:rFonts w:ascii="Verdana" w:hAnsi="Verdana"/>
      <w:szCs w:val="20"/>
    </w:rPr>
  </w:style>
  <w:style w:type="paragraph" w:styleId="11">
    <w:name w:val="footer"/>
    <w:basedOn w:val="1"/>
    <w:qFormat/>
    <w:uiPriority w:val="0"/>
    <w:pPr>
      <w:tabs>
        <w:tab w:val="center" w:pos="4153"/>
        <w:tab w:val="right" w:pos="8306"/>
      </w:tabs>
    </w:pPr>
    <w:rPr>
      <w:sz w:val="18"/>
    </w:rPr>
  </w:style>
  <w:style w:type="paragraph" w:styleId="12">
    <w:name w:val="header"/>
    <w:basedOn w:val="1"/>
    <w:unhideWhenUsed/>
    <w:qFormat/>
    <w:uiPriority w:val="99"/>
    <w:pPr>
      <w:pBdr>
        <w:bottom w:val="single" w:color="auto" w:sz="6" w:space="1"/>
      </w:pBdr>
      <w:tabs>
        <w:tab w:val="center" w:pos="4153"/>
        <w:tab w:val="right" w:pos="8306"/>
      </w:tabs>
      <w:jc w:val="center"/>
    </w:pPr>
    <w:rPr>
      <w:rFonts w:ascii="宋体" w:eastAsia="宋体"/>
      <w:sz w:val="18"/>
      <w:szCs w:val="18"/>
    </w:rPr>
  </w:style>
  <w:style w:type="paragraph" w:styleId="13">
    <w:name w:val="toc 1"/>
    <w:basedOn w:val="1"/>
    <w:next w:val="1"/>
    <w:qFormat/>
    <w:uiPriority w:val="39"/>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table" w:customStyle="1" w:styleId="18">
    <w:name w:val="Table Normal"/>
    <w:semiHidden/>
    <w:unhideWhenUsed/>
    <w:qFormat/>
    <w:uiPriority w:val="0"/>
    <w:tblPr>
      <w:tblCellMar>
        <w:top w:w="0" w:type="dxa"/>
        <w:left w:w="0" w:type="dxa"/>
        <w:bottom w:w="0" w:type="dxa"/>
        <w:right w:w="0" w:type="dxa"/>
      </w:tblCellMar>
    </w:tblPr>
  </w:style>
  <w:style w:type="character" w:customStyle="1" w:styleId="19">
    <w:name w:val="font01"/>
    <w:basedOn w:val="16"/>
    <w:qFormat/>
    <w:uiPriority w:val="0"/>
    <w:rPr>
      <w:rFonts w:hint="eastAsia" w:ascii="宋体" w:hAnsi="宋体" w:eastAsia="宋体" w:cs="宋体"/>
      <w:color w:val="000000"/>
      <w:sz w:val="24"/>
      <w:szCs w:val="24"/>
      <w:u w:val="none"/>
      <w:vertAlign w:val="superscript"/>
    </w:rPr>
  </w:style>
  <w:style w:type="paragraph" w:customStyle="1" w:styleId="20">
    <w:name w:val="WPSOffice手动目录 1"/>
    <w:qFormat/>
    <w:uiPriority w:val="0"/>
    <w:rPr>
      <w:rFonts w:ascii="Times New Roman" w:hAnsi="Times New Roman" w:eastAsia="宋体" w:cs="Times New Roman"/>
      <w:lang w:val="en-US" w:eastAsia="zh-CN" w:bidi="ar-SA"/>
    </w:rPr>
  </w:style>
  <w:style w:type="paragraph" w:styleId="21">
    <w:name w:val="List Paragraph"/>
    <w:basedOn w:val="1"/>
    <w:qFormat/>
    <w:uiPriority w:val="99"/>
    <w:pPr>
      <w:ind w:firstLine="420" w:firstLineChars="200"/>
    </w:pPr>
  </w:style>
  <w:style w:type="character" w:customStyle="1" w:styleId="22">
    <w:name w:val="font31"/>
    <w:basedOn w:val="16"/>
    <w:qFormat/>
    <w:uiPriority w:val="0"/>
    <w:rPr>
      <w:rFonts w:hint="eastAsia" w:ascii="宋体" w:hAnsi="宋体" w:eastAsia="宋体" w:cs="宋体"/>
      <w:b/>
      <w:bCs/>
      <w:color w:val="000000"/>
      <w:sz w:val="20"/>
      <w:szCs w:val="20"/>
      <w:u w:val="none"/>
    </w:rPr>
  </w:style>
  <w:style w:type="character" w:customStyle="1" w:styleId="23">
    <w:name w:val="font11"/>
    <w:basedOn w:val="16"/>
    <w:qFormat/>
    <w:uiPriority w:val="0"/>
    <w:rPr>
      <w:rFonts w:hint="eastAsia" w:ascii="宋体" w:hAnsi="宋体" w:eastAsia="宋体" w:cs="宋体"/>
      <w:color w:val="000000"/>
      <w:sz w:val="20"/>
      <w:szCs w:val="20"/>
      <w:u w:val="none"/>
    </w:rPr>
  </w:style>
  <w:style w:type="paragraph" w:customStyle="1" w:styleId="24">
    <w:name w:val="Table Paragraph"/>
    <w:basedOn w:val="1"/>
    <w:qFormat/>
    <w:uiPriority w:val="1"/>
    <w:pPr>
      <w:widowControl w:val="0"/>
      <w:kinsoku/>
      <w:snapToGrid/>
      <w:textAlignment w:val="auto"/>
    </w:pPr>
    <w:rPr>
      <w:rFonts w:ascii="Times New Roman" w:hAnsi="Times New Roman" w:cs="Times New Roman" w:eastAsiaTheme="minorEastAsia"/>
      <w:snapToGrid/>
      <w:color w:val="auto"/>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25</Pages>
  <Words>5910</Words>
  <Characters>6318</Characters>
  <Lines>105</Lines>
  <Paragraphs>29</Paragraphs>
  <TotalTime>113</TotalTime>
  <ScaleCrop>false</ScaleCrop>
  <LinksUpToDate>false</LinksUpToDate>
  <CharactersWithSpaces>6531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2022-03-25T00:19:00Z</dcterms:created>
  <dc:creator> Mr.Guang</dc:creator>
  <cp:lastModifiedBy>冷</cp:lastModifiedBy>
  <cp:lastPrinted>2025-04-23T08:02:00Z</cp:lastPrinted>
  <dcterms:modified xsi:type="dcterms:W3CDTF">2025-05-26T08:35:45Z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8D16427873DC42C0A879D5D40ABF4B47_13</vt:lpwstr>
  </property>
  <property fmtid="{D5CDD505-2E9C-101B-9397-08002B2CF9AE}" pid="4" name="KSOTemplateDocerSaveRecord">
    <vt:lpwstr>eyJoZGlkIjoiMWYzZTQ1M2Y3ZTE4MmQxNzlmZWI0NDRhNDkzMTIzOGEiLCJ1c2VySWQiOiI0NDI4ODYxODMifQ==</vt:lpwstr>
  </property>
</Properties>
</file>