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E69E0">
      <w:pPr>
        <w:keepNext w:val="0"/>
        <w:keepLines w:val="0"/>
        <w:pageBreakBefore w:val="0"/>
        <w:wordWrap/>
        <w:overflowPunct/>
        <w:bidi w:val="0"/>
        <w:spacing w:line="300" w:lineRule="auto"/>
        <w:ind w:left="0" w:leftChars="0" w:right="0"/>
        <w:rPr>
          <w:rFonts w:hint="eastAsia" w:ascii="宋体" w:hAnsi="宋体" w:eastAsia="宋体" w:cs="宋体"/>
        </w:rPr>
      </w:pPr>
      <w:bookmarkStart w:id="0" w:name="_Toc14049"/>
      <w:bookmarkStart w:id="1" w:name="_Toc27807"/>
    </w:p>
    <w:p w14:paraId="5B7F7DA7">
      <w:pPr>
        <w:pStyle w:val="2"/>
        <w:keepNext w:val="0"/>
        <w:keepLines w:val="0"/>
        <w:pageBreakBefore w:val="0"/>
        <w:wordWrap/>
        <w:overflowPunct/>
        <w:bidi w:val="0"/>
        <w:spacing w:after="0" w:line="300" w:lineRule="auto"/>
        <w:ind w:left="0" w:leftChars="0" w:right="0"/>
        <w:rPr>
          <w:rFonts w:hint="eastAsia" w:ascii="宋体" w:hAnsi="宋体" w:eastAsia="宋体" w:cs="宋体"/>
        </w:rPr>
      </w:pPr>
    </w:p>
    <w:p w14:paraId="4412ACBA">
      <w:pPr>
        <w:pStyle w:val="2"/>
        <w:keepNext w:val="0"/>
        <w:keepLines w:val="0"/>
        <w:pageBreakBefore w:val="0"/>
        <w:wordWrap/>
        <w:overflowPunct/>
        <w:bidi w:val="0"/>
        <w:spacing w:after="0" w:line="300" w:lineRule="auto"/>
        <w:ind w:left="0" w:leftChars="0" w:right="0"/>
        <w:rPr>
          <w:rFonts w:hint="eastAsia" w:ascii="宋体" w:hAnsi="宋体" w:eastAsia="宋体" w:cs="宋体"/>
        </w:rPr>
      </w:pPr>
    </w:p>
    <w:p w14:paraId="379A0450">
      <w:pPr>
        <w:pStyle w:val="2"/>
        <w:keepNext w:val="0"/>
        <w:keepLines w:val="0"/>
        <w:pageBreakBefore w:val="0"/>
        <w:wordWrap/>
        <w:overflowPunct/>
        <w:bidi w:val="0"/>
        <w:spacing w:after="0" w:line="300" w:lineRule="auto"/>
        <w:ind w:left="0" w:leftChars="0" w:right="0"/>
        <w:rPr>
          <w:rFonts w:hint="eastAsia" w:ascii="宋体" w:hAnsi="宋体" w:eastAsia="宋体" w:cs="宋体"/>
        </w:rPr>
      </w:pPr>
    </w:p>
    <w:p w14:paraId="5038742A">
      <w:pPr>
        <w:keepNext w:val="0"/>
        <w:keepLines w:val="0"/>
        <w:pageBreakBefore w:val="0"/>
        <w:wordWrap/>
        <w:overflowPunct/>
        <w:bidi w:val="0"/>
        <w:spacing w:line="300" w:lineRule="auto"/>
        <w:ind w:left="0" w:leftChars="0" w:right="0"/>
        <w:rPr>
          <w:rFonts w:hint="eastAsia" w:ascii="宋体" w:hAnsi="宋体" w:eastAsia="宋体" w:cs="宋体"/>
        </w:rPr>
      </w:pPr>
    </w:p>
    <w:p w14:paraId="610D76C4">
      <w:pPr>
        <w:keepNext w:val="0"/>
        <w:keepLines w:val="0"/>
        <w:pageBreakBefore w:val="0"/>
        <w:tabs>
          <w:tab w:val="left" w:pos="5882"/>
        </w:tabs>
        <w:wordWrap/>
        <w:overflowPunct/>
        <w:bidi w:val="0"/>
        <w:spacing w:line="300" w:lineRule="auto"/>
        <w:ind w:left="0" w:leftChars="0" w:right="0" w:firstLine="0" w:firstLineChars="0"/>
        <w:jc w:val="center"/>
        <w:outlineLvl w:val="0"/>
        <w:rPr>
          <w:rFonts w:hint="eastAsia" w:ascii="宋体" w:hAnsi="宋体" w:eastAsia="宋体" w:cs="宋体"/>
          <w:spacing w:val="-3"/>
          <w:sz w:val="52"/>
          <w:szCs w:val="52"/>
        </w:rPr>
      </w:pPr>
      <w:bookmarkStart w:id="2" w:name="_Toc16784"/>
      <w:bookmarkStart w:id="3" w:name="_Toc11471"/>
      <w:r>
        <w:rPr>
          <w:rFonts w:hint="eastAsia" w:ascii="宋体" w:hAnsi="宋体" w:eastAsia="宋体" w:cs="宋体"/>
          <w:color w:val="auto"/>
          <w:sz w:val="52"/>
          <w:szCs w:val="52"/>
          <w:u w:val="single"/>
          <w:lang w:val="en-US" w:eastAsia="zh-CN"/>
        </w:rPr>
        <w:t>再生石墨箱板外协加工</w:t>
      </w:r>
      <w:r>
        <w:rPr>
          <w:rFonts w:hint="eastAsia" w:ascii="宋体" w:hAnsi="宋体" w:eastAsia="宋体" w:cs="宋体"/>
          <w:spacing w:val="-3"/>
          <w:sz w:val="52"/>
          <w:szCs w:val="52"/>
        </w:rPr>
        <w:t>采购项目</w:t>
      </w:r>
      <w:bookmarkEnd w:id="2"/>
      <w:bookmarkEnd w:id="3"/>
    </w:p>
    <w:p w14:paraId="61BA6F0E">
      <w:pPr>
        <w:keepNext w:val="0"/>
        <w:keepLines w:val="0"/>
        <w:pageBreakBefore w:val="0"/>
        <w:tabs>
          <w:tab w:val="left" w:pos="5882"/>
        </w:tabs>
        <w:wordWrap/>
        <w:overflowPunct/>
        <w:bidi w:val="0"/>
        <w:spacing w:line="300" w:lineRule="auto"/>
        <w:ind w:left="0" w:leftChars="0" w:right="0" w:firstLine="1040"/>
        <w:jc w:val="center"/>
        <w:outlineLvl w:val="0"/>
        <w:rPr>
          <w:rFonts w:hint="eastAsia" w:ascii="宋体" w:hAnsi="宋体" w:eastAsia="宋体" w:cs="宋体"/>
          <w:spacing w:val="-3"/>
          <w:sz w:val="52"/>
          <w:szCs w:val="52"/>
        </w:rPr>
      </w:pPr>
    </w:p>
    <w:p w14:paraId="3536D8E8">
      <w:pPr>
        <w:keepNext w:val="0"/>
        <w:keepLines w:val="0"/>
        <w:pageBreakBefore w:val="0"/>
        <w:wordWrap/>
        <w:overflowPunct/>
        <w:bidi w:val="0"/>
        <w:spacing w:line="300" w:lineRule="auto"/>
        <w:ind w:left="0" w:leftChars="0" w:right="0"/>
        <w:rPr>
          <w:rFonts w:hint="eastAsia" w:ascii="宋体" w:hAnsi="宋体" w:eastAsia="宋体" w:cs="宋体"/>
        </w:rPr>
      </w:pPr>
    </w:p>
    <w:p w14:paraId="757FE6F7">
      <w:pPr>
        <w:keepNext w:val="0"/>
        <w:keepLines w:val="0"/>
        <w:pageBreakBefore w:val="0"/>
        <w:wordWrap/>
        <w:overflowPunct/>
        <w:bidi w:val="0"/>
        <w:spacing w:line="300" w:lineRule="auto"/>
        <w:ind w:left="0" w:leftChars="0" w:right="0"/>
        <w:rPr>
          <w:rFonts w:hint="eastAsia" w:ascii="宋体" w:hAnsi="宋体" w:eastAsia="宋体" w:cs="宋体"/>
        </w:rPr>
      </w:pPr>
    </w:p>
    <w:p w14:paraId="10DF0104">
      <w:pPr>
        <w:keepNext w:val="0"/>
        <w:keepLines w:val="0"/>
        <w:pageBreakBefore w:val="0"/>
        <w:wordWrap/>
        <w:overflowPunct/>
        <w:bidi w:val="0"/>
        <w:spacing w:line="300" w:lineRule="auto"/>
        <w:ind w:left="0" w:leftChars="0" w:right="0"/>
        <w:jc w:val="center"/>
        <w:rPr>
          <w:rFonts w:hint="default" w:ascii="宋体" w:hAnsi="宋体" w:eastAsia="宋体" w:cs="宋体"/>
          <w:lang w:val="en-US" w:eastAsia="zh-CN"/>
        </w:rPr>
      </w:pPr>
      <w:bookmarkStart w:id="4" w:name="_Toc5886"/>
      <w:r>
        <w:rPr>
          <w:rFonts w:hint="eastAsia" w:ascii="宋体" w:hAnsi="宋体" w:eastAsia="宋体" w:cs="宋体"/>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spacing w:val="-2"/>
          <w:sz w:val="52"/>
          <w:szCs w:val="52"/>
        </w:rPr>
        <w:t>：</w:t>
      </w:r>
      <w:bookmarkEnd w:id="4"/>
      <w:r>
        <w:rPr>
          <w:rFonts w:hint="eastAsia" w:ascii="宋体" w:hAnsi="宋体" w:eastAsia="宋体" w:cs="宋体"/>
          <w:b w:val="0"/>
          <w:bCs w:val="0"/>
          <w:sz w:val="52"/>
          <w:szCs w:val="52"/>
          <w:highlight w:val="none"/>
          <w:lang w:eastAsia="zh-CN"/>
        </w:rPr>
        <w:t>HXZB202</w:t>
      </w:r>
      <w:r>
        <w:rPr>
          <w:rFonts w:hint="eastAsia" w:ascii="宋体" w:hAnsi="宋体" w:eastAsia="宋体" w:cs="宋体"/>
          <w:b w:val="0"/>
          <w:bCs w:val="0"/>
          <w:sz w:val="52"/>
          <w:szCs w:val="52"/>
          <w:highlight w:val="none"/>
          <w:lang w:val="en-US" w:eastAsia="zh-CN"/>
        </w:rPr>
        <w:t>5053001</w:t>
      </w:r>
    </w:p>
    <w:p w14:paraId="71F61A58">
      <w:pPr>
        <w:keepNext w:val="0"/>
        <w:keepLines w:val="0"/>
        <w:pageBreakBefore w:val="0"/>
        <w:wordWrap/>
        <w:overflowPunct/>
        <w:bidi w:val="0"/>
        <w:spacing w:line="300" w:lineRule="auto"/>
        <w:ind w:left="0" w:leftChars="0" w:right="0"/>
        <w:rPr>
          <w:rFonts w:hint="eastAsia" w:ascii="宋体" w:hAnsi="宋体" w:eastAsia="宋体" w:cs="宋体"/>
        </w:rPr>
      </w:pPr>
    </w:p>
    <w:p w14:paraId="52734A9B">
      <w:pPr>
        <w:keepNext w:val="0"/>
        <w:keepLines w:val="0"/>
        <w:pageBreakBefore w:val="0"/>
        <w:wordWrap/>
        <w:overflowPunct/>
        <w:bidi w:val="0"/>
        <w:spacing w:line="300" w:lineRule="auto"/>
        <w:ind w:left="0" w:leftChars="0" w:right="0"/>
        <w:rPr>
          <w:rFonts w:hint="eastAsia" w:ascii="宋体" w:hAnsi="宋体" w:eastAsia="宋体" w:cs="宋体"/>
        </w:rPr>
      </w:pPr>
    </w:p>
    <w:p w14:paraId="5509F951">
      <w:pPr>
        <w:keepNext w:val="0"/>
        <w:keepLines w:val="0"/>
        <w:pageBreakBefore w:val="0"/>
        <w:wordWrap/>
        <w:overflowPunct/>
        <w:bidi w:val="0"/>
        <w:spacing w:line="300" w:lineRule="auto"/>
        <w:ind w:left="0" w:leftChars="0" w:right="0"/>
        <w:rPr>
          <w:rFonts w:hint="eastAsia" w:ascii="宋体" w:hAnsi="宋体" w:eastAsia="宋体" w:cs="宋体"/>
        </w:rPr>
      </w:pPr>
    </w:p>
    <w:p w14:paraId="3CA38F7C">
      <w:pPr>
        <w:keepNext w:val="0"/>
        <w:keepLines w:val="0"/>
        <w:pageBreakBefore w:val="0"/>
        <w:wordWrap/>
        <w:overflowPunct/>
        <w:bidi w:val="0"/>
        <w:spacing w:line="300" w:lineRule="auto"/>
        <w:ind w:left="0" w:leftChars="0" w:right="0"/>
        <w:rPr>
          <w:rFonts w:hint="eastAsia" w:ascii="宋体" w:hAnsi="宋体" w:eastAsia="宋体" w:cs="宋体"/>
        </w:rPr>
      </w:pPr>
    </w:p>
    <w:p w14:paraId="106DC315">
      <w:pPr>
        <w:keepNext w:val="0"/>
        <w:keepLines w:val="0"/>
        <w:pageBreakBefore w:val="0"/>
        <w:wordWrap/>
        <w:overflowPunct/>
        <w:bidi w:val="0"/>
        <w:spacing w:line="300" w:lineRule="auto"/>
        <w:ind w:right="0"/>
        <w:jc w:val="center"/>
        <w:outlineLvl w:val="0"/>
        <w:rPr>
          <w:rFonts w:hint="eastAsia" w:ascii="宋体" w:hAnsi="宋体" w:eastAsia="宋体" w:cs="宋体"/>
          <w:sz w:val="84"/>
          <w:szCs w:val="84"/>
        </w:rPr>
      </w:pPr>
      <w:bookmarkStart w:id="5" w:name="_Toc7773"/>
      <w:bookmarkStart w:id="6" w:name="_Toc13557"/>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招</w:t>
      </w:r>
      <w:r>
        <w:rPr>
          <w:rFonts w:hint="eastAsia" w:ascii="宋体" w:hAnsi="宋体" w:eastAsia="宋体" w:cs="宋体"/>
          <w:spacing w:val="-28"/>
          <w:sz w:val="84"/>
          <w:szCs w:val="84"/>
          <w:lang w:val="en-US" w:eastAsia="zh-CN"/>
          <w14:textOutline w14:w="15240" w14:cap="flat" w14:cmpd="sng" w14:algn="ctr">
            <w14:solidFill>
              <w14:srgbClr w14:val="000000"/>
            </w14:solidFill>
            <w14:prstDash w14:val="solid"/>
            <w14:miter w14:val="0"/>
          </w14:textOutline>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标</w:t>
      </w:r>
      <w:r>
        <w:rPr>
          <w:rFonts w:hint="eastAsia" w:ascii="宋体" w:hAnsi="宋体" w:eastAsia="宋体" w:cs="宋体"/>
          <w:spacing w:val="-28"/>
          <w:sz w:val="84"/>
          <w:szCs w:val="84"/>
          <w:lang w:val="en-US" w:eastAsia="zh-CN"/>
          <w14:textOutline w14:w="15240" w14:cap="flat" w14:cmpd="sng" w14:algn="ctr">
            <w14:solidFill>
              <w14:srgbClr w14:val="000000"/>
            </w14:solidFill>
            <w14:prstDash w14:val="solid"/>
            <w14:miter w14:val="0"/>
          </w14:textOutline>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文</w:t>
      </w:r>
      <w:r>
        <w:rPr>
          <w:rFonts w:hint="eastAsia" w:ascii="宋体" w:hAnsi="宋体" w:eastAsia="宋体" w:cs="宋体"/>
          <w:spacing w:val="-28"/>
          <w:sz w:val="84"/>
          <w:szCs w:val="84"/>
          <w:lang w:val="en-US" w:eastAsia="zh-CN"/>
          <w14:textOutline w14:w="15240" w14:cap="flat" w14:cmpd="sng" w14:algn="ctr">
            <w14:solidFill>
              <w14:srgbClr w14:val="000000"/>
            </w14:solidFill>
            <w14:prstDash w14:val="solid"/>
            <w14:miter w14:val="0"/>
          </w14:textOutline>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件</w:t>
      </w:r>
      <w:bookmarkEnd w:id="5"/>
      <w:bookmarkEnd w:id="6"/>
    </w:p>
    <w:p w14:paraId="53AF70C0">
      <w:pPr>
        <w:keepNext w:val="0"/>
        <w:keepLines w:val="0"/>
        <w:pageBreakBefore w:val="0"/>
        <w:wordWrap/>
        <w:overflowPunct/>
        <w:bidi w:val="0"/>
        <w:spacing w:line="300" w:lineRule="auto"/>
        <w:ind w:left="0" w:leftChars="0" w:right="0"/>
        <w:rPr>
          <w:rFonts w:hint="eastAsia" w:ascii="宋体" w:hAnsi="宋体" w:eastAsia="宋体" w:cs="宋体"/>
        </w:rPr>
      </w:pPr>
    </w:p>
    <w:p w14:paraId="4C115D64">
      <w:pPr>
        <w:keepNext w:val="0"/>
        <w:keepLines w:val="0"/>
        <w:pageBreakBefore w:val="0"/>
        <w:wordWrap/>
        <w:overflowPunct/>
        <w:bidi w:val="0"/>
        <w:spacing w:line="300" w:lineRule="auto"/>
        <w:ind w:left="0" w:leftChars="0" w:right="0"/>
        <w:rPr>
          <w:rFonts w:hint="eastAsia" w:ascii="宋体" w:hAnsi="宋体" w:eastAsia="宋体" w:cs="宋体"/>
        </w:rPr>
      </w:pPr>
    </w:p>
    <w:p w14:paraId="62E24D4D">
      <w:pPr>
        <w:keepNext w:val="0"/>
        <w:keepLines w:val="0"/>
        <w:pageBreakBefore w:val="0"/>
        <w:wordWrap/>
        <w:overflowPunct/>
        <w:bidi w:val="0"/>
        <w:spacing w:line="300" w:lineRule="auto"/>
        <w:ind w:left="0" w:leftChars="0" w:right="0"/>
        <w:rPr>
          <w:rFonts w:hint="eastAsia" w:ascii="宋体" w:hAnsi="宋体" w:eastAsia="宋体" w:cs="宋体"/>
        </w:rPr>
      </w:pPr>
    </w:p>
    <w:p w14:paraId="0903FB7A">
      <w:pPr>
        <w:keepNext w:val="0"/>
        <w:keepLines w:val="0"/>
        <w:pageBreakBefore w:val="0"/>
        <w:wordWrap/>
        <w:overflowPunct/>
        <w:bidi w:val="0"/>
        <w:spacing w:line="300" w:lineRule="auto"/>
        <w:ind w:left="0" w:leftChars="0" w:right="0"/>
        <w:rPr>
          <w:rFonts w:hint="eastAsia" w:ascii="宋体" w:hAnsi="宋体" w:eastAsia="宋体" w:cs="宋体"/>
        </w:rPr>
      </w:pPr>
    </w:p>
    <w:p w14:paraId="1739C065">
      <w:pPr>
        <w:keepNext w:val="0"/>
        <w:keepLines w:val="0"/>
        <w:pageBreakBefore w:val="0"/>
        <w:wordWrap/>
        <w:overflowPunct/>
        <w:bidi w:val="0"/>
        <w:spacing w:line="300" w:lineRule="auto"/>
        <w:ind w:left="0" w:leftChars="0" w:right="0"/>
        <w:rPr>
          <w:rFonts w:hint="eastAsia" w:ascii="宋体" w:hAnsi="宋体" w:eastAsia="宋体" w:cs="宋体"/>
        </w:rPr>
      </w:pPr>
    </w:p>
    <w:p w14:paraId="49993E69">
      <w:pPr>
        <w:pStyle w:val="2"/>
        <w:keepNext w:val="0"/>
        <w:keepLines w:val="0"/>
        <w:pageBreakBefore w:val="0"/>
        <w:wordWrap/>
        <w:overflowPunct/>
        <w:bidi w:val="0"/>
        <w:spacing w:after="0" w:line="300" w:lineRule="auto"/>
        <w:ind w:left="0" w:leftChars="0" w:right="0"/>
        <w:rPr>
          <w:rFonts w:hint="eastAsia" w:ascii="宋体" w:hAnsi="宋体" w:eastAsia="宋体" w:cs="宋体"/>
        </w:rPr>
      </w:pPr>
    </w:p>
    <w:p w14:paraId="6484DAA4">
      <w:pPr>
        <w:keepNext w:val="0"/>
        <w:keepLines w:val="0"/>
        <w:pageBreakBefore w:val="0"/>
        <w:wordWrap/>
        <w:overflowPunct/>
        <w:bidi w:val="0"/>
        <w:spacing w:line="300" w:lineRule="auto"/>
        <w:ind w:left="0" w:leftChars="0" w:right="0"/>
        <w:rPr>
          <w:rFonts w:hint="eastAsia" w:ascii="宋体" w:hAnsi="宋体" w:eastAsia="宋体" w:cs="宋体"/>
        </w:rPr>
      </w:pPr>
    </w:p>
    <w:p w14:paraId="09A2213C">
      <w:pPr>
        <w:keepNext w:val="0"/>
        <w:keepLines w:val="0"/>
        <w:pageBreakBefore w:val="0"/>
        <w:wordWrap/>
        <w:overflowPunct/>
        <w:bidi w:val="0"/>
        <w:spacing w:line="300" w:lineRule="auto"/>
        <w:ind w:left="0" w:leftChars="0" w:right="0"/>
        <w:rPr>
          <w:rFonts w:hint="eastAsia" w:ascii="宋体" w:hAnsi="宋体" w:eastAsia="宋体" w:cs="宋体"/>
        </w:rPr>
      </w:pPr>
    </w:p>
    <w:p w14:paraId="385560F5">
      <w:pPr>
        <w:keepNext w:val="0"/>
        <w:keepLines w:val="0"/>
        <w:pageBreakBefore w:val="0"/>
        <w:wordWrap/>
        <w:overflowPunct/>
        <w:bidi w:val="0"/>
        <w:spacing w:line="300" w:lineRule="auto"/>
        <w:ind w:left="0" w:leftChars="0" w:right="0"/>
        <w:rPr>
          <w:rFonts w:hint="eastAsia" w:ascii="宋体" w:hAnsi="宋体" w:eastAsia="宋体" w:cs="宋体"/>
          <w:spacing w:val="-18"/>
          <w:sz w:val="32"/>
          <w:szCs w:val="32"/>
        </w:rPr>
      </w:pPr>
    </w:p>
    <w:p w14:paraId="448CD1B8">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32"/>
          <w:szCs w:val="32"/>
        </w:rPr>
      </w:pPr>
      <w:bookmarkStart w:id="7" w:name="_Toc28706"/>
      <w:bookmarkStart w:id="8" w:name="_Toc12968"/>
      <w:r>
        <w:rPr>
          <w:rFonts w:hint="eastAsia" w:ascii="宋体" w:hAnsi="宋体" w:eastAsia="宋体" w:cs="宋体"/>
          <w:sz w:val="32"/>
          <w:szCs w:val="32"/>
        </w:rPr>
        <w:t>招标人：中国机械总院集团海西（福建）分院有限公司</w:t>
      </w:r>
      <w:bookmarkEnd w:id="7"/>
      <w:bookmarkEnd w:id="8"/>
    </w:p>
    <w:p w14:paraId="7DD53396">
      <w:pPr>
        <w:keepNext w:val="0"/>
        <w:keepLines w:val="0"/>
        <w:pageBreakBefore w:val="0"/>
        <w:wordWrap/>
        <w:overflowPunct/>
        <w:bidi w:val="0"/>
        <w:spacing w:line="300" w:lineRule="auto"/>
        <w:ind w:left="0" w:leftChars="0" w:right="0"/>
        <w:rPr>
          <w:rFonts w:hint="eastAsia" w:ascii="宋体" w:hAnsi="宋体" w:eastAsia="宋体" w:cs="宋体"/>
        </w:rPr>
      </w:pPr>
    </w:p>
    <w:p w14:paraId="47EE4356">
      <w:pPr>
        <w:keepNext w:val="0"/>
        <w:keepLines w:val="0"/>
        <w:pageBreakBefore w:val="0"/>
        <w:wordWrap/>
        <w:overflowPunct/>
        <w:bidi w:val="0"/>
        <w:spacing w:line="300" w:lineRule="auto"/>
        <w:ind w:left="0" w:leftChars="0" w:right="0"/>
        <w:jc w:val="center"/>
        <w:outlineLvl w:val="0"/>
        <w:rPr>
          <w:rFonts w:hint="default" w:ascii="宋体" w:hAnsi="宋体" w:eastAsia="宋体" w:cs="宋体"/>
          <w:sz w:val="24"/>
          <w:szCs w:val="24"/>
          <w:lang w:val="en-US"/>
        </w:rPr>
        <w:sectPr>
          <w:headerReference r:id="rId3" w:type="default"/>
          <w:footerReference r:id="rId4" w:type="default"/>
          <w:pgSz w:w="11907" w:h="16839"/>
          <w:pgMar w:top="1432" w:right="1389" w:bottom="1201" w:left="1389" w:header="852" w:footer="1021" w:gutter="0"/>
          <w:pgNumType w:fmt="decimal"/>
          <w:cols w:space="720" w:num="1"/>
        </w:sectPr>
      </w:pPr>
      <w:bookmarkStart w:id="9" w:name="_Toc24157"/>
      <w:bookmarkStart w:id="10" w:name="_Toc18293"/>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05</w:t>
      </w:r>
      <w:r>
        <w:rPr>
          <w:rFonts w:hint="eastAsia" w:ascii="宋体" w:hAnsi="宋体" w:eastAsia="宋体" w:cs="宋体"/>
          <w:color w:val="auto"/>
          <w:sz w:val="32"/>
          <w:szCs w:val="32"/>
        </w:rPr>
        <w:t>月</w:t>
      </w:r>
      <w:bookmarkEnd w:id="9"/>
      <w:r>
        <w:rPr>
          <w:rFonts w:hint="eastAsia" w:ascii="宋体" w:hAnsi="宋体" w:eastAsia="宋体" w:cs="宋体"/>
          <w:color w:val="auto"/>
          <w:sz w:val="32"/>
          <w:szCs w:val="32"/>
          <w:lang w:val="en-US" w:eastAsia="zh-CN"/>
        </w:rPr>
        <w:t>30日</w:t>
      </w:r>
      <w:bookmarkEnd w:id="10"/>
    </w:p>
    <w:sdt>
      <w:sdtPr>
        <w:rPr>
          <w:rFonts w:hint="eastAsia" w:ascii="宋体" w:hAnsi="宋体" w:eastAsia="宋体" w:cs="宋体"/>
          <w:b/>
          <w:bCs/>
          <w:snapToGrid w:val="0"/>
          <w:color w:val="000000"/>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000000"/>
          <w:sz w:val="28"/>
          <w:szCs w:val="28"/>
          <w:lang w:val="en-US" w:eastAsia="zh-CN" w:bidi="ar-SA"/>
        </w:rPr>
      </w:sdtEndPr>
      <w:sdtContent>
        <w:p w14:paraId="617F51A6">
          <w:pPr>
            <w:keepNext w:val="0"/>
            <w:keepLines w:val="0"/>
            <w:pageBreakBefore w:val="0"/>
            <w:wordWrap/>
            <w:overflowPunct/>
            <w:bidi w:val="0"/>
            <w:spacing w:line="30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录</w:t>
          </w:r>
        </w:p>
        <w:p w14:paraId="1546BFBF">
          <w:pPr>
            <w:pStyle w:val="13"/>
            <w:keepNext w:val="0"/>
            <w:keepLines w:val="0"/>
            <w:pageBreakBefore w:val="0"/>
            <w:tabs>
              <w:tab w:val="right" w:leader="dot" w:pos="9183"/>
            </w:tabs>
            <w:wordWrap/>
            <w:overflowPunct/>
            <w:bidi w:val="0"/>
            <w:spacing w:line="300" w:lineRule="auto"/>
            <w:ind w:left="0" w:leftChars="0" w:right="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14:paraId="5567D675">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投标邀请书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_Toc23495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0D14426">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_Toc25726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_Toc25726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B7A16D">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_Toc14207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_Toc14207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F8A2CC3">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_Toc14784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_Toc14784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58B387">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_Toc7216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9FA98E2">
          <w:pPr>
            <w:pStyle w:val="13"/>
            <w:keepNext w:val="0"/>
            <w:keepLines w:val="0"/>
            <w:pageBreakBefore w:val="0"/>
            <w:tabs>
              <w:tab w:val="right" w:leader="dot" w:pos="9183"/>
            </w:tabs>
            <w:wordWrap/>
            <w:overflowPunct/>
            <w:bidi w:val="0"/>
            <w:spacing w:line="300" w:lineRule="auto"/>
            <w:ind w:left="0" w:leftChars="0" w:right="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_Toc30455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_Toc30455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0C18C06">
          <w:pPr>
            <w:keepNext w:val="0"/>
            <w:keepLines w:val="0"/>
            <w:pageBreakBefore w:val="0"/>
            <w:wordWrap/>
            <w:overflowPunct/>
            <w:bidi w:val="0"/>
            <w:spacing w:line="300" w:lineRule="auto"/>
            <w:ind w:left="0" w:leftChars="0" w:right="0"/>
            <w:jc w:val="both"/>
            <w:outlineLvl w:val="0"/>
            <w:rPr>
              <w:rFonts w:hint="eastAsia" w:ascii="宋体" w:hAnsi="宋体" w:eastAsia="宋体" w:cs="宋体"/>
              <w:b/>
              <w:bCs/>
              <w:snapToGrid w:val="0"/>
              <w:color w:val="000000"/>
              <w:sz w:val="28"/>
              <w:szCs w:val="28"/>
              <w:lang w:val="en-US" w:eastAsia="zh-CN" w:bidi="ar-SA"/>
            </w:rPr>
          </w:pPr>
          <w:r>
            <w:rPr>
              <w:rFonts w:hint="eastAsia" w:ascii="宋体" w:hAnsi="宋体" w:eastAsia="宋体" w:cs="宋体"/>
              <w:szCs w:val="28"/>
            </w:rPr>
            <w:fldChar w:fldCharType="end"/>
          </w:r>
        </w:p>
      </w:sdtContent>
    </w:sdt>
    <w:p w14:paraId="0389583F">
      <w:pPr>
        <w:pStyle w:val="2"/>
        <w:keepNext w:val="0"/>
        <w:keepLines w:val="0"/>
        <w:pageBreakBefore w:val="0"/>
        <w:wordWrap/>
        <w:overflowPunct/>
        <w:bidi w:val="0"/>
        <w:spacing w:after="0" w:line="300" w:lineRule="auto"/>
        <w:ind w:left="0" w:leftChars="0" w:right="0"/>
        <w:rPr>
          <w:rFonts w:hint="eastAsia"/>
          <w:lang w:val="en-US" w:eastAsia="zh-CN"/>
        </w:rPr>
        <w:sectPr>
          <w:headerReference r:id="rId5" w:type="default"/>
          <w:footerReference r:id="rId6" w:type="default"/>
          <w:pgSz w:w="11907" w:h="16839"/>
          <w:pgMar w:top="1432" w:right="1335" w:bottom="1201" w:left="1389" w:header="852" w:footer="1021" w:gutter="0"/>
          <w:pgNumType w:fmt="decimal"/>
          <w:cols w:space="720" w:num="1"/>
        </w:sectPr>
      </w:pPr>
    </w:p>
    <w:p w14:paraId="6A738EF3">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36"/>
          <w:szCs w:val="36"/>
        </w:rPr>
      </w:pPr>
      <w:bookmarkStart w:id="11" w:name="_Toc2349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投标邀请书</w:t>
      </w:r>
      <w:bookmarkEnd w:id="0"/>
      <w:bookmarkEnd w:id="1"/>
      <w:bookmarkEnd w:id="11"/>
    </w:p>
    <w:p w14:paraId="71D8E39B">
      <w:pPr>
        <w:keepNext w:val="0"/>
        <w:keepLines w:val="0"/>
        <w:pageBreakBefore w:val="0"/>
        <w:tabs>
          <w:tab w:val="left" w:pos="2648"/>
        </w:tabs>
        <w:wordWrap/>
        <w:overflowPunct/>
        <w:bidi w:val="0"/>
        <w:spacing w:line="300" w:lineRule="auto"/>
        <w:ind w:left="0" w:leftChars="0" w:right="0" w:firstLine="960" w:firstLineChars="400"/>
        <w:rPr>
          <w:rFonts w:hint="eastAsia" w:ascii="宋体" w:hAnsi="宋体" w:eastAsia="宋体" w:cs="宋体"/>
          <w:sz w:val="24"/>
          <w:szCs w:val="24"/>
        </w:rPr>
      </w:pPr>
      <w:bookmarkStart w:id="12" w:name="_Hlk121147898"/>
      <w:r>
        <w:rPr>
          <w:rFonts w:hint="eastAsia" w:ascii="宋体" w:hAnsi="宋体" w:eastAsia="宋体" w:cs="宋体"/>
          <w:sz w:val="24"/>
          <w:szCs w:val="24"/>
        </w:rPr>
        <w:t>：</w:t>
      </w:r>
    </w:p>
    <w:p w14:paraId="45B09563">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招标人中国机械总院集团海西（福建）分院有限公司根据生产所需，现决定通过邀请招标方式采购招标编号：</w:t>
      </w:r>
      <w:r>
        <w:rPr>
          <w:rFonts w:hint="eastAsia" w:ascii="宋体" w:hAnsi="宋体" w:eastAsia="宋体" w:cs="宋体"/>
          <w:b w:val="0"/>
          <w:bCs w:val="0"/>
          <w:sz w:val="28"/>
          <w:szCs w:val="28"/>
          <w:highlight w:val="none"/>
          <w:u w:val="single"/>
        </w:rPr>
        <w:t>HXZB202</w:t>
      </w:r>
      <w:r>
        <w:rPr>
          <w:rFonts w:hint="eastAsia" w:ascii="宋体" w:hAnsi="宋体" w:eastAsia="宋体" w:cs="宋体"/>
          <w:b w:val="0"/>
          <w:bCs w:val="0"/>
          <w:sz w:val="28"/>
          <w:szCs w:val="28"/>
          <w:highlight w:val="none"/>
          <w:u w:val="single"/>
          <w:lang w:val="en-US" w:eastAsia="zh-CN"/>
        </w:rPr>
        <w:t>50530</w:t>
      </w:r>
      <w:r>
        <w:rPr>
          <w:rFonts w:hint="eastAsia" w:ascii="宋体" w:hAnsi="宋体" w:eastAsia="宋体" w:cs="宋体"/>
          <w:b w:val="0"/>
          <w:bCs w:val="0"/>
          <w:sz w:val="28"/>
          <w:szCs w:val="28"/>
          <w:highlight w:val="none"/>
          <w:u w:val="single"/>
        </w:rPr>
        <w:t>0</w:t>
      </w:r>
      <w:r>
        <w:rPr>
          <w:rFonts w:hint="eastAsia" w:ascii="宋体" w:hAnsi="宋体" w:eastAsia="宋体" w:cs="宋体"/>
          <w:b w:val="0"/>
          <w:bCs w:val="0"/>
          <w:sz w:val="28"/>
          <w:szCs w:val="28"/>
          <w:highlight w:val="none"/>
          <w:u w:val="single"/>
          <w:lang w:val="en-US" w:eastAsia="zh-CN"/>
        </w:rPr>
        <w:t>1</w:t>
      </w:r>
      <w:r>
        <w:rPr>
          <w:rFonts w:hint="eastAsia" w:ascii="宋体" w:hAnsi="宋体" w:eastAsia="宋体" w:cs="宋体"/>
          <w:sz w:val="24"/>
          <w:szCs w:val="24"/>
        </w:rPr>
        <w:t>，项目名称：</w:t>
      </w:r>
      <w:r>
        <w:rPr>
          <w:rFonts w:hint="eastAsia" w:ascii="宋体" w:hAnsi="宋体" w:eastAsia="宋体" w:cs="宋体"/>
          <w:color w:val="auto"/>
          <w:sz w:val="24"/>
          <w:szCs w:val="24"/>
          <w:u w:val="single"/>
          <w:lang w:val="en-US" w:eastAsia="zh-CN"/>
        </w:rPr>
        <w:t>再生石墨箱板外协加工项目</w:t>
      </w:r>
      <w:r>
        <w:rPr>
          <w:rFonts w:hint="eastAsia" w:ascii="宋体" w:hAnsi="宋体" w:eastAsia="宋体" w:cs="宋体"/>
          <w:sz w:val="24"/>
          <w:szCs w:val="24"/>
        </w:rPr>
        <w:t>。经过对多个单位的初步资格审查，贵单位被</w:t>
      </w:r>
      <w:bookmarkEnd w:id="12"/>
      <w:r>
        <w:rPr>
          <w:rFonts w:hint="eastAsia" w:ascii="宋体" w:hAnsi="宋体" w:eastAsia="宋体" w:cs="宋体"/>
          <w:sz w:val="24"/>
          <w:szCs w:val="24"/>
        </w:rPr>
        <w:t>选为具有承担提供该采购项目能力的被邀请单位之一，特致函邀请贵单位参加该采购项目的投标活动。我们将通过邀请招标方式，最后确定中标单位。</w:t>
      </w:r>
    </w:p>
    <w:p w14:paraId="40E77AEF">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13" w:name="_Toc23627"/>
      <w:bookmarkStart w:id="14" w:name="_Toc13304"/>
      <w:bookmarkStart w:id="15" w:name="_Toc30525"/>
      <w:bookmarkStart w:id="16" w:name="_Toc30218"/>
      <w:bookmarkStart w:id="17" w:name="_Toc3942"/>
      <w:bookmarkStart w:id="18" w:name="_Toc3520"/>
      <w:r>
        <w:rPr>
          <w:rFonts w:hint="eastAsia" w:ascii="宋体" w:hAnsi="宋体" w:eastAsia="宋体" w:cs="宋体"/>
          <w:sz w:val="24"/>
          <w:szCs w:val="24"/>
        </w:rPr>
        <w:t>招标内容、型号规格（见下表）</w:t>
      </w:r>
      <w:bookmarkEnd w:id="13"/>
      <w:bookmarkEnd w:id="14"/>
      <w:bookmarkEnd w:id="15"/>
      <w:bookmarkEnd w:id="16"/>
      <w:bookmarkEnd w:id="17"/>
      <w:bookmarkEnd w:id="18"/>
      <w:r>
        <w:rPr>
          <w:rFonts w:hint="eastAsia" w:ascii="宋体" w:hAnsi="宋体" w:eastAsia="宋体" w:cs="宋体"/>
          <w:sz w:val="24"/>
          <w:szCs w:val="24"/>
          <w:lang w:val="en-US" w:eastAsia="zh-CN"/>
        </w:rPr>
        <w:t xml:space="preserve">  </w:t>
      </w:r>
      <w:r>
        <w:rPr>
          <w:rFonts w:hint="eastAsia" w:ascii="宋体" w:hAnsi="宋体" w:eastAsia="宋体" w:cs="宋体"/>
          <w:b/>
          <w:bCs/>
          <w:color w:val="FF0000"/>
          <w:sz w:val="28"/>
          <w:szCs w:val="28"/>
          <w:lang w:val="en-US" w:eastAsia="zh-CN"/>
        </w:rPr>
        <w:t>按吨报价</w:t>
      </w:r>
    </w:p>
    <w:tbl>
      <w:tblPr>
        <w:tblStyle w:val="21"/>
        <w:tblpPr w:leftFromText="180" w:rightFromText="180" w:vertAnchor="text" w:horzAnchor="margin" w:tblpXSpec="center" w:tblpY="75"/>
        <w:tblOverlap w:val="never"/>
        <w:tblW w:w="95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2377"/>
        <w:gridCol w:w="1644"/>
        <w:gridCol w:w="990"/>
        <w:gridCol w:w="1206"/>
        <w:gridCol w:w="1830"/>
        <w:gridCol w:w="773"/>
      </w:tblGrid>
      <w:tr w14:paraId="357F1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684" w:type="dxa"/>
            <w:vAlign w:val="center"/>
          </w:tcPr>
          <w:p w14:paraId="4A22FE4B">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377" w:type="dxa"/>
            <w:vAlign w:val="center"/>
          </w:tcPr>
          <w:p w14:paraId="0167E882">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原料名称</w:t>
            </w:r>
          </w:p>
        </w:tc>
        <w:tc>
          <w:tcPr>
            <w:tcW w:w="1644" w:type="dxa"/>
            <w:tcBorders>
              <w:right w:val="single" w:color="auto" w:sz="4" w:space="0"/>
            </w:tcBorders>
            <w:vAlign w:val="center"/>
          </w:tcPr>
          <w:p w14:paraId="3871A2E3">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型号规格</w:t>
            </w:r>
          </w:p>
        </w:tc>
        <w:tc>
          <w:tcPr>
            <w:tcW w:w="990" w:type="dxa"/>
            <w:tcBorders>
              <w:left w:val="single" w:color="auto" w:sz="4" w:space="0"/>
            </w:tcBorders>
            <w:vAlign w:val="center"/>
          </w:tcPr>
          <w:p w14:paraId="1FB3CC6A">
            <w:pPr>
              <w:keepNext w:val="0"/>
              <w:keepLines w:val="0"/>
              <w:pageBreakBefore w:val="0"/>
              <w:wordWrap/>
              <w:overflowPunct/>
              <w:bidi w:val="0"/>
              <w:spacing w:line="240" w:lineRule="auto"/>
              <w:ind w:left="0" w:leftChars="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数量</w:t>
            </w:r>
          </w:p>
          <w:p w14:paraId="3577DB4D">
            <w:pPr>
              <w:keepNext w:val="0"/>
              <w:keepLines w:val="0"/>
              <w:pageBreakBefore w:val="0"/>
              <w:wordWrap/>
              <w:overflowPunct/>
              <w:bidi w:val="0"/>
              <w:spacing w:line="240" w:lineRule="auto"/>
              <w:ind w:left="0" w:leftChars="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（块)</w:t>
            </w:r>
          </w:p>
        </w:tc>
        <w:tc>
          <w:tcPr>
            <w:tcW w:w="1206" w:type="dxa"/>
            <w:tcBorders>
              <w:left w:val="single" w:color="auto" w:sz="4" w:space="0"/>
            </w:tcBorders>
            <w:vAlign w:val="center"/>
          </w:tcPr>
          <w:p w14:paraId="480672DD">
            <w:pPr>
              <w:keepNext w:val="0"/>
              <w:keepLines w:val="0"/>
              <w:pageBreakBefore w:val="0"/>
              <w:wordWrap/>
              <w:overflowPunct/>
              <w:bidi w:val="0"/>
              <w:spacing w:line="240" w:lineRule="auto"/>
              <w:ind w:left="0" w:leftChars="0" w:right="0"/>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暂估重量</w:t>
            </w:r>
            <w:r>
              <w:rPr>
                <w:rFonts w:hint="eastAsia" w:ascii="宋体" w:hAnsi="宋体" w:eastAsia="宋体" w:cs="宋体"/>
                <w:b/>
                <w:bCs/>
                <w:sz w:val="24"/>
                <w:szCs w:val="24"/>
                <w:lang w:val="en-US" w:eastAsia="zh-CN"/>
              </w:rPr>
              <w:br w:type="textWrapping"/>
            </w:r>
            <w:r>
              <w:rPr>
                <w:rFonts w:hint="eastAsia" w:ascii="宋体" w:hAnsi="宋体" w:eastAsia="宋体" w:cs="宋体"/>
                <w:b/>
                <w:bCs/>
                <w:sz w:val="24"/>
                <w:szCs w:val="24"/>
                <w:lang w:val="en-US" w:eastAsia="zh-CN"/>
              </w:rPr>
              <w:t>（吨）</w:t>
            </w:r>
          </w:p>
        </w:tc>
        <w:tc>
          <w:tcPr>
            <w:tcW w:w="1830" w:type="dxa"/>
            <w:vAlign w:val="center"/>
          </w:tcPr>
          <w:p w14:paraId="428F9E3A">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交货期</w:t>
            </w:r>
          </w:p>
        </w:tc>
        <w:tc>
          <w:tcPr>
            <w:tcW w:w="773" w:type="dxa"/>
            <w:vAlign w:val="center"/>
          </w:tcPr>
          <w:p w14:paraId="2F1273E3">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14:paraId="71926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31F4549A">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1</w:t>
            </w:r>
          </w:p>
        </w:tc>
        <w:tc>
          <w:tcPr>
            <w:tcW w:w="2377" w:type="dxa"/>
            <w:shd w:val="clear" w:color="auto" w:fill="auto"/>
            <w:vAlign w:val="center"/>
          </w:tcPr>
          <w:p w14:paraId="302EE6AE">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再生石墨箱板底板A1</w:t>
            </w:r>
          </w:p>
        </w:tc>
        <w:tc>
          <w:tcPr>
            <w:tcW w:w="1644" w:type="dxa"/>
            <w:tcBorders>
              <w:right w:val="single" w:color="auto" w:sz="4" w:space="0"/>
            </w:tcBorders>
            <w:shd w:val="clear" w:color="auto" w:fill="auto"/>
            <w:vAlign w:val="center"/>
          </w:tcPr>
          <w:p w14:paraId="78E87E54">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426*2230*80</w:t>
            </w:r>
          </w:p>
        </w:tc>
        <w:tc>
          <w:tcPr>
            <w:tcW w:w="990" w:type="dxa"/>
            <w:tcBorders>
              <w:left w:val="single" w:color="auto" w:sz="4" w:space="0"/>
            </w:tcBorders>
            <w:shd w:val="clear" w:color="auto" w:fill="auto"/>
            <w:vAlign w:val="center"/>
          </w:tcPr>
          <w:p w14:paraId="1B1F3A0F">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4</w:t>
            </w:r>
          </w:p>
        </w:tc>
        <w:tc>
          <w:tcPr>
            <w:tcW w:w="1206" w:type="dxa"/>
            <w:tcBorders>
              <w:left w:val="single" w:color="auto" w:sz="4" w:space="0"/>
            </w:tcBorders>
            <w:shd w:val="clear" w:color="auto" w:fill="auto"/>
            <w:vAlign w:val="center"/>
          </w:tcPr>
          <w:p w14:paraId="2F7804F2">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0.5</w:t>
            </w:r>
          </w:p>
        </w:tc>
        <w:tc>
          <w:tcPr>
            <w:tcW w:w="1830" w:type="dxa"/>
            <w:vMerge w:val="restart"/>
            <w:shd w:val="clear" w:color="auto" w:fill="auto"/>
            <w:vAlign w:val="center"/>
          </w:tcPr>
          <w:p w14:paraId="05648FC9">
            <w:pPr>
              <w:keepNext w:val="0"/>
              <w:keepLines w:val="0"/>
              <w:pageBreakBefore w:val="0"/>
              <w:widowControl/>
              <w:suppressLineNumbers w:val="0"/>
              <w:wordWrap/>
              <w:overflowPunct/>
              <w:bidi w:val="0"/>
              <w:spacing w:line="300" w:lineRule="auto"/>
              <w:ind w:left="0" w:leftChars="0" w:right="0"/>
              <w:jc w:val="left"/>
              <w:rPr>
                <w:rFonts w:hint="default"/>
                <w:sz w:val="22"/>
                <w:szCs w:val="22"/>
                <w:lang w:val="en-US"/>
              </w:rPr>
            </w:pPr>
            <w:r>
              <w:rPr>
                <w:rFonts w:hint="eastAsia" w:ascii="宋体" w:hAnsi="宋体" w:eastAsia="宋体" w:cs="宋体"/>
                <w:snapToGrid w:val="0"/>
                <w:color w:val="000000"/>
                <w:kern w:val="0"/>
                <w:sz w:val="22"/>
                <w:szCs w:val="22"/>
                <w:lang w:val="en-US" w:eastAsia="zh-CN" w:bidi="ar"/>
              </w:rPr>
              <w:t>在2025年6月10日前交货盖板端头柱7吨、角柱2.8吨、立柱31.7吨，盖板22.5吨，剩余货物于6月25日前交付分批将货物送达</w:t>
            </w:r>
          </w:p>
          <w:p w14:paraId="11423C37">
            <w:pPr>
              <w:keepNext w:val="0"/>
              <w:keepLines w:val="0"/>
              <w:pageBreakBefore w:val="0"/>
              <w:tabs>
                <w:tab w:val="left" w:pos="214"/>
              </w:tabs>
              <w:wordWrap/>
              <w:overflowPunct/>
              <w:bidi w:val="0"/>
              <w:spacing w:line="300" w:lineRule="auto"/>
              <w:ind w:left="0" w:leftChars="0" w:right="0"/>
              <w:jc w:val="left"/>
              <w:rPr>
                <w:rFonts w:hint="eastAsia" w:ascii="宋体" w:hAnsi="宋体" w:eastAsia="宋体" w:cs="宋体"/>
                <w:snapToGrid w:val="0"/>
                <w:color w:val="000000"/>
                <w:sz w:val="22"/>
                <w:szCs w:val="22"/>
                <w:lang w:val="en-US" w:eastAsia="zh-CN" w:bidi="ar-SA"/>
              </w:rPr>
            </w:pPr>
          </w:p>
        </w:tc>
        <w:tc>
          <w:tcPr>
            <w:tcW w:w="773" w:type="dxa"/>
            <w:vAlign w:val="center"/>
          </w:tcPr>
          <w:p w14:paraId="4487D58B">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r>
      <w:tr w14:paraId="7565A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19C9629E">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w:t>
            </w:r>
          </w:p>
        </w:tc>
        <w:tc>
          <w:tcPr>
            <w:tcW w:w="2377" w:type="dxa"/>
            <w:shd w:val="clear" w:color="auto" w:fill="auto"/>
            <w:vAlign w:val="center"/>
          </w:tcPr>
          <w:p w14:paraId="6426B240">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再生石墨箱板底板A2</w:t>
            </w:r>
          </w:p>
        </w:tc>
        <w:tc>
          <w:tcPr>
            <w:tcW w:w="1644" w:type="dxa"/>
            <w:tcBorders>
              <w:right w:val="single" w:color="auto" w:sz="4" w:space="0"/>
            </w:tcBorders>
            <w:shd w:val="clear" w:color="auto" w:fill="auto"/>
            <w:vAlign w:val="center"/>
          </w:tcPr>
          <w:p w14:paraId="0827D372">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426*2230*80</w:t>
            </w:r>
          </w:p>
        </w:tc>
        <w:tc>
          <w:tcPr>
            <w:tcW w:w="990" w:type="dxa"/>
            <w:tcBorders>
              <w:left w:val="single" w:color="auto" w:sz="4" w:space="0"/>
            </w:tcBorders>
            <w:shd w:val="clear" w:color="auto" w:fill="auto"/>
            <w:vAlign w:val="center"/>
          </w:tcPr>
          <w:p w14:paraId="35336A9F">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4</w:t>
            </w:r>
          </w:p>
        </w:tc>
        <w:tc>
          <w:tcPr>
            <w:tcW w:w="1206" w:type="dxa"/>
            <w:tcBorders>
              <w:left w:val="single" w:color="auto" w:sz="4" w:space="0"/>
            </w:tcBorders>
            <w:shd w:val="clear" w:color="auto" w:fill="auto"/>
            <w:vAlign w:val="center"/>
          </w:tcPr>
          <w:p w14:paraId="1E0646D5">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0.5</w:t>
            </w:r>
          </w:p>
        </w:tc>
        <w:tc>
          <w:tcPr>
            <w:tcW w:w="1830" w:type="dxa"/>
            <w:vMerge w:val="continue"/>
            <w:shd w:val="clear" w:color="auto" w:fill="auto"/>
            <w:vAlign w:val="center"/>
          </w:tcPr>
          <w:p w14:paraId="265FC2D4">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1E0E7D4F">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5A9C7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325185DF">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w:t>
            </w:r>
          </w:p>
        </w:tc>
        <w:tc>
          <w:tcPr>
            <w:tcW w:w="2377" w:type="dxa"/>
            <w:shd w:val="clear" w:color="auto" w:fill="auto"/>
            <w:vAlign w:val="center"/>
          </w:tcPr>
          <w:p w14:paraId="2A85D0C6">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再生石墨箱板底板B1</w:t>
            </w:r>
          </w:p>
        </w:tc>
        <w:tc>
          <w:tcPr>
            <w:tcW w:w="1644" w:type="dxa"/>
            <w:tcBorders>
              <w:right w:val="single" w:color="auto" w:sz="4" w:space="0"/>
            </w:tcBorders>
            <w:shd w:val="clear" w:color="auto" w:fill="auto"/>
            <w:vAlign w:val="center"/>
          </w:tcPr>
          <w:p w14:paraId="3A9A5E2E">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403*2230*80</w:t>
            </w:r>
          </w:p>
        </w:tc>
        <w:tc>
          <w:tcPr>
            <w:tcW w:w="990" w:type="dxa"/>
            <w:tcBorders>
              <w:left w:val="single" w:color="auto" w:sz="4" w:space="0"/>
            </w:tcBorders>
            <w:shd w:val="clear" w:color="auto" w:fill="auto"/>
            <w:vAlign w:val="center"/>
          </w:tcPr>
          <w:p w14:paraId="6DB4CCD6">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54</w:t>
            </w:r>
          </w:p>
        </w:tc>
        <w:tc>
          <w:tcPr>
            <w:tcW w:w="1206" w:type="dxa"/>
            <w:tcBorders>
              <w:left w:val="single" w:color="auto" w:sz="4" w:space="0"/>
            </w:tcBorders>
            <w:shd w:val="clear" w:color="auto" w:fill="auto"/>
            <w:vAlign w:val="center"/>
          </w:tcPr>
          <w:p w14:paraId="5F222D68">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6.3</w:t>
            </w:r>
          </w:p>
        </w:tc>
        <w:tc>
          <w:tcPr>
            <w:tcW w:w="1830" w:type="dxa"/>
            <w:vMerge w:val="continue"/>
            <w:shd w:val="clear" w:color="auto" w:fill="auto"/>
            <w:vAlign w:val="center"/>
          </w:tcPr>
          <w:p w14:paraId="181BD8CF">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4F67E25C">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709EE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1879EF6A">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w:t>
            </w:r>
          </w:p>
        </w:tc>
        <w:tc>
          <w:tcPr>
            <w:tcW w:w="2377" w:type="dxa"/>
            <w:shd w:val="clear" w:color="auto" w:fill="auto"/>
            <w:vAlign w:val="center"/>
          </w:tcPr>
          <w:p w14:paraId="4EA03B90">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再生石墨箱板底板B2</w:t>
            </w:r>
          </w:p>
        </w:tc>
        <w:tc>
          <w:tcPr>
            <w:tcW w:w="1644" w:type="dxa"/>
            <w:tcBorders>
              <w:right w:val="single" w:color="auto" w:sz="4" w:space="0"/>
            </w:tcBorders>
            <w:shd w:val="clear" w:color="auto" w:fill="auto"/>
            <w:vAlign w:val="center"/>
          </w:tcPr>
          <w:p w14:paraId="1521A906">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403*2230*80</w:t>
            </w:r>
          </w:p>
        </w:tc>
        <w:tc>
          <w:tcPr>
            <w:tcW w:w="990" w:type="dxa"/>
            <w:tcBorders>
              <w:left w:val="single" w:color="auto" w:sz="4" w:space="0"/>
            </w:tcBorders>
            <w:shd w:val="clear" w:color="auto" w:fill="auto"/>
            <w:vAlign w:val="center"/>
          </w:tcPr>
          <w:p w14:paraId="69403E64">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54</w:t>
            </w:r>
          </w:p>
        </w:tc>
        <w:tc>
          <w:tcPr>
            <w:tcW w:w="1206" w:type="dxa"/>
            <w:tcBorders>
              <w:left w:val="single" w:color="auto" w:sz="4" w:space="0"/>
            </w:tcBorders>
            <w:shd w:val="clear" w:color="auto" w:fill="auto"/>
            <w:vAlign w:val="center"/>
          </w:tcPr>
          <w:p w14:paraId="59677C50">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6.3</w:t>
            </w:r>
          </w:p>
        </w:tc>
        <w:tc>
          <w:tcPr>
            <w:tcW w:w="1830" w:type="dxa"/>
            <w:vMerge w:val="continue"/>
            <w:shd w:val="clear" w:color="auto" w:fill="auto"/>
            <w:vAlign w:val="center"/>
          </w:tcPr>
          <w:p w14:paraId="52A3B55C">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2525A905">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p>
        </w:tc>
      </w:tr>
      <w:tr w14:paraId="24005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6FF77B0F">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w:t>
            </w:r>
          </w:p>
        </w:tc>
        <w:tc>
          <w:tcPr>
            <w:tcW w:w="2377" w:type="dxa"/>
            <w:shd w:val="clear" w:color="auto" w:fill="auto"/>
            <w:vAlign w:val="center"/>
          </w:tcPr>
          <w:p w14:paraId="1D043A60">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再生石墨箱板底板C1</w:t>
            </w:r>
          </w:p>
        </w:tc>
        <w:tc>
          <w:tcPr>
            <w:tcW w:w="1644" w:type="dxa"/>
            <w:tcBorders>
              <w:right w:val="single" w:color="auto" w:sz="4" w:space="0"/>
            </w:tcBorders>
            <w:shd w:val="clear" w:color="auto" w:fill="auto"/>
            <w:vAlign w:val="center"/>
          </w:tcPr>
          <w:p w14:paraId="3C85BC63">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603*2230*80</w:t>
            </w:r>
          </w:p>
        </w:tc>
        <w:tc>
          <w:tcPr>
            <w:tcW w:w="990" w:type="dxa"/>
            <w:tcBorders>
              <w:left w:val="single" w:color="auto" w:sz="4" w:space="0"/>
            </w:tcBorders>
            <w:shd w:val="clear" w:color="auto" w:fill="auto"/>
            <w:vAlign w:val="center"/>
          </w:tcPr>
          <w:p w14:paraId="363EB317">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52</w:t>
            </w:r>
          </w:p>
        </w:tc>
        <w:tc>
          <w:tcPr>
            <w:tcW w:w="1206" w:type="dxa"/>
            <w:tcBorders>
              <w:left w:val="single" w:color="auto" w:sz="4" w:space="0"/>
            </w:tcBorders>
            <w:shd w:val="clear" w:color="auto" w:fill="auto"/>
            <w:vAlign w:val="center"/>
          </w:tcPr>
          <w:p w14:paraId="5CFDE884">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9.1</w:t>
            </w:r>
          </w:p>
        </w:tc>
        <w:tc>
          <w:tcPr>
            <w:tcW w:w="1830" w:type="dxa"/>
            <w:vMerge w:val="continue"/>
            <w:shd w:val="clear" w:color="auto" w:fill="auto"/>
            <w:vAlign w:val="center"/>
          </w:tcPr>
          <w:p w14:paraId="1E42A337">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79DF7B9B">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p>
        </w:tc>
      </w:tr>
      <w:tr w14:paraId="28A6E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65350C7D">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w:t>
            </w:r>
          </w:p>
        </w:tc>
        <w:tc>
          <w:tcPr>
            <w:tcW w:w="2377" w:type="dxa"/>
            <w:shd w:val="clear" w:color="auto" w:fill="auto"/>
            <w:vAlign w:val="center"/>
          </w:tcPr>
          <w:p w14:paraId="45295A20">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再生石墨箱板底板C2</w:t>
            </w:r>
          </w:p>
        </w:tc>
        <w:tc>
          <w:tcPr>
            <w:tcW w:w="1644" w:type="dxa"/>
            <w:tcBorders>
              <w:right w:val="single" w:color="auto" w:sz="4" w:space="0"/>
            </w:tcBorders>
            <w:shd w:val="clear" w:color="auto" w:fill="auto"/>
            <w:vAlign w:val="center"/>
          </w:tcPr>
          <w:p w14:paraId="6A0C3DE2">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603*2230*80</w:t>
            </w:r>
          </w:p>
        </w:tc>
        <w:tc>
          <w:tcPr>
            <w:tcW w:w="990" w:type="dxa"/>
            <w:tcBorders>
              <w:left w:val="single" w:color="auto" w:sz="4" w:space="0"/>
            </w:tcBorders>
            <w:shd w:val="clear" w:color="auto" w:fill="auto"/>
            <w:vAlign w:val="center"/>
          </w:tcPr>
          <w:p w14:paraId="22C30CB4">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52</w:t>
            </w:r>
          </w:p>
        </w:tc>
        <w:tc>
          <w:tcPr>
            <w:tcW w:w="1206" w:type="dxa"/>
            <w:tcBorders>
              <w:left w:val="single" w:color="auto" w:sz="4" w:space="0"/>
            </w:tcBorders>
            <w:shd w:val="clear" w:color="auto" w:fill="auto"/>
            <w:vAlign w:val="center"/>
          </w:tcPr>
          <w:p w14:paraId="28973839">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9.1</w:t>
            </w:r>
          </w:p>
        </w:tc>
        <w:tc>
          <w:tcPr>
            <w:tcW w:w="1830" w:type="dxa"/>
            <w:vMerge w:val="continue"/>
            <w:shd w:val="clear" w:color="auto" w:fill="auto"/>
            <w:vAlign w:val="center"/>
          </w:tcPr>
          <w:p w14:paraId="4118C6B7">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3BE906C0">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p>
        </w:tc>
      </w:tr>
      <w:tr w14:paraId="00615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0F9B5A99">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7</w:t>
            </w:r>
          </w:p>
        </w:tc>
        <w:tc>
          <w:tcPr>
            <w:tcW w:w="2377" w:type="dxa"/>
            <w:shd w:val="clear" w:color="auto" w:fill="auto"/>
            <w:vAlign w:val="center"/>
          </w:tcPr>
          <w:p w14:paraId="4DAB3062">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再生石墨箱板端头板</w:t>
            </w:r>
          </w:p>
        </w:tc>
        <w:tc>
          <w:tcPr>
            <w:tcW w:w="1644" w:type="dxa"/>
            <w:tcBorders>
              <w:right w:val="single" w:color="auto" w:sz="4" w:space="0"/>
            </w:tcBorders>
            <w:shd w:val="clear" w:color="auto" w:fill="auto"/>
            <w:vAlign w:val="center"/>
          </w:tcPr>
          <w:p w14:paraId="21353AF3">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672*530*100</w:t>
            </w:r>
          </w:p>
        </w:tc>
        <w:tc>
          <w:tcPr>
            <w:tcW w:w="990" w:type="dxa"/>
            <w:tcBorders>
              <w:left w:val="single" w:color="auto" w:sz="4" w:space="0"/>
            </w:tcBorders>
            <w:shd w:val="clear" w:color="auto" w:fill="auto"/>
            <w:vAlign w:val="center"/>
          </w:tcPr>
          <w:p w14:paraId="5504C81D">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102</w:t>
            </w:r>
          </w:p>
        </w:tc>
        <w:tc>
          <w:tcPr>
            <w:tcW w:w="1206" w:type="dxa"/>
            <w:tcBorders>
              <w:left w:val="single" w:color="auto" w:sz="4" w:space="0"/>
            </w:tcBorders>
            <w:shd w:val="clear" w:color="auto" w:fill="auto"/>
            <w:vAlign w:val="center"/>
          </w:tcPr>
          <w:p w14:paraId="3052A1D1">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5.9</w:t>
            </w:r>
          </w:p>
        </w:tc>
        <w:tc>
          <w:tcPr>
            <w:tcW w:w="1830" w:type="dxa"/>
            <w:vMerge w:val="continue"/>
            <w:shd w:val="clear" w:color="auto" w:fill="auto"/>
            <w:vAlign w:val="center"/>
          </w:tcPr>
          <w:p w14:paraId="71DC1E3F">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407579DD">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p>
        </w:tc>
      </w:tr>
      <w:tr w14:paraId="1E0C5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7F03AAC0">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8</w:t>
            </w:r>
          </w:p>
        </w:tc>
        <w:tc>
          <w:tcPr>
            <w:tcW w:w="2377" w:type="dxa"/>
            <w:shd w:val="clear" w:color="auto" w:fill="auto"/>
            <w:vAlign w:val="center"/>
          </w:tcPr>
          <w:p w14:paraId="40E4C7C0">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再生石墨箱板端头柱</w:t>
            </w:r>
          </w:p>
        </w:tc>
        <w:tc>
          <w:tcPr>
            <w:tcW w:w="1644" w:type="dxa"/>
            <w:tcBorders>
              <w:right w:val="single" w:color="auto" w:sz="4" w:space="0"/>
            </w:tcBorders>
            <w:shd w:val="clear" w:color="auto" w:fill="auto"/>
            <w:vAlign w:val="center"/>
          </w:tcPr>
          <w:p w14:paraId="4BB6A123">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250*350*2750</w:t>
            </w:r>
          </w:p>
        </w:tc>
        <w:tc>
          <w:tcPr>
            <w:tcW w:w="990" w:type="dxa"/>
            <w:tcBorders>
              <w:left w:val="single" w:color="auto" w:sz="4" w:space="0"/>
            </w:tcBorders>
            <w:shd w:val="clear" w:color="auto" w:fill="auto"/>
            <w:vAlign w:val="center"/>
          </w:tcPr>
          <w:p w14:paraId="63395F9D">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18</w:t>
            </w:r>
          </w:p>
        </w:tc>
        <w:tc>
          <w:tcPr>
            <w:tcW w:w="1206" w:type="dxa"/>
            <w:tcBorders>
              <w:left w:val="single" w:color="auto" w:sz="4" w:space="0"/>
            </w:tcBorders>
            <w:shd w:val="clear" w:color="auto" w:fill="auto"/>
            <w:vAlign w:val="center"/>
          </w:tcPr>
          <w:p w14:paraId="279CF86F">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7</w:t>
            </w:r>
          </w:p>
        </w:tc>
        <w:tc>
          <w:tcPr>
            <w:tcW w:w="1830" w:type="dxa"/>
            <w:vMerge w:val="continue"/>
            <w:shd w:val="clear" w:color="auto" w:fill="auto"/>
            <w:vAlign w:val="center"/>
          </w:tcPr>
          <w:p w14:paraId="278F00BF">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2CBF2BD2">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p>
        </w:tc>
      </w:tr>
      <w:tr w14:paraId="770C8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5CF23493">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9</w:t>
            </w:r>
          </w:p>
        </w:tc>
        <w:tc>
          <w:tcPr>
            <w:tcW w:w="2377" w:type="dxa"/>
            <w:shd w:val="clear" w:color="auto" w:fill="auto"/>
            <w:vAlign w:val="center"/>
          </w:tcPr>
          <w:p w14:paraId="4BD2B1D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2"/>
                <w:szCs w:val="22"/>
                <w:u w:val="none"/>
                <w:lang w:val="en-US" w:eastAsia="zh-CN" w:bidi="ar"/>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再生石墨箱板盖板</w:t>
            </w:r>
          </w:p>
        </w:tc>
        <w:tc>
          <w:tcPr>
            <w:tcW w:w="1644" w:type="dxa"/>
            <w:tcBorders>
              <w:right w:val="single" w:color="auto" w:sz="4" w:space="0"/>
            </w:tcBorders>
            <w:shd w:val="clear" w:color="auto" w:fill="auto"/>
            <w:vAlign w:val="center"/>
          </w:tcPr>
          <w:p w14:paraId="7AE039D6">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1200*550*70</w:t>
            </w:r>
          </w:p>
        </w:tc>
        <w:tc>
          <w:tcPr>
            <w:tcW w:w="990" w:type="dxa"/>
            <w:tcBorders>
              <w:left w:val="single" w:color="auto" w:sz="4" w:space="0"/>
            </w:tcBorders>
            <w:shd w:val="clear" w:color="auto" w:fill="auto"/>
            <w:vAlign w:val="center"/>
          </w:tcPr>
          <w:p w14:paraId="7DC74A50">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300</w:t>
            </w:r>
          </w:p>
        </w:tc>
        <w:tc>
          <w:tcPr>
            <w:tcW w:w="1206" w:type="dxa"/>
            <w:tcBorders>
              <w:left w:val="single" w:color="auto" w:sz="4" w:space="0"/>
            </w:tcBorders>
            <w:shd w:val="clear" w:color="auto" w:fill="auto"/>
            <w:vAlign w:val="center"/>
          </w:tcPr>
          <w:p w14:paraId="3A440AE4">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22.5</w:t>
            </w:r>
          </w:p>
        </w:tc>
        <w:tc>
          <w:tcPr>
            <w:tcW w:w="1830" w:type="dxa"/>
            <w:vMerge w:val="continue"/>
            <w:shd w:val="clear" w:color="auto" w:fill="auto"/>
            <w:vAlign w:val="center"/>
          </w:tcPr>
          <w:p w14:paraId="131EC522">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3F2091AA">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5D6A2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02D1326C">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10</w:t>
            </w:r>
          </w:p>
        </w:tc>
        <w:tc>
          <w:tcPr>
            <w:tcW w:w="2377" w:type="dxa"/>
            <w:shd w:val="clear" w:color="auto" w:fill="auto"/>
            <w:vAlign w:val="center"/>
          </w:tcPr>
          <w:p w14:paraId="4B2C292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2"/>
                <w:szCs w:val="22"/>
                <w:u w:val="none"/>
                <w:lang w:val="en-US" w:eastAsia="zh-CN" w:bidi="ar"/>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再生石墨箱板角柱</w:t>
            </w:r>
          </w:p>
        </w:tc>
        <w:tc>
          <w:tcPr>
            <w:tcW w:w="1644" w:type="dxa"/>
            <w:tcBorders>
              <w:right w:val="single" w:color="auto" w:sz="4" w:space="0"/>
            </w:tcBorders>
            <w:shd w:val="clear" w:color="auto" w:fill="auto"/>
            <w:vAlign w:val="center"/>
          </w:tcPr>
          <w:p w14:paraId="24ADDE80">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250*250*2750</w:t>
            </w:r>
          </w:p>
        </w:tc>
        <w:tc>
          <w:tcPr>
            <w:tcW w:w="990" w:type="dxa"/>
            <w:tcBorders>
              <w:left w:val="single" w:color="auto" w:sz="4" w:space="0"/>
            </w:tcBorders>
            <w:shd w:val="clear" w:color="auto" w:fill="auto"/>
            <w:vAlign w:val="center"/>
          </w:tcPr>
          <w:p w14:paraId="60A53A6A">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10</w:t>
            </w:r>
          </w:p>
        </w:tc>
        <w:tc>
          <w:tcPr>
            <w:tcW w:w="1206" w:type="dxa"/>
            <w:tcBorders>
              <w:left w:val="single" w:color="auto" w:sz="4" w:space="0"/>
            </w:tcBorders>
            <w:shd w:val="clear" w:color="auto" w:fill="auto"/>
            <w:vAlign w:val="center"/>
          </w:tcPr>
          <w:p w14:paraId="71382E5B">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2.8</w:t>
            </w:r>
          </w:p>
        </w:tc>
        <w:tc>
          <w:tcPr>
            <w:tcW w:w="1830" w:type="dxa"/>
            <w:vMerge w:val="continue"/>
            <w:shd w:val="clear" w:color="auto" w:fill="auto"/>
            <w:vAlign w:val="center"/>
          </w:tcPr>
          <w:p w14:paraId="124D7798">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45C42E17">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676C3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09C2E72C">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11</w:t>
            </w:r>
          </w:p>
        </w:tc>
        <w:tc>
          <w:tcPr>
            <w:tcW w:w="2377" w:type="dxa"/>
            <w:shd w:val="clear" w:color="auto" w:fill="auto"/>
            <w:vAlign w:val="center"/>
          </w:tcPr>
          <w:p w14:paraId="6B8FAD9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2"/>
                <w:szCs w:val="22"/>
                <w:u w:val="none"/>
                <w:lang w:val="en-US" w:eastAsia="zh-CN" w:bidi="ar"/>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再生石墨箱板立柱</w:t>
            </w:r>
          </w:p>
        </w:tc>
        <w:tc>
          <w:tcPr>
            <w:tcW w:w="1644" w:type="dxa"/>
            <w:tcBorders>
              <w:right w:val="single" w:color="auto" w:sz="4" w:space="0"/>
            </w:tcBorders>
            <w:shd w:val="clear" w:color="auto" w:fill="auto"/>
            <w:vAlign w:val="center"/>
          </w:tcPr>
          <w:p w14:paraId="7DF81CE6">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250*250*2900</w:t>
            </w:r>
          </w:p>
        </w:tc>
        <w:tc>
          <w:tcPr>
            <w:tcW w:w="990" w:type="dxa"/>
            <w:tcBorders>
              <w:left w:val="single" w:color="auto" w:sz="4" w:space="0"/>
            </w:tcBorders>
            <w:shd w:val="clear" w:color="auto" w:fill="auto"/>
            <w:vAlign w:val="center"/>
          </w:tcPr>
          <w:p w14:paraId="39588E93">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108</w:t>
            </w:r>
          </w:p>
        </w:tc>
        <w:tc>
          <w:tcPr>
            <w:tcW w:w="1206" w:type="dxa"/>
            <w:tcBorders>
              <w:left w:val="single" w:color="auto" w:sz="4" w:space="0"/>
            </w:tcBorders>
            <w:shd w:val="clear" w:color="auto" w:fill="auto"/>
            <w:vAlign w:val="center"/>
          </w:tcPr>
          <w:p w14:paraId="4DF8DADC">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31.7</w:t>
            </w:r>
          </w:p>
        </w:tc>
        <w:tc>
          <w:tcPr>
            <w:tcW w:w="1830" w:type="dxa"/>
            <w:vMerge w:val="continue"/>
            <w:shd w:val="clear" w:color="auto" w:fill="auto"/>
            <w:vAlign w:val="center"/>
          </w:tcPr>
          <w:p w14:paraId="6C97C869">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0E0C1795">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7FDD9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5413D0EE">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12</w:t>
            </w:r>
          </w:p>
        </w:tc>
        <w:tc>
          <w:tcPr>
            <w:tcW w:w="2377" w:type="dxa"/>
            <w:shd w:val="clear" w:color="auto" w:fill="auto"/>
            <w:vAlign w:val="center"/>
          </w:tcPr>
          <w:p w14:paraId="20039315">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再生石墨箱板箱板</w:t>
            </w:r>
          </w:p>
        </w:tc>
        <w:tc>
          <w:tcPr>
            <w:tcW w:w="1644" w:type="dxa"/>
            <w:tcBorders>
              <w:right w:val="single" w:color="auto" w:sz="4" w:space="0"/>
            </w:tcBorders>
            <w:shd w:val="clear" w:color="auto" w:fill="auto"/>
            <w:vAlign w:val="center"/>
          </w:tcPr>
          <w:p w14:paraId="5B65D302">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794*560*80</w:t>
            </w:r>
          </w:p>
        </w:tc>
        <w:tc>
          <w:tcPr>
            <w:tcW w:w="990" w:type="dxa"/>
            <w:tcBorders>
              <w:left w:val="single" w:color="auto" w:sz="4" w:space="0"/>
            </w:tcBorders>
            <w:shd w:val="clear" w:color="auto" w:fill="auto"/>
            <w:vAlign w:val="center"/>
          </w:tcPr>
          <w:p w14:paraId="65790D86">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540</w:t>
            </w:r>
          </w:p>
        </w:tc>
        <w:tc>
          <w:tcPr>
            <w:tcW w:w="1206" w:type="dxa"/>
            <w:tcBorders>
              <w:left w:val="single" w:color="auto" w:sz="4" w:space="0"/>
            </w:tcBorders>
            <w:shd w:val="clear" w:color="auto" w:fill="auto"/>
            <w:vAlign w:val="center"/>
          </w:tcPr>
          <w:p w14:paraId="61BCD268">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31.1</w:t>
            </w:r>
          </w:p>
        </w:tc>
        <w:tc>
          <w:tcPr>
            <w:tcW w:w="1830" w:type="dxa"/>
            <w:vMerge w:val="continue"/>
            <w:shd w:val="clear" w:color="auto" w:fill="auto"/>
            <w:vAlign w:val="center"/>
          </w:tcPr>
          <w:p w14:paraId="7CA0C687">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693BFB09">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08CDB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4A9E2E50">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13</w:t>
            </w:r>
          </w:p>
        </w:tc>
        <w:tc>
          <w:tcPr>
            <w:tcW w:w="2377" w:type="dxa"/>
            <w:shd w:val="clear" w:color="auto" w:fill="auto"/>
            <w:vAlign w:val="center"/>
          </w:tcPr>
          <w:p w14:paraId="7D96A0BC">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再生石墨箱板箱板</w:t>
            </w:r>
          </w:p>
        </w:tc>
        <w:tc>
          <w:tcPr>
            <w:tcW w:w="1644" w:type="dxa"/>
            <w:tcBorders>
              <w:right w:val="single" w:color="auto" w:sz="4" w:space="0"/>
            </w:tcBorders>
            <w:shd w:val="clear" w:color="auto" w:fill="auto"/>
            <w:vAlign w:val="center"/>
          </w:tcPr>
          <w:p w14:paraId="0E9B710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sz w:val="22"/>
                <w:szCs w:val="22"/>
                <w:u w:val="none"/>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794*560*80</w:t>
            </w:r>
          </w:p>
        </w:tc>
        <w:tc>
          <w:tcPr>
            <w:tcW w:w="990" w:type="dxa"/>
            <w:tcBorders>
              <w:left w:val="single" w:color="auto" w:sz="4" w:space="0"/>
            </w:tcBorders>
            <w:shd w:val="clear" w:color="auto" w:fill="auto"/>
            <w:vAlign w:val="center"/>
          </w:tcPr>
          <w:p w14:paraId="6723B9C8">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600</w:t>
            </w:r>
          </w:p>
        </w:tc>
        <w:tc>
          <w:tcPr>
            <w:tcW w:w="1206" w:type="dxa"/>
            <w:tcBorders>
              <w:left w:val="single" w:color="auto" w:sz="4" w:space="0"/>
            </w:tcBorders>
            <w:shd w:val="clear" w:color="auto" w:fill="auto"/>
            <w:vAlign w:val="center"/>
          </w:tcPr>
          <w:p w14:paraId="56D6D20D">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34.6</w:t>
            </w:r>
          </w:p>
        </w:tc>
        <w:tc>
          <w:tcPr>
            <w:tcW w:w="1830" w:type="dxa"/>
            <w:vMerge w:val="continue"/>
            <w:shd w:val="clear" w:color="auto" w:fill="auto"/>
            <w:vAlign w:val="center"/>
          </w:tcPr>
          <w:p w14:paraId="14A5685D">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311D1B4D">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349F3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5E23B2F8">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14</w:t>
            </w:r>
          </w:p>
        </w:tc>
        <w:tc>
          <w:tcPr>
            <w:tcW w:w="2377" w:type="dxa"/>
            <w:shd w:val="clear" w:color="auto" w:fill="auto"/>
            <w:vAlign w:val="center"/>
          </w:tcPr>
          <w:p w14:paraId="64E934D3">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再生石墨箱板端头柱</w:t>
            </w:r>
          </w:p>
        </w:tc>
        <w:tc>
          <w:tcPr>
            <w:tcW w:w="1644" w:type="dxa"/>
            <w:tcBorders>
              <w:right w:val="single" w:color="auto" w:sz="4" w:space="0"/>
            </w:tcBorders>
            <w:shd w:val="clear" w:color="auto" w:fill="auto"/>
            <w:vAlign w:val="center"/>
          </w:tcPr>
          <w:p w14:paraId="239E2D7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sz w:val="22"/>
                <w:szCs w:val="22"/>
                <w:u w:val="none"/>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250*350*2750</w:t>
            </w:r>
          </w:p>
        </w:tc>
        <w:tc>
          <w:tcPr>
            <w:tcW w:w="990" w:type="dxa"/>
            <w:tcBorders>
              <w:left w:val="single" w:color="auto" w:sz="4" w:space="0"/>
            </w:tcBorders>
            <w:shd w:val="clear" w:color="auto" w:fill="auto"/>
            <w:vAlign w:val="center"/>
          </w:tcPr>
          <w:p w14:paraId="79F2F5AA">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18</w:t>
            </w:r>
          </w:p>
        </w:tc>
        <w:tc>
          <w:tcPr>
            <w:tcW w:w="1206" w:type="dxa"/>
            <w:tcBorders>
              <w:left w:val="single" w:color="auto" w:sz="4" w:space="0"/>
            </w:tcBorders>
            <w:shd w:val="clear" w:color="auto" w:fill="auto"/>
            <w:vAlign w:val="center"/>
          </w:tcPr>
          <w:p w14:paraId="3490CA83">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7</w:t>
            </w:r>
          </w:p>
        </w:tc>
        <w:tc>
          <w:tcPr>
            <w:tcW w:w="1830" w:type="dxa"/>
            <w:vMerge w:val="continue"/>
            <w:shd w:val="clear" w:color="auto" w:fill="auto"/>
            <w:vAlign w:val="center"/>
          </w:tcPr>
          <w:p w14:paraId="3C7E4F5F">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617E319E">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18F34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249B4138">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15</w:t>
            </w:r>
          </w:p>
        </w:tc>
        <w:tc>
          <w:tcPr>
            <w:tcW w:w="2377" w:type="dxa"/>
            <w:shd w:val="clear" w:color="auto" w:fill="auto"/>
            <w:vAlign w:val="center"/>
          </w:tcPr>
          <w:p w14:paraId="5BEA64FA">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再生石墨箱板角柱</w:t>
            </w:r>
          </w:p>
        </w:tc>
        <w:tc>
          <w:tcPr>
            <w:tcW w:w="1644" w:type="dxa"/>
            <w:tcBorders>
              <w:right w:val="single" w:color="auto" w:sz="4" w:space="0"/>
            </w:tcBorders>
            <w:shd w:val="clear" w:color="auto" w:fill="auto"/>
            <w:vAlign w:val="center"/>
          </w:tcPr>
          <w:p w14:paraId="797DAFD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sz w:val="22"/>
                <w:szCs w:val="22"/>
                <w:u w:val="none"/>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250*250*2750</w:t>
            </w:r>
          </w:p>
        </w:tc>
        <w:tc>
          <w:tcPr>
            <w:tcW w:w="990" w:type="dxa"/>
            <w:tcBorders>
              <w:left w:val="single" w:color="auto" w:sz="4" w:space="0"/>
            </w:tcBorders>
            <w:shd w:val="clear" w:color="auto" w:fill="auto"/>
            <w:vAlign w:val="center"/>
          </w:tcPr>
          <w:p w14:paraId="1DA03BED">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10</w:t>
            </w:r>
          </w:p>
        </w:tc>
        <w:tc>
          <w:tcPr>
            <w:tcW w:w="1206" w:type="dxa"/>
            <w:tcBorders>
              <w:left w:val="single" w:color="auto" w:sz="4" w:space="0"/>
            </w:tcBorders>
            <w:shd w:val="clear" w:color="auto" w:fill="auto"/>
            <w:vAlign w:val="center"/>
          </w:tcPr>
          <w:p w14:paraId="5E27C415">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2.8</w:t>
            </w:r>
          </w:p>
        </w:tc>
        <w:tc>
          <w:tcPr>
            <w:tcW w:w="1830" w:type="dxa"/>
            <w:vMerge w:val="continue"/>
            <w:shd w:val="clear" w:color="auto" w:fill="auto"/>
            <w:vAlign w:val="center"/>
          </w:tcPr>
          <w:p w14:paraId="35915556">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16CF5075">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48A73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3EBBB1E2">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16</w:t>
            </w:r>
          </w:p>
        </w:tc>
        <w:tc>
          <w:tcPr>
            <w:tcW w:w="2377" w:type="dxa"/>
            <w:shd w:val="clear" w:color="auto" w:fill="auto"/>
            <w:vAlign w:val="center"/>
          </w:tcPr>
          <w:p w14:paraId="6AFD0D27">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再生石墨箱板立柱</w:t>
            </w:r>
          </w:p>
        </w:tc>
        <w:tc>
          <w:tcPr>
            <w:tcW w:w="1644" w:type="dxa"/>
            <w:tcBorders>
              <w:right w:val="single" w:color="auto" w:sz="4" w:space="0"/>
            </w:tcBorders>
            <w:shd w:val="clear" w:color="auto" w:fill="auto"/>
            <w:vAlign w:val="center"/>
          </w:tcPr>
          <w:p w14:paraId="51991CF7">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250*250*2900</w:t>
            </w:r>
          </w:p>
        </w:tc>
        <w:tc>
          <w:tcPr>
            <w:tcW w:w="990" w:type="dxa"/>
            <w:tcBorders>
              <w:left w:val="single" w:color="auto" w:sz="4" w:space="0"/>
            </w:tcBorders>
            <w:shd w:val="clear" w:color="auto" w:fill="auto"/>
            <w:vAlign w:val="center"/>
          </w:tcPr>
          <w:p w14:paraId="4C2F4C84">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108</w:t>
            </w:r>
          </w:p>
        </w:tc>
        <w:tc>
          <w:tcPr>
            <w:tcW w:w="1206" w:type="dxa"/>
            <w:tcBorders>
              <w:left w:val="single" w:color="auto" w:sz="4" w:space="0"/>
            </w:tcBorders>
            <w:shd w:val="clear" w:color="auto" w:fill="auto"/>
            <w:vAlign w:val="center"/>
          </w:tcPr>
          <w:p w14:paraId="0A53A664">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31.7</w:t>
            </w:r>
          </w:p>
        </w:tc>
        <w:tc>
          <w:tcPr>
            <w:tcW w:w="1830" w:type="dxa"/>
            <w:vMerge w:val="continue"/>
            <w:shd w:val="clear" w:color="auto" w:fill="auto"/>
            <w:vAlign w:val="center"/>
          </w:tcPr>
          <w:p w14:paraId="0060DA4E">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54D4E4D5">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44ECD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504" w:type="dxa"/>
            <w:gridSpan w:val="7"/>
            <w:shd w:val="clear" w:color="auto" w:fill="auto"/>
            <w:vAlign w:val="center"/>
          </w:tcPr>
          <w:p w14:paraId="26CB9F88">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left"/>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1、外观完好无损伤，体密≥1.62，电阻率≤30，抗压强度≥20Mpa，灰分≤1，加工公差＜1mm。</w:t>
            </w:r>
          </w:p>
          <w:p w14:paraId="117438CE">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left"/>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2、随货资料：产品检测报告</w:t>
            </w:r>
          </w:p>
          <w:p w14:paraId="105DC19A">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left"/>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3、发货需甲方确认后方可执行</w:t>
            </w:r>
          </w:p>
          <w:p w14:paraId="029E6007">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left"/>
              <w:textAlignment w:val="baseline"/>
              <w:rPr>
                <w:rFonts w:hint="default"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2"/>
                <w:szCs w:val="22"/>
                <w:lang w:val="en-US" w:eastAsia="zh-CN" w:bidi="ar-SA"/>
              </w:rPr>
              <w:t>4、结算重量以我方过磅净重为准（不含包材）</w:t>
            </w:r>
          </w:p>
        </w:tc>
      </w:tr>
    </w:tbl>
    <w:p w14:paraId="54E1654C">
      <w:pPr>
        <w:keepNext w:val="0"/>
        <w:keepLines w:val="0"/>
        <w:pageBreakBefore w:val="0"/>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(具体相关信息如技术参数、规格、质量标准、包装、运输费等要求请与我单位相关人员联系，联系人：</w:t>
      </w:r>
      <w:r>
        <w:rPr>
          <w:rFonts w:hint="eastAsia" w:ascii="宋体" w:hAnsi="宋体" w:eastAsia="宋体" w:cs="宋体"/>
          <w:sz w:val="24"/>
          <w:szCs w:val="24"/>
          <w:u w:val="single"/>
          <w:lang w:val="en-US" w:eastAsia="zh-CN"/>
        </w:rPr>
        <w:t>徐小姐</w:t>
      </w: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13779993180</w:t>
      </w:r>
      <w:r>
        <w:rPr>
          <w:rFonts w:hint="eastAsia" w:ascii="宋体" w:hAnsi="宋体" w:eastAsia="宋体" w:cs="宋体"/>
          <w:sz w:val="24"/>
          <w:szCs w:val="24"/>
        </w:rPr>
        <w:t>)</w:t>
      </w:r>
    </w:p>
    <w:p w14:paraId="778417BF">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sz w:val="24"/>
          <w:szCs w:val="24"/>
        </w:rPr>
        <w:t>交货地</w:t>
      </w:r>
      <w:r>
        <w:rPr>
          <w:rFonts w:hint="eastAsia" w:ascii="宋体" w:hAnsi="宋体" w:eastAsia="宋体" w:cs="宋体"/>
          <w:color w:val="auto"/>
          <w:sz w:val="24"/>
          <w:szCs w:val="24"/>
        </w:rPr>
        <w:t>点：中国机械总院集团海西（福建）分院有限公司指定地点。</w:t>
      </w:r>
    </w:p>
    <w:p w14:paraId="184E7178">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bookmarkStart w:id="19" w:name="_Toc5828"/>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日</w:t>
      </w:r>
      <w:bookmarkEnd w:id="19"/>
    </w:p>
    <w:p w14:paraId="298CC50F">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投标文件的递交：拟参加本次投标的单位请于投标截止时间之前，将密封并加盖公章的文件袋，用特快专递方式邮寄到我单位（投标文件正本一份，副本四份），原则上不接受当面递送。</w:t>
      </w:r>
    </w:p>
    <w:p w14:paraId="2EE83352">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日</w:t>
      </w:r>
    </w:p>
    <w:p w14:paraId="5A17A8CE">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20" w:name="_Toc30159"/>
      <w:bookmarkStart w:id="21" w:name="_Toc7018"/>
      <w:bookmarkStart w:id="22" w:name="_Toc24591"/>
      <w:bookmarkStart w:id="23" w:name="_Toc9339"/>
      <w:bookmarkStart w:id="24" w:name="_Toc654"/>
      <w:bookmarkStart w:id="25" w:name="_Toc27635"/>
      <w:r>
        <w:rPr>
          <w:rFonts w:hint="eastAsia" w:ascii="宋体" w:hAnsi="宋体" w:eastAsia="宋体" w:cs="宋体"/>
          <w:sz w:val="24"/>
          <w:szCs w:val="24"/>
        </w:rPr>
        <w:t>相关要求：</w:t>
      </w:r>
      <w:bookmarkEnd w:id="20"/>
      <w:bookmarkEnd w:id="21"/>
      <w:bookmarkEnd w:id="22"/>
      <w:bookmarkEnd w:id="23"/>
      <w:bookmarkEnd w:id="24"/>
      <w:bookmarkEnd w:id="25"/>
    </w:p>
    <w:p w14:paraId="536F1E45">
      <w:pPr>
        <w:keepNext w:val="0"/>
        <w:keepLines w:val="0"/>
        <w:pageBreakBefore w:val="0"/>
        <w:widowControl w:val="0"/>
        <w:kinsoku/>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rPr>
        <w:fldChar w:fldCharType="begin"/>
      </w:r>
      <w:r>
        <w:rPr>
          <w:rFonts w:hint="eastAsia" w:ascii="宋体" w:hAnsi="宋体" w:eastAsia="宋体" w:cs="宋体"/>
        </w:rPr>
        <w:instrText xml:space="preserve"> HYPERLINK "http://www.haosou.com/s?q=%E6%8A%A5%E4%BB%B7%E5%8D%95&amp;ie=utf-8&amp;src=wenda_link" </w:instrText>
      </w:r>
      <w:r>
        <w:rPr>
          <w:rFonts w:hint="eastAsia" w:ascii="宋体" w:hAnsi="宋体" w:eastAsia="宋体" w:cs="宋体"/>
        </w:rPr>
        <w:fldChar w:fldCharType="separate"/>
      </w:r>
      <w:r>
        <w:rPr>
          <w:rFonts w:hint="eastAsia" w:ascii="宋体" w:hAnsi="宋体" w:eastAsia="宋体" w:cs="宋体"/>
          <w:sz w:val="24"/>
          <w:szCs w:val="24"/>
        </w:rPr>
        <w:t>投标报价单需按照我公司提供的样表填写，</w:t>
      </w:r>
      <w:r>
        <w:rPr>
          <w:rFonts w:hint="eastAsia" w:ascii="宋体" w:hAnsi="宋体" w:eastAsia="宋体" w:cs="宋体"/>
          <w:sz w:val="24"/>
          <w:szCs w:val="24"/>
        </w:rPr>
        <w:fldChar w:fldCharType="end"/>
      </w:r>
      <w:r>
        <w:rPr>
          <w:rFonts w:hint="eastAsia" w:ascii="宋体" w:hAnsi="宋体" w:eastAsia="宋体" w:cs="宋体"/>
          <w:sz w:val="24"/>
          <w:szCs w:val="24"/>
        </w:rPr>
        <w:t>特殊情况可稍作调整，内容必须填写完整、真实和准确。除投标报价表外，不得对文件格式和内容进行修改，如发现投标文件未按我公司提供的招标文件格式填写，将视为废标。</w:t>
      </w:r>
    </w:p>
    <w:p w14:paraId="1C3AC6A2">
      <w:pPr>
        <w:keepNext w:val="0"/>
        <w:keepLines w:val="0"/>
        <w:pageBreakBefore w:val="0"/>
        <w:widowControl w:val="0"/>
        <w:kinsoku/>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密封文件袋上必须标注项目名称和投标单位名称,并注明“正式开标前，不得开启”字样。投标人投标时应提供加盖单位公章的项目技术方案、供货业绩及营业执照副本、资质证书、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sz w:val="24"/>
          <w:szCs w:val="24"/>
        </w:rPr>
        <w:t>安全生产许可证等</w:t>
      </w:r>
      <w:r>
        <w:rPr>
          <w:rFonts w:hint="eastAsia" w:ascii="宋体" w:hAnsi="宋体" w:eastAsia="宋体" w:cs="宋体"/>
          <w:sz w:val="24"/>
          <w:szCs w:val="24"/>
        </w:rPr>
        <w:fldChar w:fldCharType="end"/>
      </w:r>
      <w:r>
        <w:rPr>
          <w:rFonts w:hint="eastAsia" w:ascii="宋体" w:hAnsi="宋体" w:eastAsia="宋体" w:cs="宋体"/>
          <w:sz w:val="24"/>
          <w:szCs w:val="24"/>
        </w:rPr>
        <w:t>证书复印件。</w:t>
      </w:r>
    </w:p>
    <w:p w14:paraId="619D7059">
      <w:pPr>
        <w:keepNext w:val="0"/>
        <w:keepLines w:val="0"/>
        <w:pageBreakBefore w:val="0"/>
        <w:widowControl w:val="0"/>
        <w:kinsoku/>
        <w:wordWrap/>
        <w:overflowPunct/>
        <w:bidi w:val="0"/>
        <w:spacing w:line="300" w:lineRule="auto"/>
        <w:ind w:right="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（3）本次招标报价税率为13%。</w:t>
      </w:r>
    </w:p>
    <w:p w14:paraId="0C0EF5CF">
      <w:pPr>
        <w:pStyle w:val="2"/>
        <w:keepNext w:val="0"/>
        <w:keepLines w:val="0"/>
        <w:pageBreakBefore w:val="0"/>
        <w:wordWrap/>
        <w:overflowPunct/>
        <w:bidi w:val="0"/>
        <w:spacing w:after="0" w:line="300" w:lineRule="auto"/>
        <w:ind w:left="0" w:leftChars="0" w:right="0" w:firstLine="0" w:firstLineChars="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（4）营业执照</w:t>
      </w:r>
    </w:p>
    <w:p w14:paraId="7B0CFA4B">
      <w:pPr>
        <w:pStyle w:val="2"/>
        <w:keepNext w:val="0"/>
        <w:keepLines w:val="0"/>
        <w:pageBreakBefore w:val="0"/>
        <w:wordWrap/>
        <w:overflowPunct/>
        <w:bidi w:val="0"/>
        <w:spacing w:after="0" w:line="300" w:lineRule="auto"/>
        <w:ind w:left="0" w:leftChars="0" w:right="0" w:firstLine="0" w:firstLineChars="0"/>
        <w:rPr>
          <w:rFonts w:hint="eastAsia" w:ascii="宋体" w:hAnsi="宋体" w:eastAsia="宋体" w:cs="宋体"/>
          <w:color w:val="auto"/>
          <w:sz w:val="24"/>
          <w:szCs w:val="24"/>
          <w:lang w:eastAsia="zh-CN"/>
        </w:rPr>
      </w:pP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14:paraId="1045032A">
      <w:pPr>
        <w:pStyle w:val="2"/>
        <w:keepNext w:val="0"/>
        <w:keepLines w:val="0"/>
        <w:pageBreakBefore w:val="0"/>
        <w:wordWrap/>
        <w:overflowPunct/>
        <w:bidi w:val="0"/>
        <w:spacing w:after="0" w:line="300" w:lineRule="auto"/>
        <w:ind w:left="0" w:leftChars="0" w:right="0"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投标人近三年来承接过合同金额</w:t>
      </w:r>
      <w:r>
        <w:rPr>
          <w:rFonts w:hint="eastAsia" w:ascii="宋体" w:hAnsi="宋体" w:eastAsia="宋体" w:cs="宋体"/>
          <w:color w:val="auto"/>
          <w:sz w:val="24"/>
          <w:szCs w:val="24"/>
          <w:lang w:val="en-US" w:eastAsia="zh-CN"/>
        </w:rPr>
        <w:t>200</w:t>
      </w:r>
      <w:r>
        <w:rPr>
          <w:rFonts w:hint="eastAsia" w:ascii="宋体" w:hAnsi="宋体" w:eastAsia="宋体" w:cs="宋体"/>
          <w:color w:val="auto"/>
          <w:sz w:val="24"/>
          <w:szCs w:val="24"/>
        </w:rPr>
        <w:t>万元及以上类似业绩且验收合格</w:t>
      </w:r>
      <w:r>
        <w:rPr>
          <w:rFonts w:hint="eastAsia" w:ascii="宋体" w:hAnsi="宋体" w:eastAsia="宋体" w:cs="宋体"/>
          <w:color w:val="auto"/>
          <w:sz w:val="24"/>
          <w:szCs w:val="24"/>
          <w:lang w:val="en-US" w:eastAsia="zh-CN"/>
        </w:rPr>
        <w:t>类似业绩（</w:t>
      </w:r>
      <w:r>
        <w:rPr>
          <w:rFonts w:hint="eastAsia" w:ascii="宋体" w:hAnsi="宋体" w:eastAsia="宋体" w:cs="宋体"/>
          <w:color w:val="auto"/>
          <w:sz w:val="24"/>
          <w:szCs w:val="24"/>
        </w:rPr>
        <w:t>投标人应当提供合同、验收证明复印件（须加盖验收方公章）等证明材料</w:t>
      </w:r>
      <w:r>
        <w:rPr>
          <w:rFonts w:hint="eastAsia" w:ascii="宋体" w:hAnsi="宋体" w:eastAsia="宋体" w:cs="宋体"/>
          <w:color w:val="auto"/>
          <w:sz w:val="24"/>
          <w:szCs w:val="24"/>
          <w:lang w:eastAsia="zh-CN"/>
        </w:rPr>
        <w:t>）</w:t>
      </w:r>
    </w:p>
    <w:p w14:paraId="5E0413B2">
      <w:pPr>
        <w:keepNext w:val="0"/>
        <w:keepLines w:val="0"/>
        <w:pageBreakBefore w:val="0"/>
        <w:widowControl/>
        <w:kinsoku/>
        <w:wordWrap/>
        <w:overflowPunct/>
        <w:topLinePunct w:val="0"/>
        <w:autoSpaceDE/>
        <w:autoSpaceDN/>
        <w:bidi w:val="0"/>
        <w:adjustRightInd/>
        <w:snapToGrid/>
        <w:spacing w:line="300" w:lineRule="auto"/>
        <w:ind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7）货到、票到检验合格后30天付款，付银承。</w:t>
      </w:r>
    </w:p>
    <w:p w14:paraId="28091B32">
      <w:pPr>
        <w:keepNext w:val="0"/>
        <w:keepLines w:val="0"/>
        <w:pageBreakBefore w:val="0"/>
        <w:widowControl w:val="0"/>
        <w:kinsoku/>
        <w:wordWrap/>
        <w:overflowPunct/>
        <w:bidi w:val="0"/>
        <w:spacing w:line="300" w:lineRule="auto"/>
        <w:ind w:right="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投标人须对所售出的产品实行三包:即产品在正常使用情况下发生质量问题时，投标人应按使用方的要求，负责对产品实行包修、包换、包退。</w:t>
      </w:r>
    </w:p>
    <w:p w14:paraId="6449A810">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凡对本次招标的有关事项需要咨询或有异议时，请</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04</w:t>
      </w:r>
      <w:r>
        <w:rPr>
          <w:rFonts w:hint="eastAsia" w:ascii="宋体" w:hAnsi="宋体" w:eastAsia="宋体" w:cs="宋体"/>
          <w:color w:val="auto"/>
          <w:sz w:val="24"/>
          <w:szCs w:val="24"/>
        </w:rPr>
        <w:t>日前</w:t>
      </w:r>
      <w:r>
        <w:rPr>
          <w:rFonts w:hint="eastAsia" w:ascii="宋体" w:hAnsi="宋体" w:eastAsia="宋体" w:cs="宋体"/>
          <w:sz w:val="24"/>
          <w:szCs w:val="24"/>
        </w:rPr>
        <w:t>与相关负责人联系。关于评标结果，我们将会在评标结束之后第一时间告知。</w:t>
      </w:r>
    </w:p>
    <w:p w14:paraId="2118314F">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26" w:name="_Toc21790"/>
      <w:bookmarkStart w:id="27" w:name="_Toc4182"/>
      <w:bookmarkStart w:id="28" w:name="_Toc21113"/>
      <w:bookmarkStart w:id="29" w:name="_Toc30078"/>
      <w:bookmarkStart w:id="30" w:name="_Toc19941"/>
      <w:bookmarkStart w:id="31" w:name="_Toc20083"/>
      <w:r>
        <w:rPr>
          <w:rFonts w:hint="eastAsia" w:ascii="宋体" w:hAnsi="宋体" w:eastAsia="宋体" w:cs="宋体"/>
          <w:sz w:val="24"/>
          <w:szCs w:val="24"/>
        </w:rPr>
        <w:t>联系方式</w:t>
      </w:r>
      <w:bookmarkEnd w:id="26"/>
      <w:bookmarkEnd w:id="27"/>
      <w:bookmarkEnd w:id="28"/>
      <w:bookmarkEnd w:id="29"/>
      <w:bookmarkEnd w:id="30"/>
      <w:bookmarkEnd w:id="31"/>
    </w:p>
    <w:p w14:paraId="214B5A74">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w:t>
      </w:r>
    </w:p>
    <w:p w14:paraId="28B0F52F">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李浩东</w:t>
      </w:r>
    </w:p>
    <w:p w14:paraId="530C351C">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联系电话：0598-8050808、</w:t>
      </w:r>
      <w:r>
        <w:rPr>
          <w:rFonts w:hint="eastAsia" w:ascii="宋体" w:hAnsi="宋体" w:eastAsia="宋体" w:cs="宋体"/>
          <w:sz w:val="24"/>
          <w:szCs w:val="24"/>
          <w:lang w:val="en-US" w:eastAsia="zh-CN"/>
        </w:rPr>
        <w:t>18707194032</w:t>
      </w:r>
    </w:p>
    <w:p w14:paraId="56DA46E0">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纪检监督电话：0598-8050668</w:t>
      </w:r>
    </w:p>
    <w:p w14:paraId="48FEA493">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地址：福建省三明市沙县区金沙园开发区创新东路413号</w:t>
      </w:r>
    </w:p>
    <w:p w14:paraId="46CDEEBE">
      <w:pPr>
        <w:keepNext w:val="0"/>
        <w:keepLines w:val="0"/>
        <w:pageBreakBefore w:val="0"/>
        <w:wordWrap/>
        <w:overflowPunct/>
        <w:bidi w:val="0"/>
        <w:spacing w:line="300" w:lineRule="auto"/>
        <w:ind w:left="0" w:leftChars="0" w:right="0"/>
        <w:rPr>
          <w:rFonts w:hint="eastAsia" w:ascii="宋体" w:hAnsi="宋体" w:eastAsia="宋体" w:cs="宋体"/>
        </w:rPr>
      </w:pPr>
    </w:p>
    <w:p w14:paraId="42C87FBA">
      <w:pPr>
        <w:keepNext w:val="0"/>
        <w:keepLines w:val="0"/>
        <w:pageBreakBefore w:val="0"/>
        <w:wordWrap/>
        <w:overflowPunct/>
        <w:bidi w:val="0"/>
        <w:spacing w:line="300" w:lineRule="auto"/>
        <w:ind w:left="0" w:leftChars="0" w:right="0"/>
        <w:rPr>
          <w:rFonts w:hint="eastAsia" w:ascii="宋体" w:hAnsi="宋体" w:eastAsia="宋体" w:cs="宋体"/>
        </w:rPr>
      </w:pPr>
    </w:p>
    <w:p w14:paraId="02A85C49">
      <w:pPr>
        <w:keepNext w:val="0"/>
        <w:keepLines w:val="0"/>
        <w:pageBreakBefore w:val="0"/>
        <w:wordWrap/>
        <w:overflowPunct/>
        <w:bidi w:val="0"/>
        <w:spacing w:line="300" w:lineRule="auto"/>
        <w:ind w:left="0" w:leftChars="0" w:right="0" w:firstLine="459"/>
        <w:jc w:val="right"/>
        <w:outlineLvl w:val="0"/>
        <w:rPr>
          <w:rFonts w:hint="eastAsia" w:ascii="宋体" w:hAnsi="宋体" w:eastAsia="宋体" w:cs="宋体"/>
          <w:sz w:val="24"/>
          <w:szCs w:val="24"/>
          <w:lang w:eastAsia="zh-CN"/>
        </w:rPr>
      </w:pPr>
      <w:bookmarkStart w:id="32" w:name="_Toc322"/>
      <w:bookmarkStart w:id="33" w:name="_Toc20059"/>
      <w:bookmarkStart w:id="34" w:name="_Toc23207"/>
      <w:bookmarkStart w:id="35" w:name="_Toc19147"/>
      <w:r>
        <w:rPr>
          <w:rFonts w:hint="eastAsia" w:ascii="宋体" w:hAnsi="宋体" w:eastAsia="宋体" w:cs="宋体"/>
          <w:sz w:val="24"/>
          <w:szCs w:val="24"/>
        </w:rPr>
        <w:t>中国机械总院集团海西（福建）分院有限公司</w:t>
      </w:r>
      <w:bookmarkEnd w:id="32"/>
      <w:bookmarkEnd w:id="33"/>
      <w:bookmarkEnd w:id="34"/>
      <w:bookmarkEnd w:id="35"/>
    </w:p>
    <w:p w14:paraId="7CC527C7">
      <w:pPr>
        <w:keepNext w:val="0"/>
        <w:keepLines w:val="0"/>
        <w:pageBreakBefore w:val="0"/>
        <w:wordWrap/>
        <w:overflowPunct/>
        <w:bidi w:val="0"/>
        <w:spacing w:line="300" w:lineRule="auto"/>
        <w:ind w:left="0" w:leftChars="0" w:right="0" w:firstLine="459"/>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招标委员会办公室</w:t>
      </w:r>
    </w:p>
    <w:p w14:paraId="6DA97FB8">
      <w:pPr>
        <w:keepNext w:val="0"/>
        <w:keepLines w:val="0"/>
        <w:pageBreakBefore w:val="0"/>
        <w:wordWrap/>
        <w:overflowPunct/>
        <w:bidi w:val="0"/>
        <w:spacing w:line="300" w:lineRule="auto"/>
        <w:ind w:left="0" w:leftChars="0" w:right="0" w:firstLine="6720" w:firstLineChars="2800"/>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05</w:t>
      </w:r>
      <w:r>
        <w:rPr>
          <w:rFonts w:hint="eastAsia" w:ascii="宋体" w:hAnsi="宋体" w:eastAsia="宋体" w:cs="宋体"/>
          <w:sz w:val="24"/>
          <w:szCs w:val="24"/>
        </w:rPr>
        <w:t>月</w:t>
      </w:r>
      <w:r>
        <w:rPr>
          <w:rFonts w:hint="eastAsia" w:ascii="宋体" w:hAnsi="宋体" w:eastAsia="宋体" w:cs="宋体"/>
          <w:sz w:val="24"/>
          <w:szCs w:val="24"/>
          <w:lang w:val="en-US" w:eastAsia="zh-CN"/>
        </w:rPr>
        <w:t>30</w:t>
      </w:r>
      <w:r>
        <w:rPr>
          <w:rFonts w:hint="eastAsia" w:ascii="宋体" w:hAnsi="宋体" w:eastAsia="宋体" w:cs="宋体"/>
          <w:sz w:val="24"/>
          <w:szCs w:val="24"/>
        </w:rPr>
        <w:t>日</w:t>
      </w:r>
    </w:p>
    <w:p w14:paraId="460E6BBD">
      <w:pPr>
        <w:keepNext w:val="0"/>
        <w:keepLines w:val="0"/>
        <w:pageBreakBefore w:val="0"/>
        <w:kinsoku/>
        <w:wordWrap/>
        <w:overflowPunct/>
        <w:autoSpaceDE/>
        <w:autoSpaceDN/>
        <w:bidi w:val="0"/>
        <w:adjustRightInd/>
        <w:snapToGrid/>
        <w:spacing w:line="300" w:lineRule="auto"/>
        <w:ind w:left="0" w:leftChars="0" w:right="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357B900A">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36" w:name="_Toc10599"/>
      <w:bookmarkStart w:id="37" w:name="_Toc25726"/>
      <w:bookmarkStart w:id="38" w:name="_Toc18439"/>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14:paraId="6CC24DA6">
      <w:pPr>
        <w:keepNext w:val="0"/>
        <w:keepLines w:val="0"/>
        <w:pageBreakBefore w:val="0"/>
        <w:kinsoku/>
        <w:wordWrap/>
        <w:overflowPunct/>
        <w:bidi w:val="0"/>
        <w:spacing w:line="300" w:lineRule="auto"/>
        <w:ind w:left="0" w:leftChars="0" w:right="0" w:firstLine="439" w:firstLineChars="182"/>
        <w:rPr>
          <w:rFonts w:hint="eastAsia" w:ascii="宋体" w:hAnsi="宋体" w:eastAsia="宋体" w:cs="宋体"/>
          <w:b/>
          <w:bCs/>
          <w:sz w:val="24"/>
          <w:szCs w:val="24"/>
        </w:rPr>
      </w:pPr>
      <w:r>
        <w:rPr>
          <w:rFonts w:hint="eastAsia" w:ascii="宋体" w:hAnsi="宋体" w:eastAsia="宋体" w:cs="宋体"/>
          <w:b/>
          <w:bCs/>
          <w:sz w:val="24"/>
          <w:szCs w:val="24"/>
        </w:rPr>
        <w:t>一、投标要求</w:t>
      </w:r>
    </w:p>
    <w:p w14:paraId="645A886E">
      <w:pPr>
        <w:pStyle w:val="27"/>
        <w:keepNext w:val="0"/>
        <w:keepLines w:val="0"/>
        <w:pageBreakBefore w:val="0"/>
        <w:numPr>
          <w:ilvl w:val="0"/>
          <w:numId w:val="2"/>
        </w:numPr>
        <w:kinsoku/>
        <w:wordWrap/>
        <w:overflowPunct/>
        <w:bidi w:val="0"/>
        <w:spacing w:line="300" w:lineRule="auto"/>
        <w:ind w:left="0" w:leftChars="0" w:right="0" w:firstLine="436" w:firstLineChars="182"/>
        <w:rPr>
          <w:rFonts w:hint="eastAsia" w:ascii="宋体" w:hAnsi="宋体" w:eastAsia="宋体" w:cs="宋体"/>
          <w:sz w:val="24"/>
          <w:szCs w:val="24"/>
        </w:rPr>
      </w:pPr>
      <w:r>
        <w:rPr>
          <w:rFonts w:hint="eastAsia" w:ascii="宋体" w:hAnsi="宋体" w:eastAsia="宋体" w:cs="宋体"/>
          <w:sz w:val="24"/>
          <w:szCs w:val="24"/>
        </w:rPr>
        <w:t>投标人应遵守国家有关招标投标法律、法规、部门规章和规范性文件。</w:t>
      </w:r>
    </w:p>
    <w:p w14:paraId="0E6FEACE">
      <w:pPr>
        <w:pStyle w:val="27"/>
        <w:keepNext w:val="0"/>
        <w:keepLines w:val="0"/>
        <w:pageBreakBefore w:val="0"/>
        <w:numPr>
          <w:ilvl w:val="0"/>
          <w:numId w:val="2"/>
        </w:numPr>
        <w:kinsoku/>
        <w:wordWrap/>
        <w:overflowPunct/>
        <w:bidi w:val="0"/>
        <w:spacing w:line="300" w:lineRule="auto"/>
        <w:ind w:left="0" w:leftChars="0" w:right="0" w:firstLine="424" w:firstLineChars="177"/>
        <w:outlineLvl w:val="0"/>
        <w:rPr>
          <w:rFonts w:hint="eastAsia" w:ascii="宋体" w:hAnsi="宋体" w:eastAsia="宋体" w:cs="宋体"/>
          <w:sz w:val="24"/>
          <w:szCs w:val="24"/>
        </w:rPr>
      </w:pPr>
      <w:bookmarkStart w:id="39" w:name="_Toc21532"/>
      <w:bookmarkStart w:id="40" w:name="_Toc5448"/>
      <w:bookmarkStart w:id="41" w:name="_Toc15722"/>
      <w:bookmarkStart w:id="42" w:name="_Toc24156"/>
      <w:bookmarkStart w:id="43" w:name="_Toc14879"/>
      <w:bookmarkStart w:id="44" w:name="_Toc9822"/>
      <w:r>
        <w:rPr>
          <w:rFonts w:hint="eastAsia" w:ascii="宋体" w:hAnsi="宋体" w:eastAsia="宋体" w:cs="宋体"/>
          <w:sz w:val="24"/>
          <w:szCs w:val="24"/>
        </w:rPr>
        <w:t>投标资格（包括但不限于）：</w:t>
      </w:r>
      <w:bookmarkEnd w:id="39"/>
      <w:bookmarkEnd w:id="40"/>
      <w:bookmarkEnd w:id="41"/>
      <w:bookmarkEnd w:id="42"/>
      <w:bookmarkEnd w:id="43"/>
      <w:bookmarkEnd w:id="44"/>
    </w:p>
    <w:p w14:paraId="151317DE">
      <w:pPr>
        <w:keepNext w:val="0"/>
        <w:keepLines w:val="0"/>
        <w:pageBreakBefore w:val="0"/>
        <w:numPr>
          <w:ilvl w:val="0"/>
          <w:numId w:val="3"/>
        </w:numPr>
        <w:kinsoku/>
        <w:wordWrap/>
        <w:overflowPunct/>
        <w:bidi w:val="0"/>
        <w:spacing w:line="300" w:lineRule="auto"/>
        <w:ind w:left="0" w:leftChars="0" w:right="0" w:firstLine="480" w:firstLineChars="2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p>
    <w:p w14:paraId="1664B707">
      <w:pPr>
        <w:keepNext w:val="0"/>
        <w:keepLines w:val="0"/>
        <w:pageBreakBefore w:val="0"/>
        <w:numPr>
          <w:ilvl w:val="0"/>
          <w:numId w:val="3"/>
        </w:numPr>
        <w:tabs>
          <w:tab w:val="left" w:pos="620"/>
        </w:tabs>
        <w:kinsoku/>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供货业绩</w:t>
      </w:r>
    </w:p>
    <w:p w14:paraId="0F260BDD">
      <w:pPr>
        <w:keepNext w:val="0"/>
        <w:keepLines w:val="0"/>
        <w:pageBreakBefore w:val="0"/>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3.投标费用：投标人应承担投标过程中所涉及的一切费用，不管投标结果如何，招标人对上述费用不负任何责任。</w:t>
      </w:r>
    </w:p>
    <w:p w14:paraId="4649B182">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45" w:name="_Toc12309"/>
      <w:bookmarkStart w:id="46" w:name="_Toc23688"/>
      <w:bookmarkStart w:id="47" w:name="_Toc9930"/>
      <w:bookmarkStart w:id="48" w:name="_Toc15847"/>
      <w:bookmarkStart w:id="49" w:name="_Toc16770"/>
      <w:r>
        <w:rPr>
          <w:rFonts w:hint="eastAsia" w:ascii="宋体" w:hAnsi="宋体" w:eastAsia="宋体" w:cs="宋体"/>
          <w:b/>
          <w:bCs/>
          <w:sz w:val="24"/>
          <w:szCs w:val="24"/>
        </w:rPr>
        <w:t>二、投标报价</w:t>
      </w:r>
      <w:bookmarkEnd w:id="45"/>
      <w:bookmarkEnd w:id="46"/>
      <w:bookmarkEnd w:id="47"/>
      <w:bookmarkEnd w:id="48"/>
      <w:bookmarkEnd w:id="49"/>
    </w:p>
    <w:p w14:paraId="0DAFC7ED">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投标报价要求按招标文件要求报价，并按招标文件中所附《投标函》《投标报价表》格式填写。</w:t>
      </w:r>
      <w:bookmarkStart w:id="50" w:name="_Toc4816"/>
    </w:p>
    <w:p w14:paraId="131A3A28">
      <w:pPr>
        <w:pStyle w:val="27"/>
        <w:keepNext w:val="0"/>
        <w:keepLines w:val="0"/>
        <w:pageBreakBefore w:val="0"/>
        <w:numPr>
          <w:ilvl w:val="0"/>
          <w:numId w:val="4"/>
        </w:numPr>
        <w:kinsoku/>
        <w:wordWrap/>
        <w:overflowPunct/>
        <w:bidi w:val="0"/>
        <w:spacing w:line="300" w:lineRule="auto"/>
        <w:ind w:left="0" w:leftChars="0" w:right="0" w:firstLine="439" w:firstLineChars="183"/>
        <w:rPr>
          <w:rFonts w:hint="eastAsia" w:ascii="宋体" w:hAnsi="宋体" w:eastAsia="宋体" w:cs="宋体"/>
          <w:sz w:val="24"/>
          <w:szCs w:val="24"/>
        </w:rPr>
      </w:pPr>
      <w:r>
        <w:rPr>
          <w:rFonts w:hint="eastAsia" w:ascii="宋体" w:hAnsi="宋体" w:eastAsia="宋体" w:cs="宋体"/>
          <w:sz w:val="24"/>
          <w:szCs w:val="24"/>
        </w:rPr>
        <w:t>所有投标均以人民币报价。</w:t>
      </w:r>
      <w:bookmarkEnd w:id="50"/>
    </w:p>
    <w:p w14:paraId="2EDDFA9C">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投标人所报单价在本招标文件项下的合同履行期间不能因市场变化因素而变动。</w:t>
      </w:r>
    </w:p>
    <w:p w14:paraId="21D7F137">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人所报的各种价格均为含税到招标人指定地点交货价（包含产品包装、运输、装卸等相关费用）；投标报价以元为单位，精确到小数点后两位数，超出两位按四舍五入计；包装物投标人不回收，费用由投标人负担。</w:t>
      </w:r>
    </w:p>
    <w:p w14:paraId="762DF806">
      <w:pPr>
        <w:pStyle w:val="27"/>
        <w:keepNext w:val="0"/>
        <w:keepLines w:val="0"/>
        <w:pageBreakBefore w:val="0"/>
        <w:numPr>
          <w:ilvl w:val="0"/>
          <w:numId w:val="4"/>
        </w:numPr>
        <w:kinsoku/>
        <w:wordWrap/>
        <w:overflowPunct/>
        <w:topLinePunct/>
        <w:autoSpaceDN/>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招标人有权重视各投标人全部报价的合理性。所有投标人不能相互串通、哄抬报价，若有发现，招标人有权宣布其投标无效。</w:t>
      </w:r>
    </w:p>
    <w:p w14:paraId="4175D8A7">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51" w:name="_Toc14547"/>
      <w:bookmarkStart w:id="52" w:name="_Toc2348"/>
      <w:bookmarkStart w:id="53" w:name="_Toc24896"/>
      <w:bookmarkStart w:id="54" w:name="_Toc19945"/>
      <w:bookmarkStart w:id="55" w:name="_Toc13329"/>
      <w:r>
        <w:rPr>
          <w:rFonts w:hint="eastAsia" w:ascii="宋体" w:hAnsi="宋体" w:eastAsia="宋体" w:cs="宋体"/>
          <w:b/>
          <w:bCs/>
          <w:sz w:val="24"/>
          <w:szCs w:val="24"/>
        </w:rPr>
        <w:t>三、投标文件</w:t>
      </w:r>
      <w:bookmarkEnd w:id="51"/>
      <w:bookmarkEnd w:id="52"/>
      <w:bookmarkEnd w:id="53"/>
      <w:bookmarkEnd w:id="54"/>
      <w:bookmarkEnd w:id="55"/>
    </w:p>
    <w:p w14:paraId="50E0AD51">
      <w:pPr>
        <w:pStyle w:val="27"/>
        <w:keepNext w:val="0"/>
        <w:keepLines w:val="0"/>
        <w:pageBreakBefore w:val="0"/>
        <w:numPr>
          <w:ilvl w:val="0"/>
          <w:numId w:val="5"/>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56" w:name="_Toc29954"/>
      <w:bookmarkStart w:id="57" w:name="_Toc11398"/>
      <w:bookmarkStart w:id="58" w:name="_Toc30571"/>
      <w:bookmarkStart w:id="59" w:name="_Toc2231"/>
      <w:bookmarkStart w:id="60" w:name="_Toc30156"/>
      <w:bookmarkStart w:id="61" w:name="_Toc7457"/>
      <w:r>
        <w:rPr>
          <w:rFonts w:hint="eastAsia" w:ascii="宋体" w:hAnsi="宋体" w:eastAsia="宋体" w:cs="宋体"/>
          <w:sz w:val="24"/>
          <w:szCs w:val="24"/>
        </w:rPr>
        <w:t>投标人应填写其单位名称全称。</w:t>
      </w:r>
      <w:bookmarkEnd w:id="56"/>
      <w:bookmarkEnd w:id="57"/>
      <w:bookmarkEnd w:id="58"/>
      <w:bookmarkEnd w:id="59"/>
      <w:bookmarkEnd w:id="60"/>
      <w:bookmarkEnd w:id="61"/>
    </w:p>
    <w:p w14:paraId="6E8472B1">
      <w:pPr>
        <w:pStyle w:val="27"/>
        <w:keepNext w:val="0"/>
        <w:keepLines w:val="0"/>
        <w:pageBreakBefore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投标文件包括《投标函》《投标报价表》《投标人产品质量承诺函》和资格证明文件。资格证明文件包含上述投标资格要求中的所有资料。</w:t>
      </w:r>
    </w:p>
    <w:p w14:paraId="1010B9C5">
      <w:pPr>
        <w:pStyle w:val="27"/>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《投标函》《投标报价表》《投标人产品质量承诺函》须加盖投标人公章，由其法定代表人或其委托代理人亲笔签字。</w:t>
      </w:r>
    </w:p>
    <w:p w14:paraId="377BAA23">
      <w:pPr>
        <w:pStyle w:val="27"/>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自开标之日起60天内，投标文件应保持有效。有效期短于前述规定期限的投标，将被拒绝。</w:t>
      </w:r>
    </w:p>
    <w:p w14:paraId="3A2EB1D9">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62" w:name="_Toc14760"/>
      <w:bookmarkStart w:id="63" w:name="_Toc29111"/>
      <w:bookmarkStart w:id="64" w:name="_Toc8"/>
      <w:bookmarkStart w:id="65" w:name="_Toc18677"/>
      <w:bookmarkStart w:id="66" w:name="_Toc23458"/>
      <w:r>
        <w:rPr>
          <w:rFonts w:hint="eastAsia" w:ascii="宋体" w:hAnsi="宋体" w:eastAsia="宋体" w:cs="宋体"/>
          <w:b/>
          <w:bCs/>
          <w:sz w:val="24"/>
          <w:szCs w:val="24"/>
        </w:rPr>
        <w:t>四、开标、评标、定标</w:t>
      </w:r>
      <w:bookmarkEnd w:id="62"/>
      <w:bookmarkEnd w:id="63"/>
      <w:bookmarkEnd w:id="64"/>
      <w:bookmarkEnd w:id="65"/>
      <w:bookmarkEnd w:id="66"/>
    </w:p>
    <w:p w14:paraId="169C957F">
      <w:pPr>
        <w:pStyle w:val="27"/>
        <w:keepNext w:val="0"/>
        <w:keepLines w:val="0"/>
        <w:pageBreakBefore w:val="0"/>
        <w:numPr>
          <w:ilvl w:val="0"/>
          <w:numId w:val="0"/>
        </w:numPr>
        <w:kinsoku/>
        <w:wordWrap/>
        <w:overflowPunct/>
        <w:bidi w:val="0"/>
        <w:spacing w:line="300" w:lineRule="auto"/>
        <w:ind w:left="0" w:leftChars="0" w:right="0" w:firstLine="480" w:firstLineChars="200"/>
        <w:outlineLvl w:val="0"/>
        <w:rPr>
          <w:rFonts w:hint="eastAsia" w:ascii="宋体" w:hAnsi="宋体" w:eastAsia="宋体" w:cs="宋体"/>
          <w:sz w:val="24"/>
          <w:szCs w:val="24"/>
        </w:rPr>
      </w:pPr>
      <w:bookmarkStart w:id="67" w:name="_Toc20255"/>
      <w:bookmarkStart w:id="68" w:name="_Toc998"/>
      <w:bookmarkStart w:id="69" w:name="_Toc5695"/>
      <w:bookmarkStart w:id="70" w:name="_Toc29386"/>
      <w:bookmarkStart w:id="71" w:name="_Toc3331"/>
      <w:bookmarkStart w:id="72" w:name="_Toc31780"/>
      <w:r>
        <w:rPr>
          <w:rFonts w:hint="eastAsia" w:ascii="宋体" w:hAnsi="宋体" w:eastAsia="宋体" w:cs="宋体"/>
          <w:snapToGrid w:val="0"/>
          <w:color w:val="000000"/>
          <w:sz w:val="24"/>
          <w:szCs w:val="24"/>
          <w:lang w:val="en-US" w:eastAsia="zh-CN" w:bidi="ar-SA"/>
        </w:rPr>
        <w:t>1.</w:t>
      </w:r>
      <w:r>
        <w:rPr>
          <w:rFonts w:hint="eastAsia" w:ascii="宋体" w:hAnsi="宋体" w:eastAsia="宋体" w:cs="宋体"/>
          <w:sz w:val="24"/>
          <w:szCs w:val="24"/>
        </w:rPr>
        <w:t>开标时，将按照招标人有关招投标规定执行。</w:t>
      </w:r>
      <w:bookmarkEnd w:id="67"/>
      <w:bookmarkEnd w:id="68"/>
      <w:bookmarkEnd w:id="69"/>
      <w:bookmarkEnd w:id="70"/>
      <w:bookmarkEnd w:id="71"/>
      <w:bookmarkEnd w:id="72"/>
    </w:p>
    <w:p w14:paraId="5AF9D3F4">
      <w:pPr>
        <w:pStyle w:val="27"/>
        <w:keepNext w:val="0"/>
        <w:keepLines w:val="0"/>
        <w:pageBreakBefore w:val="0"/>
        <w:numPr>
          <w:ilvl w:val="0"/>
          <w:numId w:val="0"/>
        </w:numPr>
        <w:kinsoku/>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napToGrid w:val="0"/>
          <w:color w:val="000000"/>
          <w:sz w:val="24"/>
          <w:szCs w:val="24"/>
          <w:lang w:val="en-US" w:eastAsia="zh-CN" w:bidi="ar-SA"/>
        </w:rPr>
        <w:t>2.</w:t>
      </w:r>
      <w:r>
        <w:rPr>
          <w:rFonts w:hint="eastAsia" w:ascii="宋体" w:hAnsi="宋体" w:eastAsia="宋体" w:cs="宋体"/>
          <w:sz w:val="24"/>
          <w:szCs w:val="24"/>
        </w:rPr>
        <w:t>开标后由招标人组建的评标委员会进行评标，以经评审的</w:t>
      </w:r>
      <w:r>
        <w:rPr>
          <w:rFonts w:hint="eastAsia" w:ascii="宋体" w:hAnsi="宋体" w:eastAsia="宋体" w:cs="宋体"/>
          <w:sz w:val="24"/>
          <w:szCs w:val="24"/>
          <w:lang w:val="en-US" w:eastAsia="zh-CN"/>
        </w:rPr>
        <w:t>综合</w:t>
      </w:r>
      <w:r>
        <w:rPr>
          <w:rFonts w:hint="eastAsia" w:ascii="宋体" w:hAnsi="宋体" w:eastAsia="宋体" w:cs="宋体"/>
          <w:sz w:val="24"/>
          <w:szCs w:val="24"/>
        </w:rPr>
        <w:t>评标价法确定中标人。</w:t>
      </w:r>
    </w:p>
    <w:p w14:paraId="4A0CF380">
      <w:pPr>
        <w:pStyle w:val="27"/>
        <w:keepNext w:val="0"/>
        <w:keepLines w:val="0"/>
        <w:pageBreakBefore w:val="0"/>
        <w:numPr>
          <w:ilvl w:val="0"/>
          <w:numId w:val="0"/>
        </w:numPr>
        <w:kinsoku/>
        <w:wordWrap/>
        <w:overflowPunct/>
        <w:bidi w:val="0"/>
        <w:spacing w:line="300" w:lineRule="auto"/>
        <w:ind w:left="0" w:leftChars="0" w:right="0" w:firstLine="480" w:firstLineChars="200"/>
        <w:outlineLvl w:val="0"/>
        <w:rPr>
          <w:rFonts w:hint="eastAsia" w:ascii="宋体" w:hAnsi="宋体" w:eastAsia="宋体" w:cs="宋体"/>
          <w:sz w:val="24"/>
          <w:szCs w:val="24"/>
        </w:rPr>
      </w:pPr>
      <w:bookmarkStart w:id="73" w:name="_Toc26371"/>
      <w:bookmarkStart w:id="74" w:name="_Toc14086"/>
      <w:bookmarkStart w:id="75" w:name="_Toc18886"/>
      <w:bookmarkStart w:id="76" w:name="_Toc12"/>
      <w:bookmarkStart w:id="77" w:name="_Toc6426"/>
      <w:bookmarkStart w:id="78" w:name="_Toc24129"/>
      <w:r>
        <w:rPr>
          <w:rFonts w:hint="eastAsia" w:ascii="宋体" w:hAnsi="宋体" w:eastAsia="宋体" w:cs="宋体"/>
          <w:snapToGrid w:val="0"/>
          <w:color w:val="000000"/>
          <w:sz w:val="24"/>
          <w:szCs w:val="24"/>
          <w:lang w:val="en-US" w:eastAsia="zh-CN" w:bidi="ar-SA"/>
        </w:rPr>
        <w:t>3.</w:t>
      </w:r>
      <w:r>
        <w:rPr>
          <w:rFonts w:hint="eastAsia" w:ascii="宋体" w:hAnsi="宋体" w:eastAsia="宋体" w:cs="宋体"/>
          <w:sz w:val="24"/>
          <w:szCs w:val="24"/>
        </w:rPr>
        <w:t>招标人不对未中标的投标人作任何解释，不退还投标文件。</w:t>
      </w:r>
      <w:bookmarkEnd w:id="73"/>
      <w:bookmarkEnd w:id="74"/>
      <w:bookmarkEnd w:id="75"/>
      <w:bookmarkEnd w:id="76"/>
      <w:bookmarkEnd w:id="77"/>
      <w:bookmarkEnd w:id="78"/>
    </w:p>
    <w:p w14:paraId="6DC0DA81">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79" w:name="_Toc2586"/>
      <w:bookmarkStart w:id="80" w:name="_Toc32748"/>
      <w:bookmarkStart w:id="81" w:name="_Toc6326"/>
      <w:bookmarkStart w:id="82" w:name="_Toc29662"/>
      <w:bookmarkStart w:id="83" w:name="_Toc25649"/>
      <w:r>
        <w:rPr>
          <w:rFonts w:hint="eastAsia" w:ascii="宋体" w:hAnsi="宋体" w:eastAsia="宋体" w:cs="宋体"/>
          <w:b/>
          <w:bCs/>
          <w:sz w:val="24"/>
          <w:szCs w:val="24"/>
        </w:rPr>
        <w:t>五、纪律要求</w:t>
      </w:r>
      <w:bookmarkEnd w:id="79"/>
      <w:bookmarkEnd w:id="80"/>
      <w:bookmarkEnd w:id="81"/>
      <w:bookmarkEnd w:id="82"/>
      <w:bookmarkEnd w:id="83"/>
    </w:p>
    <w:p w14:paraId="2C8BB739">
      <w:pPr>
        <w:pStyle w:val="27"/>
        <w:keepNext w:val="0"/>
        <w:keepLines w:val="0"/>
        <w:pageBreakBefore w:val="0"/>
        <w:numPr>
          <w:ilvl w:val="0"/>
          <w:numId w:val="6"/>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22B3E2C4">
      <w:pPr>
        <w:pStyle w:val="27"/>
        <w:keepNext w:val="0"/>
        <w:keepLines w:val="0"/>
        <w:pageBreakBefore w:val="0"/>
        <w:numPr>
          <w:ilvl w:val="0"/>
          <w:numId w:val="6"/>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评标委员会及其组成人员应严格自律，严格遵守国家法律、法规，并接受监察部门的监督。</w:t>
      </w:r>
    </w:p>
    <w:p w14:paraId="4F373253">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84" w:name="_Toc7771"/>
      <w:bookmarkStart w:id="85" w:name="_Toc23438"/>
      <w:bookmarkStart w:id="86" w:name="_Toc9588"/>
      <w:bookmarkStart w:id="87" w:name="_Toc11099"/>
      <w:bookmarkStart w:id="88" w:name="_Toc3302"/>
      <w:r>
        <w:rPr>
          <w:rFonts w:hint="eastAsia" w:ascii="宋体" w:hAnsi="宋体" w:eastAsia="宋体" w:cs="宋体"/>
          <w:b/>
          <w:bCs/>
          <w:sz w:val="24"/>
          <w:szCs w:val="24"/>
        </w:rPr>
        <w:t>六、其他</w:t>
      </w:r>
      <w:bookmarkEnd w:id="84"/>
      <w:bookmarkEnd w:id="85"/>
      <w:bookmarkEnd w:id="86"/>
      <w:bookmarkEnd w:id="87"/>
      <w:bookmarkEnd w:id="88"/>
    </w:p>
    <w:p w14:paraId="72D537FA">
      <w:pPr>
        <w:pStyle w:val="27"/>
        <w:keepNext w:val="0"/>
        <w:keepLines w:val="0"/>
        <w:pageBreakBefore w:val="0"/>
        <w:numPr>
          <w:ilvl w:val="0"/>
          <w:numId w:val="7"/>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中标人若改变原材料配方和生产工艺，需征得招标人同意，并需重新认可。</w:t>
      </w:r>
    </w:p>
    <w:p w14:paraId="3ED3D84F">
      <w:pPr>
        <w:pStyle w:val="27"/>
        <w:keepNext w:val="0"/>
        <w:keepLines w:val="0"/>
        <w:pageBreakBefore w:val="0"/>
        <w:numPr>
          <w:ilvl w:val="0"/>
          <w:numId w:val="7"/>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0F769D6E">
      <w:pPr>
        <w:keepNext w:val="0"/>
        <w:keepLines w:val="0"/>
        <w:pageBreakBefore w:val="0"/>
        <w:wordWrap/>
        <w:overflowPunct/>
        <w:bidi w:val="0"/>
        <w:spacing w:line="300" w:lineRule="auto"/>
        <w:ind w:left="0" w:leftChars="0" w:right="0"/>
        <w:rPr>
          <w:rFonts w:hint="eastAsia" w:ascii="宋体" w:hAnsi="宋体" w:eastAsia="宋体" w:cs="宋体"/>
        </w:rPr>
      </w:pPr>
    </w:p>
    <w:p w14:paraId="77A48F2D">
      <w:pPr>
        <w:keepNext w:val="0"/>
        <w:keepLines w:val="0"/>
        <w:pageBreakBefore w:val="0"/>
        <w:wordWrap/>
        <w:overflowPunct/>
        <w:bidi w:val="0"/>
        <w:spacing w:line="300" w:lineRule="auto"/>
        <w:ind w:left="0" w:leftChars="0" w:right="0"/>
        <w:rPr>
          <w:rFonts w:hint="eastAsia" w:ascii="宋体" w:hAnsi="宋体" w:eastAsia="宋体" w:cs="宋体"/>
        </w:rPr>
      </w:pPr>
    </w:p>
    <w:p w14:paraId="4B31CB1A">
      <w:pPr>
        <w:keepNext w:val="0"/>
        <w:keepLines w:val="0"/>
        <w:pageBreakBefore w:val="0"/>
        <w:wordWrap/>
        <w:overflowPunct/>
        <w:bidi w:val="0"/>
        <w:spacing w:line="300" w:lineRule="auto"/>
        <w:ind w:left="0" w:leftChars="0" w:right="0"/>
        <w:rPr>
          <w:rFonts w:hint="eastAsia" w:ascii="宋体" w:hAnsi="宋体" w:eastAsia="宋体" w:cs="宋体"/>
        </w:rPr>
      </w:pPr>
    </w:p>
    <w:p w14:paraId="7FFB3A02">
      <w:pPr>
        <w:keepNext w:val="0"/>
        <w:keepLines w:val="0"/>
        <w:pageBreakBefore w:val="0"/>
        <w:wordWrap/>
        <w:overflowPunct/>
        <w:bidi w:val="0"/>
        <w:spacing w:line="300" w:lineRule="auto"/>
        <w:ind w:left="0" w:leftChars="0" w:right="0"/>
        <w:rPr>
          <w:rFonts w:hint="eastAsia" w:ascii="宋体" w:hAnsi="宋体" w:eastAsia="宋体" w:cs="宋体"/>
        </w:rPr>
      </w:pPr>
    </w:p>
    <w:p w14:paraId="5851DC2E">
      <w:pPr>
        <w:keepNext w:val="0"/>
        <w:keepLines w:val="0"/>
        <w:pageBreakBefore w:val="0"/>
        <w:wordWrap/>
        <w:overflowPunct/>
        <w:bidi w:val="0"/>
        <w:spacing w:line="300" w:lineRule="auto"/>
        <w:ind w:left="0" w:leftChars="0" w:right="0"/>
        <w:rPr>
          <w:rFonts w:hint="eastAsia" w:ascii="宋体" w:hAnsi="宋体" w:eastAsia="宋体" w:cs="宋体"/>
        </w:rPr>
      </w:pPr>
    </w:p>
    <w:p w14:paraId="5965E782">
      <w:pPr>
        <w:keepNext w:val="0"/>
        <w:keepLines w:val="0"/>
        <w:pageBreakBefore w:val="0"/>
        <w:wordWrap/>
        <w:overflowPunct/>
        <w:bidi w:val="0"/>
        <w:spacing w:line="300" w:lineRule="auto"/>
        <w:ind w:left="0" w:leftChars="0" w:right="0"/>
        <w:rPr>
          <w:rFonts w:hint="eastAsia" w:ascii="宋体" w:hAnsi="宋体" w:eastAsia="宋体" w:cs="宋体"/>
        </w:rPr>
      </w:pPr>
    </w:p>
    <w:p w14:paraId="4A033BD7">
      <w:pPr>
        <w:keepNext w:val="0"/>
        <w:keepLines w:val="0"/>
        <w:pageBreakBefore w:val="0"/>
        <w:wordWrap/>
        <w:overflowPunct/>
        <w:bidi w:val="0"/>
        <w:spacing w:line="300" w:lineRule="auto"/>
        <w:ind w:left="0" w:leftChars="0" w:right="0"/>
        <w:rPr>
          <w:rFonts w:hint="eastAsia" w:ascii="宋体" w:hAnsi="宋体" w:eastAsia="宋体" w:cs="宋体"/>
        </w:rPr>
      </w:pPr>
    </w:p>
    <w:p w14:paraId="27AA9DA9">
      <w:pPr>
        <w:keepNext w:val="0"/>
        <w:keepLines w:val="0"/>
        <w:pageBreakBefore w:val="0"/>
        <w:wordWrap/>
        <w:overflowPunct/>
        <w:bidi w:val="0"/>
        <w:spacing w:line="300" w:lineRule="auto"/>
        <w:ind w:left="0" w:leftChars="0" w:right="0"/>
        <w:rPr>
          <w:rFonts w:hint="eastAsia" w:ascii="宋体" w:hAnsi="宋体" w:eastAsia="宋体" w:cs="宋体"/>
        </w:rPr>
      </w:pPr>
    </w:p>
    <w:p w14:paraId="5D700E2F">
      <w:pPr>
        <w:keepNext w:val="0"/>
        <w:keepLines w:val="0"/>
        <w:pageBreakBefore w:val="0"/>
        <w:wordWrap/>
        <w:overflowPunct/>
        <w:bidi w:val="0"/>
        <w:spacing w:line="300" w:lineRule="auto"/>
        <w:ind w:left="0" w:leftChars="0" w:right="0"/>
        <w:rPr>
          <w:rFonts w:hint="eastAsia" w:ascii="宋体" w:hAnsi="宋体" w:eastAsia="宋体" w:cs="宋体"/>
        </w:rPr>
      </w:pPr>
    </w:p>
    <w:p w14:paraId="69DE7AA9">
      <w:pPr>
        <w:keepNext w:val="0"/>
        <w:keepLines w:val="0"/>
        <w:pageBreakBefore w:val="0"/>
        <w:wordWrap/>
        <w:overflowPunct/>
        <w:bidi w:val="0"/>
        <w:spacing w:line="300" w:lineRule="auto"/>
        <w:ind w:left="0" w:leftChars="0" w:right="0"/>
        <w:rPr>
          <w:rFonts w:hint="eastAsia" w:ascii="宋体" w:hAnsi="宋体" w:eastAsia="宋体" w:cs="宋体"/>
        </w:rPr>
      </w:pPr>
    </w:p>
    <w:p w14:paraId="3FA2A11C">
      <w:pPr>
        <w:keepNext w:val="0"/>
        <w:keepLines w:val="0"/>
        <w:pageBreakBefore w:val="0"/>
        <w:wordWrap/>
        <w:overflowPunct/>
        <w:bidi w:val="0"/>
        <w:spacing w:line="300" w:lineRule="auto"/>
        <w:ind w:left="0" w:leftChars="0" w:right="0"/>
        <w:rPr>
          <w:rFonts w:hint="eastAsia" w:ascii="宋体" w:hAnsi="宋体" w:eastAsia="宋体" w:cs="宋体"/>
        </w:rPr>
      </w:pPr>
    </w:p>
    <w:p w14:paraId="60522102">
      <w:pPr>
        <w:keepNext w:val="0"/>
        <w:keepLines w:val="0"/>
        <w:pageBreakBefore w:val="0"/>
        <w:wordWrap/>
        <w:overflowPunct/>
        <w:bidi w:val="0"/>
        <w:spacing w:line="300" w:lineRule="auto"/>
        <w:ind w:left="0" w:leftChars="0" w:right="0"/>
        <w:rPr>
          <w:rFonts w:hint="eastAsia" w:ascii="宋体" w:hAnsi="宋体" w:eastAsia="宋体" w:cs="宋体"/>
        </w:rPr>
      </w:pPr>
    </w:p>
    <w:p w14:paraId="33CC89C9">
      <w:pPr>
        <w:keepNext w:val="0"/>
        <w:keepLines w:val="0"/>
        <w:pageBreakBefore w:val="0"/>
        <w:wordWrap/>
        <w:overflowPunct/>
        <w:bidi w:val="0"/>
        <w:spacing w:line="300" w:lineRule="auto"/>
        <w:ind w:left="0" w:leftChars="0" w:right="0"/>
        <w:rPr>
          <w:rFonts w:hint="eastAsia" w:ascii="宋体" w:hAnsi="宋体" w:eastAsia="宋体" w:cs="宋体"/>
        </w:rPr>
      </w:pPr>
    </w:p>
    <w:p w14:paraId="153A7DE3">
      <w:pPr>
        <w:keepNext w:val="0"/>
        <w:keepLines w:val="0"/>
        <w:pageBreakBefore w:val="0"/>
        <w:wordWrap/>
        <w:overflowPunct/>
        <w:bidi w:val="0"/>
        <w:spacing w:line="300" w:lineRule="auto"/>
        <w:ind w:left="0" w:leftChars="0" w:right="0"/>
        <w:rPr>
          <w:rFonts w:hint="eastAsia" w:ascii="宋体" w:hAnsi="宋体" w:eastAsia="宋体" w:cs="宋体"/>
        </w:rPr>
      </w:pPr>
    </w:p>
    <w:p w14:paraId="176A5ED3">
      <w:pPr>
        <w:keepNext w:val="0"/>
        <w:keepLines w:val="0"/>
        <w:pageBreakBefore w:val="0"/>
        <w:wordWrap/>
        <w:overflowPunct/>
        <w:bidi w:val="0"/>
        <w:spacing w:line="300" w:lineRule="auto"/>
        <w:ind w:left="0" w:leftChars="0" w:right="0"/>
        <w:rPr>
          <w:rFonts w:hint="eastAsia" w:ascii="宋体" w:hAnsi="宋体" w:eastAsia="宋体" w:cs="宋体"/>
        </w:rPr>
      </w:pPr>
    </w:p>
    <w:p w14:paraId="418AF0A9">
      <w:pPr>
        <w:keepNext w:val="0"/>
        <w:keepLines w:val="0"/>
        <w:pageBreakBefore w:val="0"/>
        <w:wordWrap/>
        <w:overflowPunct/>
        <w:bidi w:val="0"/>
        <w:spacing w:line="300" w:lineRule="auto"/>
        <w:ind w:left="0" w:leftChars="0" w:right="0"/>
        <w:rPr>
          <w:rFonts w:hint="eastAsia" w:ascii="宋体" w:hAnsi="宋体" w:eastAsia="宋体" w:cs="宋体"/>
        </w:rPr>
      </w:pPr>
    </w:p>
    <w:p w14:paraId="0CB596FC">
      <w:pPr>
        <w:keepNext w:val="0"/>
        <w:keepLines w:val="0"/>
        <w:pageBreakBefore w:val="0"/>
        <w:wordWrap/>
        <w:overflowPunct/>
        <w:bidi w:val="0"/>
        <w:spacing w:line="300" w:lineRule="auto"/>
        <w:ind w:left="0" w:leftChars="0" w:right="0"/>
        <w:rPr>
          <w:rFonts w:hint="eastAsia" w:ascii="宋体" w:hAnsi="宋体" w:eastAsia="宋体" w:cs="宋体"/>
        </w:rPr>
      </w:pPr>
    </w:p>
    <w:p w14:paraId="65F4CCAA">
      <w:pPr>
        <w:keepNext w:val="0"/>
        <w:keepLines w:val="0"/>
        <w:pageBreakBefore w:val="0"/>
        <w:wordWrap/>
        <w:overflowPunct/>
        <w:bidi w:val="0"/>
        <w:spacing w:line="300" w:lineRule="auto"/>
        <w:ind w:left="0" w:leftChars="0" w:right="0"/>
        <w:rPr>
          <w:rFonts w:hint="eastAsia" w:ascii="宋体" w:hAnsi="宋体" w:eastAsia="宋体" w:cs="宋体"/>
        </w:rPr>
      </w:pPr>
    </w:p>
    <w:p w14:paraId="611FE53B">
      <w:pPr>
        <w:keepNext w:val="0"/>
        <w:keepLines w:val="0"/>
        <w:pageBreakBefore w:val="0"/>
        <w:wordWrap/>
        <w:overflowPunct/>
        <w:bidi w:val="0"/>
        <w:spacing w:line="300" w:lineRule="auto"/>
        <w:ind w:left="0" w:leftChars="0" w:right="0"/>
        <w:rPr>
          <w:rFonts w:hint="eastAsia" w:ascii="宋体" w:hAnsi="宋体" w:eastAsia="宋体" w:cs="宋体"/>
        </w:rPr>
      </w:pPr>
    </w:p>
    <w:p w14:paraId="22470EAD">
      <w:pPr>
        <w:keepNext w:val="0"/>
        <w:keepLines w:val="0"/>
        <w:pageBreakBefore w:val="0"/>
        <w:wordWrap/>
        <w:overflowPunct/>
        <w:bidi w:val="0"/>
        <w:spacing w:line="300" w:lineRule="auto"/>
        <w:ind w:left="0" w:leftChars="0" w:right="0"/>
        <w:rPr>
          <w:rFonts w:hint="eastAsia" w:ascii="宋体" w:hAnsi="宋体" w:eastAsia="宋体" w:cs="宋体"/>
        </w:rPr>
      </w:pPr>
    </w:p>
    <w:p w14:paraId="2162FA8F">
      <w:pPr>
        <w:pStyle w:val="2"/>
        <w:rPr>
          <w:rFonts w:hint="eastAsia" w:ascii="宋体" w:hAnsi="宋体" w:eastAsia="宋体" w:cs="宋体"/>
        </w:rPr>
      </w:pPr>
    </w:p>
    <w:p w14:paraId="432495AD">
      <w:pPr>
        <w:pStyle w:val="2"/>
        <w:rPr>
          <w:rFonts w:hint="eastAsia" w:ascii="宋体" w:hAnsi="宋体" w:eastAsia="宋体" w:cs="宋体"/>
        </w:rPr>
      </w:pPr>
    </w:p>
    <w:p w14:paraId="1242F88A">
      <w:pPr>
        <w:keepNext w:val="0"/>
        <w:keepLines w:val="0"/>
        <w:pageBreakBefore w:val="0"/>
        <w:wordWrap/>
        <w:overflowPunct/>
        <w:bidi w:val="0"/>
        <w:spacing w:line="300" w:lineRule="auto"/>
        <w:ind w:left="0" w:leftChars="0" w:right="0"/>
        <w:rPr>
          <w:rFonts w:hint="eastAsia" w:ascii="宋体" w:hAnsi="宋体" w:eastAsia="宋体" w:cs="宋体"/>
        </w:rPr>
      </w:pPr>
    </w:p>
    <w:p w14:paraId="17787573">
      <w:pPr>
        <w:keepNext w:val="0"/>
        <w:keepLines w:val="0"/>
        <w:pageBreakBefore w:val="0"/>
        <w:wordWrap/>
        <w:overflowPunct/>
        <w:bidi w:val="0"/>
        <w:spacing w:line="300" w:lineRule="auto"/>
        <w:ind w:left="0" w:leftChars="0" w:right="0"/>
        <w:rPr>
          <w:rFonts w:hint="eastAsia" w:ascii="宋体" w:hAnsi="宋体" w:eastAsia="宋体" w:cs="宋体"/>
        </w:rPr>
      </w:pPr>
    </w:p>
    <w:p w14:paraId="75DEEC55">
      <w:pPr>
        <w:keepNext w:val="0"/>
        <w:keepLines w:val="0"/>
        <w:pageBreakBefore w:val="0"/>
        <w:wordWrap/>
        <w:overflowPunct/>
        <w:bidi w:val="0"/>
        <w:spacing w:line="300" w:lineRule="auto"/>
        <w:ind w:left="0" w:leftChars="0" w:right="0"/>
        <w:rPr>
          <w:rFonts w:hint="eastAsia" w:ascii="宋体" w:hAnsi="宋体" w:eastAsia="宋体" w:cs="宋体"/>
        </w:rPr>
      </w:pPr>
    </w:p>
    <w:p w14:paraId="34AC7E0E">
      <w:pPr>
        <w:keepNext w:val="0"/>
        <w:keepLines w:val="0"/>
        <w:pageBreakBefore w:val="0"/>
        <w:wordWrap/>
        <w:overflowPunct/>
        <w:bidi w:val="0"/>
        <w:spacing w:line="300" w:lineRule="auto"/>
        <w:ind w:left="0" w:leftChars="0" w:right="0"/>
        <w:rPr>
          <w:rFonts w:hint="eastAsia" w:ascii="宋体" w:hAnsi="宋体" w:eastAsia="宋体" w:cs="宋体"/>
        </w:rPr>
      </w:pPr>
    </w:p>
    <w:p w14:paraId="1710EA4E">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89" w:name="_Toc14207"/>
      <w:bookmarkStart w:id="90" w:name="_Toc14035"/>
      <w:bookmarkStart w:id="91" w:name="_Toc26223"/>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三、评标办法</w:t>
      </w:r>
      <w:bookmarkEnd w:id="89"/>
      <w:bookmarkEnd w:id="90"/>
      <w:bookmarkEnd w:id="91"/>
    </w:p>
    <w:p w14:paraId="4E57F729">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14:paraId="562C7B3F">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14:paraId="6BAD1DDA">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14:paraId="7AC7EE69">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14:paraId="36509618">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14:paraId="376999B0">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.1</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14:paraId="097CBE71">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.2投标报价；</w:t>
      </w:r>
    </w:p>
    <w:p w14:paraId="5437CBB5">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14:paraId="62845F26">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14:paraId="479B8142">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14:paraId="4D63481A">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14:paraId="1FAE9458">
      <w:pPr>
        <w:keepNext w:val="0"/>
        <w:keepLines w:val="0"/>
        <w:pageBreakBefore w:val="0"/>
        <w:widowControl/>
        <w:kinsoku/>
        <w:wordWrap/>
        <w:overflowPunct/>
        <w:topLinePunct w:val="0"/>
        <w:autoSpaceDE/>
        <w:autoSpaceDN/>
        <w:bidi w:val="0"/>
        <w:adjustRightInd/>
        <w:snapToGrid/>
        <w:spacing w:line="300" w:lineRule="auto"/>
        <w:ind w:left="0" w:leftChars="0" w:right="0"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14:paraId="523826BC">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本工程招标文件未尽事宜，按照《中华人民共和国招标投标法》、《福建省招标投标管理办法》等有关法规、规定执行。</w:t>
      </w:r>
    </w:p>
    <w:p w14:paraId="1C320478">
      <w:pPr>
        <w:keepNext w:val="0"/>
        <w:keepLines w:val="0"/>
        <w:pageBreakBefore w:val="0"/>
        <w:kinsoku/>
        <w:wordWrap/>
        <w:overflowPunct/>
        <w:topLinePunct w:val="0"/>
        <w:autoSpaceDE/>
        <w:autoSpaceDN/>
        <w:bidi w:val="0"/>
        <w:adjustRightInd/>
        <w:snapToGrid/>
        <w:spacing w:line="300" w:lineRule="auto"/>
        <w:ind w:left="0" w:leftChars="0" w:right="0"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14:paraId="6ED2F23B">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技术部分（10分）、报价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其他分（10分）</w:t>
      </w:r>
      <w:r>
        <w:rPr>
          <w:rFonts w:hint="eastAsia" w:ascii="宋体" w:hAnsi="宋体" w:eastAsia="宋体" w:cs="宋体"/>
          <w:color w:val="auto"/>
          <w:sz w:val="24"/>
          <w:highlight w:val="none"/>
        </w:rPr>
        <w:t>组成，评审标准具体如下：</w:t>
      </w:r>
    </w:p>
    <w:p w14:paraId="245906C6">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01676949">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6EA35139">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33069B33">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1E2AAD38">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35A94926">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04660F31">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3A8F9C47">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1F7792E1">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13445C07">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2" w:name="_Toc23296"/>
      <w:bookmarkStart w:id="93" w:name="_Toc14784"/>
      <w:bookmarkStart w:id="94" w:name="_Toc13537"/>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92"/>
      <w:bookmarkEnd w:id="93"/>
      <w:bookmarkEnd w:id="94"/>
    </w:p>
    <w:p w14:paraId="176C47FD">
      <w:pPr>
        <w:keepNext w:val="0"/>
        <w:keepLines w:val="0"/>
        <w:pageBreakBefore w:val="0"/>
        <w:widowControl w:val="0"/>
        <w:kinsoku/>
        <w:wordWrap/>
        <w:overflowPunct/>
        <w:autoSpaceDE/>
        <w:autoSpaceDN/>
        <w:bidi w:val="0"/>
        <w:adjustRightInd/>
        <w:snapToGrid/>
        <w:spacing w:line="300" w:lineRule="auto"/>
        <w:ind w:left="0" w:leftChars="0" w:right="0"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1、技术部分（分值</w:t>
      </w:r>
      <w:r>
        <w:rPr>
          <w:rFonts w:hint="eastAsia" w:ascii="宋体" w:hAnsi="宋体" w:eastAsia="宋体" w:cs="宋体"/>
          <w:b/>
          <w:bCs/>
          <w:sz w:val="24"/>
          <w:lang w:val="en-US" w:eastAsia="zh-CN"/>
        </w:rPr>
        <w:t>1</w:t>
      </w:r>
      <w:r>
        <w:rPr>
          <w:rFonts w:hint="eastAsia" w:ascii="宋体" w:hAnsi="宋体" w:eastAsia="宋体" w:cs="宋体"/>
          <w:b/>
          <w:bCs/>
          <w:sz w:val="24"/>
        </w:rPr>
        <w:t>0分）</w:t>
      </w:r>
    </w:p>
    <w:tbl>
      <w:tblPr>
        <w:tblStyle w:val="16"/>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0A74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2847AA88">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14:paraId="06629B97">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14:paraId="23D73DEC">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14:paraId="5025A804">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14:paraId="5C83084C">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5D6B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2FBC52B8">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6D40A782">
            <w:pPr>
              <w:pStyle w:val="7"/>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037BA530">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5296" w:type="dxa"/>
            <w:tcMar>
              <w:left w:w="103" w:type="dxa"/>
            </w:tcMar>
            <w:vAlign w:val="center"/>
          </w:tcPr>
          <w:p w14:paraId="776C4891">
            <w:pPr>
              <w:keepNext w:val="0"/>
              <w:keepLines w:val="0"/>
              <w:pageBreakBefore w:val="0"/>
              <w:widowControl w:val="0"/>
              <w:kinsoku/>
              <w:wordWrap/>
              <w:overflowPunct/>
              <w:topLinePunct w:val="0"/>
              <w:autoSpaceDE/>
              <w:autoSpaceDN/>
              <w:bidi w:val="0"/>
              <w:spacing w:line="300" w:lineRule="auto"/>
              <w:ind w:left="0" w:leftChars="0" w:right="0"/>
              <w:jc w:val="center"/>
              <w:textAlignment w:val="auto"/>
              <w:rPr>
                <w:rFonts w:hint="eastAsia" w:ascii="宋体" w:hAnsi="宋体" w:eastAsia="宋体" w:cs="宋体"/>
                <w:lang w:val="en-US" w:eastAsia="zh-CN"/>
              </w:rPr>
            </w:pPr>
            <w:r>
              <w:rPr>
                <w:rFonts w:hint="eastAsia" w:ascii="宋体" w:hAnsi="宋体" w:eastAsia="宋体" w:cs="宋体"/>
                <w:color w:val="auto"/>
                <w:kern w:val="0"/>
                <w:sz w:val="24"/>
                <w:szCs w:val="24"/>
                <w:highlight w:val="none"/>
                <w:lang w:val="en-US" w:eastAsia="zh-CN"/>
              </w:rPr>
              <w:t>关键参数：一项不响应扣1~3分。</w:t>
            </w:r>
          </w:p>
          <w:p w14:paraId="55D9619F">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一般参数：一项不响应扣0.5~1分。</w:t>
            </w:r>
          </w:p>
        </w:tc>
        <w:tc>
          <w:tcPr>
            <w:tcW w:w="1134" w:type="dxa"/>
            <w:tcMar>
              <w:left w:w="103" w:type="dxa"/>
            </w:tcMar>
            <w:vAlign w:val="center"/>
          </w:tcPr>
          <w:p w14:paraId="3481E8F9">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p>
        </w:tc>
      </w:tr>
    </w:tbl>
    <w:p w14:paraId="04FF0B2A">
      <w:pPr>
        <w:keepNext w:val="0"/>
        <w:keepLines w:val="0"/>
        <w:pageBreakBefore w:val="0"/>
        <w:wordWrap/>
        <w:overflowPunct/>
        <w:bidi w:val="0"/>
        <w:spacing w:line="300" w:lineRule="auto"/>
        <w:ind w:left="0" w:leftChars="0" w:right="0"/>
        <w:jc w:val="both"/>
        <w:rPr>
          <w:rFonts w:hint="eastAsia" w:ascii="宋体" w:hAnsi="宋体" w:eastAsia="宋体" w:cs="宋体"/>
          <w:b/>
          <w:bCs/>
          <w:sz w:val="24"/>
        </w:rPr>
      </w:pPr>
    </w:p>
    <w:p w14:paraId="4DF59E1C">
      <w:pPr>
        <w:keepNext w:val="0"/>
        <w:keepLines w:val="0"/>
        <w:pageBreakBefore w:val="0"/>
        <w:wordWrap/>
        <w:overflowPunct/>
        <w:bidi w:val="0"/>
        <w:spacing w:line="300" w:lineRule="auto"/>
        <w:ind w:left="0" w:leftChars="0" w:right="0" w:firstLine="482" w:firstLineChars="200"/>
        <w:jc w:val="both"/>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eastAsia="宋体" w:cs="宋体"/>
          <w:b/>
          <w:bCs/>
          <w:sz w:val="24"/>
        </w:rPr>
        <w:t>、价格部分（分值</w:t>
      </w:r>
      <w:r>
        <w:rPr>
          <w:rFonts w:hint="eastAsia" w:ascii="宋体" w:hAnsi="宋体" w:eastAsia="宋体" w:cs="宋体"/>
          <w:b/>
          <w:bCs/>
          <w:sz w:val="24"/>
          <w:lang w:val="en-US" w:eastAsia="zh-CN"/>
        </w:rPr>
        <w:t>80</w:t>
      </w:r>
      <w:r>
        <w:rPr>
          <w:rFonts w:hint="eastAsia" w:ascii="宋体" w:hAnsi="宋体" w:eastAsia="宋体" w:cs="宋体"/>
          <w:b/>
          <w:bCs/>
          <w:sz w:val="24"/>
        </w:rPr>
        <w:t>分）</w:t>
      </w:r>
    </w:p>
    <w:tbl>
      <w:tblPr>
        <w:tblStyle w:val="16"/>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4CEBDD2C">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51319AC7">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55883F53">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4578D949">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FDC3B5F">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4948CD2">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实得分</w:t>
            </w:r>
          </w:p>
        </w:tc>
      </w:tr>
      <w:tr w14:paraId="3A2B2647">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7DF7C2B1">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45F46038">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483C33A9">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34C770E">
            <w:pPr>
              <w:keepNext w:val="0"/>
              <w:keepLines w:val="0"/>
              <w:pageBreakBefore w:val="0"/>
              <w:wordWrap/>
              <w:overflowPunct/>
              <w:bidi w:val="0"/>
              <w:spacing w:line="300" w:lineRule="auto"/>
              <w:ind w:left="0" w:leftChars="0" w:right="0"/>
              <w:rPr>
                <w:rFonts w:hint="eastAsia" w:ascii="宋体" w:hAnsi="宋体" w:eastAsia="宋体" w:cs="宋体"/>
                <w:sz w:val="24"/>
              </w:rPr>
            </w:pPr>
            <w:r>
              <w:rPr>
                <w:rFonts w:hint="eastAsia" w:ascii="宋体" w:hAnsi="宋体" w:eastAsia="宋体" w:cs="宋体"/>
                <w:sz w:val="24"/>
              </w:rPr>
              <w:t>价格分应当采用低价优先法计算，即满足招标文件要求且最后报价最低的价格为评标基准价，其价格分为满分。其他供应商的价格分统一按照下列公式计算：</w:t>
            </w:r>
          </w:p>
          <w:p w14:paraId="0008BABD">
            <w:pPr>
              <w:keepNext w:val="0"/>
              <w:keepLines w:val="0"/>
              <w:pageBreakBefore w:val="0"/>
              <w:wordWrap/>
              <w:overflowPunct/>
              <w:bidi w:val="0"/>
              <w:spacing w:line="300" w:lineRule="auto"/>
              <w:ind w:left="0" w:leftChars="0" w:right="0"/>
              <w:rPr>
                <w:rFonts w:hint="eastAsia" w:ascii="宋体" w:hAnsi="宋体" w:eastAsia="宋体" w:cs="宋体"/>
                <w:sz w:val="24"/>
              </w:rPr>
            </w:pPr>
            <w:r>
              <w:rPr>
                <w:rFonts w:hint="eastAsia" w:ascii="宋体" w:hAnsi="宋体" w:eastAsia="宋体" w:cs="宋体"/>
                <w:sz w:val="24"/>
              </w:rPr>
              <w:t>报价得分=（评标基准价/最后报价）×100×</w:t>
            </w:r>
            <w:r>
              <w:rPr>
                <w:rFonts w:hint="eastAsia" w:ascii="宋体" w:hAnsi="宋体" w:eastAsia="宋体" w:cs="宋体"/>
                <w:sz w:val="24"/>
                <w:lang w:val="en-US" w:eastAsia="zh-CN"/>
              </w:rPr>
              <w:t>7</w:t>
            </w:r>
            <w:r>
              <w:rPr>
                <w:rFonts w:hint="eastAsia" w:ascii="宋体" w:hAnsi="宋体" w:eastAsia="宋体" w:cs="宋体"/>
                <w:sz w:val="24"/>
              </w:rPr>
              <w:t>0%，评审过程中，不得去掉最后报价中的最高报价和最低报价。（保留到小数点后两位，第三位四舍五入。）</w:t>
            </w:r>
          </w:p>
          <w:p w14:paraId="226C6352">
            <w:pPr>
              <w:keepNext w:val="0"/>
              <w:keepLines w:val="0"/>
              <w:pageBreakBefore w:val="0"/>
              <w:wordWrap/>
              <w:overflowPunct/>
              <w:bidi w:val="0"/>
              <w:spacing w:line="300" w:lineRule="auto"/>
              <w:ind w:left="0" w:leftChars="0" w:right="0"/>
              <w:rPr>
                <w:rFonts w:hint="eastAsia" w:ascii="宋体" w:hAnsi="宋体" w:eastAsia="宋体" w:cs="宋体"/>
                <w:b/>
                <w:sz w:val="24"/>
              </w:rPr>
            </w:pPr>
            <w:r>
              <w:rPr>
                <w:rFonts w:hint="eastAsia" w:ascii="宋体" w:hAnsi="宋体" w:eastAsia="宋体" w:cs="宋体"/>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4F387151">
            <w:pPr>
              <w:keepNext w:val="0"/>
              <w:keepLines w:val="0"/>
              <w:pageBreakBefore w:val="0"/>
              <w:wordWrap/>
              <w:overflowPunct/>
              <w:bidi w:val="0"/>
              <w:spacing w:line="300" w:lineRule="auto"/>
              <w:ind w:left="0" w:leftChars="0" w:right="0"/>
              <w:rPr>
                <w:rFonts w:hint="eastAsia" w:ascii="宋体" w:hAnsi="宋体" w:eastAsia="宋体" w:cs="宋体"/>
                <w:sz w:val="24"/>
                <w:szCs w:val="24"/>
              </w:rPr>
            </w:pPr>
          </w:p>
        </w:tc>
      </w:tr>
    </w:tbl>
    <w:p w14:paraId="669ED101">
      <w:pPr>
        <w:pStyle w:val="2"/>
        <w:keepNext w:val="0"/>
        <w:keepLines w:val="0"/>
        <w:pageBreakBefore w:val="0"/>
        <w:wordWrap/>
        <w:overflowPunct/>
        <w:bidi w:val="0"/>
        <w:spacing w:after="0" w:line="300" w:lineRule="auto"/>
        <w:ind w:left="0" w:leftChars="0" w:right="0" w:firstLine="0" w:firstLineChars="0"/>
        <w:rPr>
          <w:rFonts w:hint="eastAsia" w:ascii="宋体" w:hAnsi="宋体" w:eastAsia="宋体" w:cs="宋体"/>
          <w:color w:val="auto"/>
        </w:rPr>
      </w:pPr>
    </w:p>
    <w:p w14:paraId="40312CC2">
      <w:pPr>
        <w:keepNext w:val="0"/>
        <w:keepLines w:val="0"/>
        <w:pageBreakBefore w:val="0"/>
        <w:wordWrap/>
        <w:overflowPunct/>
        <w:bidi w:val="0"/>
        <w:spacing w:line="300" w:lineRule="auto"/>
        <w:ind w:left="0" w:leftChars="0" w:right="0"/>
        <w:jc w:val="both"/>
        <w:rPr>
          <w:rFonts w:hint="eastAsia" w:ascii="宋体" w:hAnsi="宋体" w:eastAsia="宋体" w:cs="宋体"/>
          <w:b/>
          <w:bCs/>
          <w:sz w:val="24"/>
        </w:rPr>
      </w:pPr>
    </w:p>
    <w:p w14:paraId="62AD4D54">
      <w:pPr>
        <w:keepNext w:val="0"/>
        <w:keepLines w:val="0"/>
        <w:pageBreakBefore w:val="0"/>
        <w:wordWrap/>
        <w:overflowPunct/>
        <w:bidi w:val="0"/>
        <w:spacing w:line="300" w:lineRule="auto"/>
        <w:ind w:left="0" w:leftChars="0" w:right="0" w:firstLine="482" w:firstLineChars="200"/>
        <w:jc w:val="both"/>
        <w:rPr>
          <w:rFonts w:hint="eastAsia" w:ascii="宋体" w:hAnsi="宋体" w:eastAsia="宋体" w:cs="宋体"/>
          <w:b/>
          <w:bCs/>
          <w:sz w:val="24"/>
        </w:rPr>
      </w:pPr>
      <w:r>
        <w:rPr>
          <w:rFonts w:hint="eastAsia" w:ascii="宋体" w:hAnsi="宋体" w:eastAsia="宋体" w:cs="宋体"/>
          <w:b/>
          <w:bCs/>
          <w:sz w:val="24"/>
          <w:lang w:val="en-US" w:eastAsia="zh-CN"/>
        </w:rPr>
        <w:t>3</w:t>
      </w:r>
      <w:r>
        <w:rPr>
          <w:rFonts w:hint="eastAsia" w:ascii="宋体" w:hAnsi="宋体" w:eastAsia="宋体" w:cs="宋体"/>
          <w:b/>
          <w:bCs/>
          <w:sz w:val="24"/>
        </w:rPr>
        <w:t>、</w:t>
      </w:r>
      <w:r>
        <w:rPr>
          <w:rFonts w:hint="eastAsia" w:ascii="宋体" w:hAnsi="宋体" w:eastAsia="宋体" w:cs="宋体"/>
          <w:b/>
          <w:bCs/>
          <w:sz w:val="24"/>
          <w:lang w:val="en-US" w:eastAsia="zh-CN"/>
        </w:rPr>
        <w:t>其他</w:t>
      </w:r>
      <w:r>
        <w:rPr>
          <w:rFonts w:hint="eastAsia" w:ascii="宋体" w:hAnsi="宋体" w:eastAsia="宋体" w:cs="宋体"/>
          <w:b/>
          <w:bCs/>
          <w:sz w:val="24"/>
        </w:rPr>
        <w:t>部分（分值</w:t>
      </w:r>
      <w:r>
        <w:rPr>
          <w:rFonts w:hint="eastAsia" w:ascii="宋体" w:hAnsi="宋体" w:eastAsia="宋体" w:cs="宋体"/>
          <w:b/>
          <w:bCs/>
          <w:sz w:val="24"/>
          <w:lang w:val="en-US" w:eastAsia="zh-CN"/>
        </w:rPr>
        <w:t>10</w:t>
      </w:r>
      <w:r>
        <w:rPr>
          <w:rFonts w:hint="eastAsia" w:ascii="宋体" w:hAnsi="宋体" w:eastAsia="宋体" w:cs="宋体"/>
          <w:b/>
          <w:bCs/>
          <w:sz w:val="24"/>
        </w:rPr>
        <w:t>分）</w:t>
      </w:r>
    </w:p>
    <w:p w14:paraId="0A2F69D7">
      <w:pPr>
        <w:keepNext w:val="0"/>
        <w:keepLines w:val="0"/>
        <w:pageBreakBefore w:val="0"/>
        <w:wordWrap/>
        <w:overflowPunct/>
        <w:bidi w:val="0"/>
        <w:spacing w:line="300" w:lineRule="auto"/>
        <w:ind w:left="0" w:leftChars="0" w:right="0"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定标办法</w:t>
      </w:r>
    </w:p>
    <w:p w14:paraId="46AB7448">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.1总得分</w:t>
      </w:r>
    </w:p>
    <w:p w14:paraId="4704FC4A">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w:t>
      </w:r>
      <w:r>
        <w:rPr>
          <w:rFonts w:hint="eastAsia" w:ascii="宋体" w:hAnsi="宋体" w:eastAsia="宋体" w:cs="宋体"/>
          <w:color w:val="auto"/>
          <w:sz w:val="24"/>
          <w:lang w:val="en-US" w:eastAsia="zh-CN"/>
        </w:rPr>
        <w:t>技术</w:t>
      </w:r>
      <w:r>
        <w:rPr>
          <w:rFonts w:hint="eastAsia" w:ascii="宋体" w:hAnsi="宋体" w:eastAsia="宋体" w:cs="宋体"/>
          <w:color w:val="auto"/>
          <w:sz w:val="24"/>
        </w:rPr>
        <w:t>分+价格分</w:t>
      </w:r>
      <w:r>
        <w:rPr>
          <w:rFonts w:hint="eastAsia" w:ascii="宋体" w:hAnsi="宋体" w:eastAsia="宋体" w:cs="宋体"/>
          <w:color w:val="auto"/>
          <w:sz w:val="24"/>
          <w:lang w:val="en-US" w:eastAsia="zh-CN"/>
        </w:rPr>
        <w:t>+其他分</w:t>
      </w:r>
      <w:r>
        <w:rPr>
          <w:rFonts w:hint="eastAsia" w:ascii="宋体" w:hAnsi="宋体" w:eastAsia="宋体" w:cs="宋体"/>
          <w:color w:val="auto"/>
          <w:sz w:val="24"/>
        </w:rPr>
        <w:t>）。</w:t>
      </w:r>
    </w:p>
    <w:p w14:paraId="331698AC">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1160ABFE">
      <w:pPr>
        <w:keepNext w:val="0"/>
        <w:keepLines w:val="0"/>
        <w:pageBreakBefore w:val="0"/>
        <w:numPr>
          <w:ilvl w:val="0"/>
          <w:numId w:val="0"/>
        </w:numPr>
        <w:wordWrap/>
        <w:overflowPunct/>
        <w:bidi w:val="0"/>
        <w:spacing w:line="300" w:lineRule="auto"/>
        <w:ind w:left="0" w:leftChars="0" w:right="0" w:rightChars="0" w:firstLine="422" w:firstLineChars="175"/>
        <w:jc w:val="left"/>
        <w:outlineLvl w:val="0"/>
        <w:rPr>
          <w:rFonts w:hint="eastAsia" w:ascii="宋体" w:hAnsi="宋体" w:eastAsia="宋体" w:cs="宋体"/>
          <w:snapToGrid w:val="0"/>
          <w:color w:val="auto"/>
          <w:sz w:val="24"/>
          <w:szCs w:val="21"/>
          <w:highlight w:val="none"/>
          <w:lang w:val="en-US" w:eastAsia="zh-CN" w:bidi="ar-SA"/>
        </w:rPr>
      </w:pPr>
      <w:bookmarkStart w:id="95" w:name="_Toc7216"/>
      <w:bookmarkStart w:id="96" w:name="_Toc20197"/>
      <w:bookmarkStart w:id="97" w:name="_Toc12820"/>
      <w:r>
        <w:rPr>
          <w:rFonts w:hint="eastAsia" w:ascii="宋体" w:hAnsi="宋体" w:eastAsia="宋体" w:cs="宋体"/>
          <w:b/>
          <w:bCs/>
          <w:snapToGrid w:val="0"/>
          <w:color w:val="auto"/>
          <w:sz w:val="24"/>
          <w:szCs w:val="21"/>
          <w:highlight w:val="none"/>
          <w:lang w:val="en-US" w:eastAsia="zh-CN" w:bidi="ar-SA"/>
        </w:rPr>
        <w:t>5、</w:t>
      </w:r>
      <w:r>
        <w:rPr>
          <w:rFonts w:hint="eastAsia" w:ascii="宋体" w:hAnsi="宋体" w:eastAsia="宋体" w:cs="宋体"/>
          <w:snapToGrid w:val="0"/>
          <w:color w:val="auto"/>
          <w:sz w:val="24"/>
          <w:szCs w:val="21"/>
          <w:highlight w:val="none"/>
          <w:lang w:val="en-US" w:eastAsia="zh-CN" w:bidi="ar-SA"/>
        </w:rPr>
        <w:t>评标小组评委依据得分高低顺序依次确定中标候选人，评分以得分最高者作为第一中标候选人。如果出现并列得分最高，则确定价格较低者排名在前；价格投标仍相同时则采用抽签方式现场确定中标候选人。</w:t>
      </w:r>
    </w:p>
    <w:p w14:paraId="18246CC5">
      <w:pPr>
        <w:keepNext w:val="0"/>
        <w:keepLines w:val="0"/>
        <w:pageBreakBefore w:val="0"/>
        <w:numPr>
          <w:ilvl w:val="0"/>
          <w:numId w:val="0"/>
        </w:numPr>
        <w:wordWrap/>
        <w:overflowPunct/>
        <w:bidi w:val="0"/>
        <w:spacing w:line="300" w:lineRule="auto"/>
        <w:ind w:left="0" w:leftChars="0" w:right="0" w:firstLine="422" w:firstLineChars="175"/>
        <w:jc w:val="left"/>
        <w:outlineLvl w:val="0"/>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6、</w:t>
      </w:r>
      <w:r>
        <w:rPr>
          <w:rFonts w:hint="eastAsia" w:ascii="宋体" w:hAnsi="宋体" w:eastAsia="宋体" w:cs="宋体"/>
          <w:color w:val="auto"/>
          <w:sz w:val="24"/>
          <w:lang w:val="en-US" w:eastAsia="zh-CN"/>
        </w:rPr>
        <w:t>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p>
    <w:p w14:paraId="3859FA8B">
      <w:pPr>
        <w:keepNext w:val="0"/>
        <w:keepLines w:val="0"/>
        <w:pageBreakBefore w:val="0"/>
        <w:wordWrap/>
        <w:overflowPunct/>
        <w:bidi w:val="0"/>
        <w:spacing w:line="300" w:lineRule="auto"/>
        <w:ind w:left="0" w:leftChars="0" w:right="0"/>
        <w:jc w:val="left"/>
        <w:outlineLvl w:val="0"/>
        <w:rPr>
          <w:rFonts w:hint="eastAsia" w:ascii="宋体" w:hAnsi="宋体" w:eastAsia="宋体" w:cs="宋体"/>
          <w:color w:val="auto"/>
          <w:sz w:val="24"/>
          <w:lang w:val="en-US" w:eastAsia="zh-CN"/>
        </w:rPr>
      </w:pPr>
    </w:p>
    <w:p w14:paraId="180E514C">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6B745386">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7BF09433">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04DEF387">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3FBCD5AA">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3C302E43">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235DE4CA">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74E4DCE6">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1C5CA58C">
      <w:pPr>
        <w:pStyle w:val="2"/>
        <w:rPr>
          <w:rFonts w:hint="eastAsia" w:ascii="宋体" w:hAnsi="宋体" w:eastAsia="宋体" w:cs="宋体"/>
          <w:color w:val="auto"/>
          <w:sz w:val="24"/>
          <w:lang w:val="en-US" w:eastAsia="zh-CN"/>
        </w:rPr>
      </w:pPr>
    </w:p>
    <w:p w14:paraId="5F9B6DBC">
      <w:pPr>
        <w:pStyle w:val="2"/>
        <w:rPr>
          <w:rFonts w:hint="eastAsia" w:ascii="宋体" w:hAnsi="宋体" w:eastAsia="宋体" w:cs="宋体"/>
          <w:color w:val="auto"/>
          <w:sz w:val="24"/>
          <w:lang w:val="en-US" w:eastAsia="zh-CN"/>
        </w:rPr>
      </w:pPr>
    </w:p>
    <w:p w14:paraId="5387EADF">
      <w:pPr>
        <w:pStyle w:val="2"/>
        <w:rPr>
          <w:rFonts w:hint="eastAsia" w:ascii="宋体" w:hAnsi="宋体" w:eastAsia="宋体" w:cs="宋体"/>
          <w:color w:val="auto"/>
          <w:sz w:val="24"/>
          <w:lang w:val="en-US" w:eastAsia="zh-CN"/>
        </w:rPr>
      </w:pPr>
    </w:p>
    <w:p w14:paraId="3247D155">
      <w:pPr>
        <w:pStyle w:val="2"/>
        <w:rPr>
          <w:rFonts w:hint="eastAsia" w:ascii="宋体" w:hAnsi="宋体" w:eastAsia="宋体" w:cs="宋体"/>
          <w:color w:val="auto"/>
          <w:sz w:val="24"/>
          <w:lang w:val="en-US" w:eastAsia="zh-CN"/>
        </w:rPr>
      </w:pPr>
    </w:p>
    <w:p w14:paraId="45A1726B">
      <w:pPr>
        <w:pStyle w:val="2"/>
        <w:rPr>
          <w:rFonts w:hint="eastAsia" w:ascii="宋体" w:hAnsi="宋体" w:eastAsia="宋体" w:cs="宋体"/>
          <w:color w:val="auto"/>
          <w:sz w:val="24"/>
          <w:lang w:val="en-US" w:eastAsia="zh-CN"/>
        </w:rPr>
      </w:pPr>
    </w:p>
    <w:p w14:paraId="0018A786">
      <w:pPr>
        <w:pStyle w:val="2"/>
        <w:rPr>
          <w:rFonts w:hint="eastAsia" w:ascii="宋体" w:hAnsi="宋体" w:eastAsia="宋体" w:cs="宋体"/>
          <w:color w:val="auto"/>
          <w:sz w:val="24"/>
          <w:lang w:val="en-US" w:eastAsia="zh-CN"/>
        </w:rPr>
      </w:pPr>
    </w:p>
    <w:p w14:paraId="570086FB">
      <w:pPr>
        <w:pStyle w:val="2"/>
        <w:rPr>
          <w:rFonts w:hint="eastAsia" w:ascii="宋体" w:hAnsi="宋体" w:eastAsia="宋体" w:cs="宋体"/>
          <w:color w:val="auto"/>
          <w:sz w:val="24"/>
          <w:lang w:val="en-US" w:eastAsia="zh-CN"/>
        </w:rPr>
      </w:pPr>
    </w:p>
    <w:p w14:paraId="3675626D">
      <w:pPr>
        <w:pStyle w:val="2"/>
        <w:rPr>
          <w:rFonts w:hint="eastAsia" w:ascii="宋体" w:hAnsi="宋体" w:eastAsia="宋体" w:cs="宋体"/>
          <w:color w:val="auto"/>
          <w:sz w:val="24"/>
          <w:lang w:val="en-US" w:eastAsia="zh-CN"/>
        </w:rPr>
      </w:pPr>
    </w:p>
    <w:p w14:paraId="180D0FAE">
      <w:pPr>
        <w:pStyle w:val="2"/>
        <w:rPr>
          <w:rFonts w:hint="eastAsia" w:ascii="宋体" w:hAnsi="宋体" w:eastAsia="宋体" w:cs="宋体"/>
          <w:color w:val="auto"/>
          <w:sz w:val="24"/>
          <w:lang w:val="en-US" w:eastAsia="zh-CN"/>
        </w:rPr>
      </w:pPr>
    </w:p>
    <w:p w14:paraId="5F2CEC2D">
      <w:pPr>
        <w:pStyle w:val="2"/>
        <w:rPr>
          <w:rFonts w:hint="eastAsia" w:ascii="宋体" w:hAnsi="宋体" w:eastAsia="宋体" w:cs="宋体"/>
          <w:color w:val="auto"/>
          <w:sz w:val="24"/>
          <w:lang w:val="en-US" w:eastAsia="zh-CN"/>
        </w:rPr>
      </w:pPr>
    </w:p>
    <w:p w14:paraId="68F51EE8">
      <w:pPr>
        <w:pStyle w:val="2"/>
        <w:rPr>
          <w:rFonts w:hint="eastAsia" w:ascii="宋体" w:hAnsi="宋体" w:eastAsia="宋体" w:cs="宋体"/>
          <w:color w:val="auto"/>
          <w:sz w:val="24"/>
          <w:lang w:val="en-US" w:eastAsia="zh-CN"/>
        </w:rPr>
      </w:pPr>
    </w:p>
    <w:p w14:paraId="27A54C25">
      <w:pPr>
        <w:pStyle w:val="2"/>
        <w:rPr>
          <w:rFonts w:hint="eastAsia" w:ascii="宋体" w:hAnsi="宋体" w:eastAsia="宋体" w:cs="宋体"/>
          <w:color w:val="auto"/>
          <w:sz w:val="24"/>
          <w:lang w:val="en-US" w:eastAsia="zh-CN"/>
        </w:rPr>
      </w:pPr>
    </w:p>
    <w:p w14:paraId="32467C4C">
      <w:pPr>
        <w:pStyle w:val="2"/>
        <w:rPr>
          <w:rFonts w:hint="eastAsia" w:ascii="宋体" w:hAnsi="宋体" w:eastAsia="宋体" w:cs="宋体"/>
          <w:color w:val="auto"/>
          <w:sz w:val="24"/>
          <w:lang w:val="en-US" w:eastAsia="zh-CN"/>
        </w:rPr>
      </w:pPr>
    </w:p>
    <w:p w14:paraId="4F81C4B6">
      <w:pPr>
        <w:pStyle w:val="2"/>
        <w:rPr>
          <w:rFonts w:hint="eastAsia" w:ascii="宋体" w:hAnsi="宋体" w:eastAsia="宋体" w:cs="宋体"/>
          <w:color w:val="auto"/>
          <w:sz w:val="24"/>
          <w:lang w:val="en-US" w:eastAsia="zh-CN"/>
        </w:rPr>
      </w:pPr>
    </w:p>
    <w:p w14:paraId="0DADEF84">
      <w:pPr>
        <w:pStyle w:val="2"/>
        <w:rPr>
          <w:rFonts w:hint="eastAsia" w:ascii="宋体" w:hAnsi="宋体" w:eastAsia="宋体" w:cs="宋体"/>
          <w:color w:val="auto"/>
          <w:sz w:val="24"/>
          <w:lang w:val="en-US" w:eastAsia="zh-CN"/>
        </w:rPr>
      </w:pPr>
    </w:p>
    <w:p w14:paraId="6DC21A48">
      <w:pPr>
        <w:pStyle w:val="2"/>
        <w:rPr>
          <w:rFonts w:hint="eastAsia" w:ascii="宋体" w:hAnsi="宋体" w:eastAsia="宋体" w:cs="宋体"/>
          <w:color w:val="auto"/>
          <w:sz w:val="24"/>
          <w:lang w:val="en-US" w:eastAsia="zh-CN"/>
        </w:rPr>
      </w:pPr>
    </w:p>
    <w:p w14:paraId="4FCE3611">
      <w:pPr>
        <w:pStyle w:val="2"/>
        <w:rPr>
          <w:rFonts w:hint="eastAsia" w:ascii="宋体" w:hAnsi="宋体" w:eastAsia="宋体" w:cs="宋体"/>
          <w:color w:val="auto"/>
          <w:sz w:val="24"/>
          <w:lang w:val="en-US" w:eastAsia="zh-CN"/>
        </w:rPr>
      </w:pPr>
    </w:p>
    <w:p w14:paraId="63DFF6E8">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0B5E687C">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3549DC21">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6DF6CCB7">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五、技术要求</w:t>
      </w:r>
      <w:bookmarkEnd w:id="95"/>
      <w:bookmarkEnd w:id="96"/>
      <w:bookmarkEnd w:id="97"/>
    </w:p>
    <w:p w14:paraId="7059143A">
      <w:pPr>
        <w:pStyle w:val="8"/>
        <w:keepNext w:val="0"/>
        <w:keepLines w:val="0"/>
        <w:pageBreakBefore w:val="0"/>
        <w:wordWrap/>
        <w:overflowPunct/>
        <w:bidi w:val="0"/>
        <w:spacing w:line="300" w:lineRule="auto"/>
        <w:ind w:left="0" w:leftChars="0" w:right="0"/>
        <w:rPr>
          <w:rFonts w:hint="eastAsia" w:ascii="宋体" w:hAnsi="宋体" w:eastAsia="宋体" w:cs="宋体"/>
        </w:rPr>
      </w:pPr>
      <w:r>
        <w:rPr>
          <w:rFonts w:hint="eastAsia" w:ascii="宋体" w:hAnsi="宋体" w:eastAsia="宋体" w:cs="宋体"/>
        </w:rPr>
        <w:t>投标人应满足以下要求：</w:t>
      </w:r>
    </w:p>
    <w:p w14:paraId="7DFA96D7">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b/>
          <w:bCs/>
          <w:color w:val="auto"/>
          <w:lang w:val="en-US" w:eastAsia="zh-CN"/>
        </w:rPr>
      </w:pPr>
    </w:p>
    <w:p w14:paraId="5AEB19F0">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r>
        <w:rPr>
          <w:rFonts w:hint="eastAsia" w:ascii="宋体" w:hAnsi="宋体" w:eastAsia="宋体" w:cs="宋体"/>
          <w:color w:val="0000FF"/>
        </w:rPr>
        <w:fldChar w:fldCharType="begin"/>
      </w:r>
      <w:r>
        <w:rPr>
          <w:rFonts w:hint="eastAsia" w:ascii="宋体" w:hAnsi="宋体" w:eastAsia="宋体" w:cs="宋体"/>
          <w:color w:val="0000FF"/>
        </w:rPr>
        <w:instrText xml:space="preserve"> HYPERLINK "箱板立柱等图纸.pdf" </w:instrText>
      </w:r>
      <w:r>
        <w:rPr>
          <w:rFonts w:hint="eastAsia" w:ascii="宋体" w:hAnsi="宋体" w:eastAsia="宋体" w:cs="宋体"/>
          <w:color w:val="0000FF"/>
        </w:rPr>
        <w:fldChar w:fldCharType="separate"/>
      </w:r>
      <w:r>
        <w:rPr>
          <w:rStyle w:val="19"/>
          <w:rFonts w:hint="eastAsia" w:ascii="宋体" w:hAnsi="宋体" w:eastAsia="宋体" w:cs="宋体"/>
        </w:rPr>
        <w:t>箱板立柱等图纸.pdf</w:t>
      </w:r>
      <w:r>
        <w:rPr>
          <w:rFonts w:hint="eastAsia" w:ascii="宋体" w:hAnsi="宋体" w:eastAsia="宋体" w:cs="宋体"/>
          <w:color w:val="0000FF"/>
        </w:rPr>
        <w:fldChar w:fldCharType="end"/>
      </w:r>
    </w:p>
    <w:p w14:paraId="0B15E690">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11B5F65F">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bookmarkStart w:id="171" w:name="_GoBack"/>
      <w:bookmarkEnd w:id="171"/>
    </w:p>
    <w:p w14:paraId="2A88DB9A">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2B83B9AD">
      <w:pPr>
        <w:pStyle w:val="8"/>
        <w:keepNext w:val="0"/>
        <w:keepLines w:val="0"/>
        <w:pageBreakBefore w:val="0"/>
        <w:wordWrap/>
        <w:overflowPunct/>
        <w:bidi w:val="0"/>
        <w:spacing w:line="300" w:lineRule="auto"/>
        <w:ind w:left="0" w:leftChars="0" w:right="0"/>
        <w:jc w:val="center"/>
        <w:outlineLvl w:val="9"/>
        <w:rPr>
          <w:rFonts w:hint="eastAsia" w:ascii="宋体" w:hAnsi="宋体" w:eastAsia="宋体" w:cs="宋体"/>
          <w:b/>
          <w:bCs/>
          <w:color w:val="auto"/>
          <w:sz w:val="36"/>
          <w:szCs w:val="36"/>
          <w:lang w:val="en-US" w:eastAsia="zh-CN"/>
        </w:rPr>
        <w:sectPr>
          <w:headerReference r:id="rId7" w:type="default"/>
          <w:footerReference r:id="rId8" w:type="default"/>
          <w:pgSz w:w="11905" w:h="16838"/>
          <w:pgMar w:top="1440" w:right="1080" w:bottom="1440" w:left="1080" w:header="851" w:footer="1020" w:gutter="0"/>
          <w:pgNumType w:fmt="decimal"/>
          <w:cols w:space="0" w:num="1"/>
          <w:docGrid w:linePitch="312" w:charSpace="0"/>
        </w:sectPr>
      </w:pPr>
    </w:p>
    <w:p w14:paraId="31CA5DC7">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8" w:name="_Toc1084"/>
      <w:bookmarkStart w:id="99" w:name="_Toc30455"/>
      <w:bookmarkStart w:id="100" w:name="_Toc31981"/>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六、采购合同（模版）</w:t>
      </w:r>
      <w:bookmarkEnd w:id="98"/>
      <w:bookmarkEnd w:id="99"/>
      <w:bookmarkEnd w:id="100"/>
    </w:p>
    <w:p w14:paraId="739BF6FB">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left="0" w:leftChars="0" w:right="0"/>
        <w:jc w:val="center"/>
        <w:rPr>
          <w:rFonts w:hint="eastAsia" w:ascii="仿宋" w:hAnsi="仿宋" w:eastAsia="仿宋" w:cs="仿宋"/>
          <w:b/>
          <w:bCs/>
          <w:sz w:val="24"/>
          <w:szCs w:val="24"/>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合同编号：</w:t>
      </w:r>
    </w:p>
    <w:p w14:paraId="1CED5D6D">
      <w:pPr>
        <w:keepNext w:val="0"/>
        <w:keepLines w:val="0"/>
        <w:pageBreakBefore w:val="0"/>
        <w:kinsoku/>
        <w:wordWrap/>
        <w:overflowPunct/>
        <w:topLinePunct w:val="0"/>
        <w:autoSpaceDE w:val="0"/>
        <w:autoSpaceDN w:val="0"/>
        <w:bidi w:val="0"/>
        <w:adjustRightInd w:val="0"/>
        <w:spacing w:line="300" w:lineRule="auto"/>
        <w:ind w:left="0" w:leftChars="0" w:right="0"/>
        <w:rPr>
          <w:rFonts w:hint="eastAsia" w:ascii="仿宋" w:hAnsi="仿宋" w:eastAsia="仿宋" w:cs="仿宋"/>
          <w:sz w:val="24"/>
          <w:szCs w:val="24"/>
          <w:lang w:eastAsia="zh-CN"/>
        </w:rPr>
      </w:pPr>
      <w:r>
        <w:rPr>
          <w:rFonts w:hint="eastAsia" w:ascii="仿宋" w:hAnsi="仿宋" w:eastAsia="仿宋" w:cs="仿宋"/>
          <w:sz w:val="24"/>
          <w:szCs w:val="24"/>
          <w:lang w:val="en-US" w:eastAsia="zh-CN"/>
        </w:rPr>
        <w:t>甲方</w:t>
      </w:r>
      <w:r>
        <w:rPr>
          <w:rFonts w:hint="eastAsia" w:ascii="仿宋" w:hAnsi="仿宋" w:eastAsia="仿宋" w:cs="仿宋"/>
          <w:sz w:val="24"/>
          <w:szCs w:val="24"/>
        </w:rPr>
        <w:t>（</w:t>
      </w:r>
      <w:r>
        <w:rPr>
          <w:rFonts w:hint="eastAsia" w:ascii="仿宋" w:hAnsi="仿宋" w:eastAsia="仿宋" w:cs="仿宋"/>
          <w:sz w:val="24"/>
          <w:szCs w:val="24"/>
          <w:lang w:val="en-US" w:eastAsia="zh-CN"/>
        </w:rPr>
        <w:t>买</w:t>
      </w:r>
      <w:r>
        <w:rPr>
          <w:rFonts w:hint="eastAsia" w:ascii="仿宋" w:hAnsi="仿宋" w:eastAsia="仿宋" w:cs="仿宋"/>
          <w:sz w:val="24"/>
          <w:szCs w:val="24"/>
          <w:lang w:eastAsia="zh-CN"/>
        </w:rPr>
        <w:t>方</w:t>
      </w:r>
      <w:r>
        <w:rPr>
          <w:rFonts w:hint="eastAsia" w:ascii="仿宋" w:hAnsi="仿宋" w:eastAsia="仿宋" w:cs="仿宋"/>
          <w:sz w:val="24"/>
          <w:szCs w:val="24"/>
        </w:rPr>
        <w:t>）：中国机械总院集团海西（福建）分院有限公司</w:t>
      </w:r>
    </w:p>
    <w:p w14:paraId="2C4A2045">
      <w:pPr>
        <w:keepNext w:val="0"/>
        <w:keepLines w:val="0"/>
        <w:pageBreakBefore w:val="0"/>
        <w:kinsoku/>
        <w:wordWrap/>
        <w:overflowPunct/>
        <w:topLinePunct w:val="0"/>
        <w:autoSpaceDE w:val="0"/>
        <w:autoSpaceDN w:val="0"/>
        <w:bidi w:val="0"/>
        <w:adjustRightInd w:val="0"/>
        <w:spacing w:line="300" w:lineRule="auto"/>
        <w:ind w:left="0" w:leftChars="0" w:right="0" w:firstLine="6240" w:firstLineChars="2600"/>
        <w:rPr>
          <w:rFonts w:hint="eastAsia" w:ascii="仿宋" w:hAnsi="仿宋" w:eastAsia="仿宋" w:cs="仿宋"/>
          <w:color w:val="0000FF"/>
          <w:sz w:val="24"/>
          <w:szCs w:val="24"/>
          <w:lang w:eastAsia="zh-CN"/>
        </w:rPr>
      </w:pPr>
      <w:r>
        <w:rPr>
          <w:rFonts w:hint="eastAsia" w:ascii="仿宋" w:hAnsi="仿宋" w:eastAsia="仿宋" w:cs="仿宋"/>
          <w:sz w:val="24"/>
          <w:szCs w:val="24"/>
        </w:rPr>
        <w:t>签订地点：</w:t>
      </w:r>
      <w:r>
        <w:rPr>
          <w:rFonts w:hint="eastAsia" w:ascii="仿宋" w:hAnsi="仿宋" w:eastAsia="仿宋" w:cs="仿宋"/>
          <w:sz w:val="24"/>
          <w:szCs w:val="24"/>
          <w:lang w:val="en-US" w:eastAsia="zh-CN"/>
        </w:rPr>
        <w:t>福建省三明市沙县区</w:t>
      </w:r>
    </w:p>
    <w:p w14:paraId="749C783C">
      <w:pPr>
        <w:keepNext w:val="0"/>
        <w:keepLines w:val="0"/>
        <w:pageBreakBefore w:val="0"/>
        <w:kinsoku/>
        <w:wordWrap/>
        <w:overflowPunct/>
        <w:topLinePunct w:val="0"/>
        <w:autoSpaceDE w:val="0"/>
        <w:autoSpaceDN w:val="0"/>
        <w:bidi w:val="0"/>
        <w:adjustRightInd w:val="0"/>
        <w:spacing w:line="300" w:lineRule="auto"/>
        <w:ind w:left="0" w:leftChars="0" w:right="0"/>
        <w:rPr>
          <w:rFonts w:hint="eastAsia" w:ascii="仿宋" w:hAnsi="仿宋" w:eastAsia="仿宋" w:cs="仿宋"/>
          <w:sz w:val="24"/>
          <w:szCs w:val="24"/>
          <w:lang w:eastAsia="zh-CN"/>
        </w:rPr>
      </w:pPr>
      <w:r>
        <w:rPr>
          <w:rFonts w:hint="eastAsia" w:ascii="仿宋" w:hAnsi="仿宋" w:eastAsia="仿宋" w:cs="仿宋"/>
          <w:sz w:val="24"/>
          <w:szCs w:val="24"/>
          <w:lang w:val="en-US" w:eastAsia="zh-CN"/>
        </w:rPr>
        <w:t>乙方</w:t>
      </w:r>
      <w:r>
        <w:rPr>
          <w:rFonts w:hint="eastAsia" w:ascii="仿宋" w:hAnsi="仿宋" w:eastAsia="仿宋" w:cs="仿宋"/>
          <w:sz w:val="24"/>
          <w:szCs w:val="24"/>
        </w:rPr>
        <w:t>（</w:t>
      </w:r>
      <w:r>
        <w:rPr>
          <w:rFonts w:hint="eastAsia" w:ascii="仿宋" w:hAnsi="仿宋" w:eastAsia="仿宋" w:cs="仿宋"/>
          <w:sz w:val="24"/>
          <w:szCs w:val="24"/>
          <w:lang w:val="en-US" w:eastAsia="zh-CN"/>
        </w:rPr>
        <w:t>卖</w:t>
      </w:r>
      <w:r>
        <w:rPr>
          <w:rFonts w:hint="eastAsia" w:ascii="仿宋" w:hAnsi="仿宋" w:eastAsia="仿宋" w:cs="仿宋"/>
          <w:sz w:val="24"/>
          <w:szCs w:val="24"/>
          <w:lang w:eastAsia="zh-CN"/>
        </w:rPr>
        <w:t>方</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签订日期：</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14:paraId="1260BFC9">
      <w:pPr>
        <w:pStyle w:val="31"/>
        <w:keepNext w:val="0"/>
        <w:keepLines w:val="0"/>
        <w:pageBreakBefore w:val="0"/>
        <w:kinsoku/>
        <w:wordWrap/>
        <w:overflowPunct/>
        <w:topLinePunct w:val="0"/>
        <w:autoSpaceDE w:val="0"/>
        <w:autoSpaceDN w:val="0"/>
        <w:bidi w:val="0"/>
        <w:adjustRightInd w:val="0"/>
        <w:spacing w:line="300" w:lineRule="auto"/>
        <w:ind w:left="0" w:leftChars="0" w:right="0"/>
        <w:outlineLvl w:val="0"/>
        <w:rPr>
          <w:rFonts w:hint="eastAsia" w:ascii="仿宋" w:hAnsi="仿宋" w:eastAsia="仿宋" w:cs="仿宋"/>
          <w:sz w:val="24"/>
          <w:szCs w:val="24"/>
        </w:rPr>
      </w:pPr>
      <w:bookmarkStart w:id="101" w:name="_Toc23327"/>
      <w:bookmarkStart w:id="102" w:name="_Toc26450"/>
      <w:bookmarkStart w:id="103" w:name="_Toc9911"/>
      <w:bookmarkStart w:id="104" w:name="_Toc23106"/>
      <w:bookmarkStart w:id="105" w:name="_Toc8403"/>
      <w:r>
        <w:rPr>
          <w:rFonts w:hint="eastAsia" w:ascii="仿宋" w:hAnsi="仿宋" w:eastAsia="仿宋" w:cs="仿宋"/>
          <w:sz w:val="24"/>
          <w:szCs w:val="24"/>
        </w:rPr>
        <w:t>《中华人民共和国民法典》，并经甲乙双方友好协商，就以下事项达成一致并签订本合同：</w:t>
      </w:r>
      <w:bookmarkEnd w:id="101"/>
      <w:bookmarkEnd w:id="102"/>
      <w:bookmarkEnd w:id="103"/>
      <w:bookmarkEnd w:id="104"/>
      <w:bookmarkEnd w:id="105"/>
    </w:p>
    <w:p w14:paraId="48D568D9">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left="0" w:leftChars="0" w:right="0" w:firstLine="360" w:firstLineChars="150"/>
        <w:outlineLvl w:val="0"/>
        <w:rPr>
          <w:rFonts w:hint="eastAsia" w:ascii="仿宋" w:hAnsi="仿宋" w:eastAsia="仿宋" w:cs="仿宋"/>
          <w:sz w:val="24"/>
          <w:szCs w:val="24"/>
        </w:rPr>
      </w:pPr>
      <w:bookmarkStart w:id="106" w:name="_Toc4585"/>
      <w:bookmarkStart w:id="107" w:name="_Toc16223"/>
      <w:bookmarkStart w:id="108" w:name="_Toc10341"/>
      <w:bookmarkStart w:id="109" w:name="_Toc13700"/>
      <w:bookmarkStart w:id="110" w:name="_Toc2497"/>
      <w:r>
        <w:rPr>
          <w:rFonts w:hint="eastAsia" w:ascii="仿宋" w:hAnsi="仿宋" w:eastAsia="仿宋" w:cs="仿宋"/>
          <w:sz w:val="24"/>
          <w:szCs w:val="24"/>
        </w:rPr>
        <w:t>一、品种、型号、数量</w:t>
      </w:r>
      <w:bookmarkEnd w:id="106"/>
      <w:bookmarkEnd w:id="107"/>
      <w:bookmarkEnd w:id="108"/>
      <w:bookmarkEnd w:id="109"/>
      <w:bookmarkEnd w:id="110"/>
    </w:p>
    <w:p w14:paraId="6423DE06">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left="0" w:leftChars="0" w:right="0" w:firstLine="360" w:firstLineChars="150"/>
        <w:rPr>
          <w:rFonts w:hint="eastAsia" w:ascii="仿宋" w:hAnsi="仿宋" w:eastAsia="仿宋" w:cs="仿宋"/>
          <w:sz w:val="24"/>
          <w:szCs w:val="24"/>
          <w:lang w:eastAsia="zh-CN"/>
        </w:rPr>
      </w:pPr>
      <w:r>
        <w:rPr>
          <w:rFonts w:hint="eastAsia" w:ascii="仿宋" w:hAnsi="仿宋" w:eastAsia="仿宋" w:cs="仿宋"/>
          <w:sz w:val="24"/>
          <w:szCs w:val="24"/>
        </w:rPr>
        <w:t>1、该项目供应的材料按照设计预算规格、数量具体如下：</w:t>
      </w:r>
    </w:p>
    <w:tbl>
      <w:tblPr>
        <w:tblStyle w:val="16"/>
        <w:tblpPr w:leftFromText="180" w:rightFromText="180" w:vertAnchor="text" w:horzAnchor="page" w:tblpX="1480" w:tblpY="107"/>
        <w:tblOverlap w:val="never"/>
        <w:tblW w:w="9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9"/>
        <w:gridCol w:w="2313"/>
        <w:gridCol w:w="742"/>
        <w:gridCol w:w="1091"/>
        <w:gridCol w:w="1295"/>
        <w:gridCol w:w="1768"/>
      </w:tblGrid>
      <w:tr w14:paraId="38F1D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19" w:type="dxa"/>
            <w:tcBorders>
              <w:top w:val="single" w:color="000000" w:sz="4" w:space="0"/>
              <w:left w:val="single" w:color="000000" w:sz="4" w:space="0"/>
              <w:bottom w:val="single" w:color="000000" w:sz="4" w:space="0"/>
              <w:right w:val="single" w:color="000000" w:sz="4" w:space="0"/>
            </w:tcBorders>
            <w:noWrap/>
            <w:vAlign w:val="center"/>
          </w:tcPr>
          <w:p w14:paraId="0D871BBE">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313" w:type="dxa"/>
            <w:tcBorders>
              <w:top w:val="single" w:color="000000" w:sz="4" w:space="0"/>
              <w:left w:val="single" w:color="000000" w:sz="4" w:space="0"/>
              <w:bottom w:val="single" w:color="000000" w:sz="4" w:space="0"/>
              <w:right w:val="single" w:color="000000" w:sz="4" w:space="0"/>
            </w:tcBorders>
            <w:noWrap/>
            <w:vAlign w:val="center"/>
          </w:tcPr>
          <w:p w14:paraId="215E3265">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材料规格</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3AFB6C5">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A71396C">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667E8A3E">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20566FBD">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总价（元）</w:t>
            </w:r>
          </w:p>
        </w:tc>
      </w:tr>
      <w:tr w14:paraId="7ACE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119" w:type="dxa"/>
            <w:tcBorders>
              <w:top w:val="single" w:color="000000" w:sz="4" w:space="0"/>
              <w:left w:val="single" w:color="000000" w:sz="4" w:space="0"/>
              <w:bottom w:val="single" w:color="000000" w:sz="4" w:space="0"/>
              <w:right w:val="single" w:color="000000" w:sz="4" w:space="0"/>
            </w:tcBorders>
            <w:noWrap w:val="0"/>
            <w:vAlign w:val="center"/>
          </w:tcPr>
          <w:p w14:paraId="3DC5AB0E">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lang w:val="en-US" w:eastAsia="zh-CN"/>
              </w:rPr>
            </w:pP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57574770">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754F19B">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6710E16">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lang w:val="en-US" w:eastAsia="zh-CN"/>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7FAC0175">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36A6BBA9">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sz w:val="24"/>
                <w:szCs w:val="24"/>
                <w:lang w:val="en-US" w:eastAsia="zh-CN"/>
              </w:rPr>
            </w:pPr>
          </w:p>
        </w:tc>
      </w:tr>
      <w:tr w14:paraId="08F2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6518CD26">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小写金额：</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3CEEE50B">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lang w:val="en-US" w:eastAsia="zh-CN"/>
              </w:rPr>
            </w:pPr>
          </w:p>
        </w:tc>
      </w:tr>
      <w:tr w14:paraId="136FD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156865A4">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人民币大写：元整</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2FE4AE29">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含13%增值税票</w:t>
            </w:r>
          </w:p>
        </w:tc>
      </w:tr>
    </w:tbl>
    <w:p w14:paraId="59FB1F57">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以上货物价格为固定单价，采购货物的实际数量以</w:t>
      </w:r>
      <w:r>
        <w:rPr>
          <w:rFonts w:hint="eastAsia" w:ascii="仿宋" w:hAnsi="仿宋" w:eastAsia="仿宋" w:cs="仿宋"/>
          <w:sz w:val="24"/>
          <w:szCs w:val="24"/>
          <w:lang w:val="en-US" w:eastAsia="zh-CN"/>
        </w:rPr>
        <w:t>最终以实际过磅重量结算。</w:t>
      </w:r>
      <w:r>
        <w:rPr>
          <w:rFonts w:hint="eastAsia" w:ascii="仿宋" w:hAnsi="仿宋" w:eastAsia="仿宋" w:cs="仿宋"/>
          <w:sz w:val="24"/>
          <w:szCs w:val="24"/>
          <w:lang w:val="zh-CN"/>
        </w:rPr>
        <w:t>（</w:t>
      </w:r>
      <w:r>
        <w:rPr>
          <w:rFonts w:hint="eastAsia" w:ascii="仿宋" w:hAnsi="仿宋" w:eastAsia="仿宋" w:cs="仿宋"/>
          <w:sz w:val="24"/>
          <w:szCs w:val="24"/>
        </w:rPr>
        <w:t>如采购总金额有超过5%-10％范围内需签订补充协议</w:t>
      </w:r>
      <w:r>
        <w:rPr>
          <w:rFonts w:hint="eastAsia" w:ascii="仿宋" w:hAnsi="仿宋" w:eastAsia="仿宋" w:cs="仿宋"/>
          <w:kern w:val="0"/>
          <w:sz w:val="24"/>
          <w:szCs w:val="24"/>
        </w:rPr>
        <w:t>）</w:t>
      </w:r>
      <w:r>
        <w:rPr>
          <w:rFonts w:hint="eastAsia" w:ascii="仿宋" w:hAnsi="仿宋" w:eastAsia="仿宋" w:cs="仿宋"/>
          <w:kern w:val="0"/>
          <w:sz w:val="24"/>
          <w:szCs w:val="24"/>
          <w:lang w:val="zh-CN"/>
        </w:rPr>
        <w:t>，货物价格包括产品制造、损耗、售后服务、税收｛</w:t>
      </w:r>
      <w:r>
        <w:rPr>
          <w:rFonts w:hint="eastAsia" w:ascii="仿宋" w:hAnsi="仿宋" w:eastAsia="仿宋" w:cs="仿宋"/>
          <w:kern w:val="0"/>
          <w:sz w:val="24"/>
          <w:szCs w:val="24"/>
        </w:rPr>
        <w:t>乙方</w:t>
      </w:r>
      <w:r>
        <w:rPr>
          <w:rFonts w:hint="eastAsia" w:ascii="仿宋" w:hAnsi="仿宋" w:eastAsia="仿宋" w:cs="仿宋"/>
          <w:kern w:val="0"/>
          <w:sz w:val="24"/>
          <w:szCs w:val="24"/>
          <w:lang w:val="zh-CN"/>
        </w:rPr>
        <w:t>提供13%的增值税专用发票（若国家政策法规另有规定的，按新规定执行,价格调整以不含税价为基准）以及相关规定须交纳的其它费用等。</w:t>
      </w:r>
    </w:p>
    <w:p w14:paraId="0713EA3F">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二、质量要求、技术标准：按照甲方要求组织生产，</w:t>
      </w:r>
      <w:r>
        <w:rPr>
          <w:rFonts w:hint="eastAsia" w:ascii="仿宋" w:hAnsi="仿宋" w:eastAsia="仿宋" w:cs="仿宋"/>
          <w:color w:val="auto"/>
          <w:kern w:val="0"/>
          <w:sz w:val="24"/>
          <w:szCs w:val="24"/>
          <w:highlight w:val="none"/>
          <w:lang w:val="zh-CN"/>
        </w:rPr>
        <w:t>产品符合标准编号为</w:t>
      </w:r>
      <w:r>
        <w:rPr>
          <w:rFonts w:hint="eastAsia" w:ascii="仿宋" w:hAnsi="仿宋" w:eastAsia="仿宋" w:cs="仿宋"/>
          <w:color w:val="auto"/>
          <w:kern w:val="0"/>
          <w:sz w:val="24"/>
          <w:szCs w:val="24"/>
          <w:highlight w:val="none"/>
          <w:u w:val="single"/>
          <w:lang w:val="en-US" w:eastAsia="zh-CN"/>
        </w:rPr>
        <w:t>DCBA</w:t>
      </w:r>
      <w:r>
        <w:rPr>
          <w:rFonts w:hint="eastAsia" w:ascii="仿宋" w:hAnsi="仿宋" w:eastAsia="仿宋" w:cs="仿宋"/>
          <w:color w:val="auto"/>
          <w:kern w:val="0"/>
          <w:sz w:val="24"/>
          <w:szCs w:val="24"/>
          <w:highlight w:val="none"/>
          <w:lang w:val="zh-CN"/>
        </w:rPr>
        <w:t>（A、国家标准；B、行业标准；C、出卖方企业标准；D、双方协议标准）</w:t>
      </w:r>
      <w:r>
        <w:rPr>
          <w:rFonts w:hint="eastAsia" w:ascii="仿宋" w:hAnsi="仿宋" w:eastAsia="仿宋" w:cs="仿宋"/>
          <w:kern w:val="0"/>
          <w:sz w:val="24"/>
          <w:szCs w:val="24"/>
          <w:lang w:val="zh-CN"/>
        </w:rPr>
        <w:t>。</w:t>
      </w:r>
    </w:p>
    <w:p w14:paraId="2BE68461">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1、理化指标：</w:t>
      </w:r>
    </w:p>
    <w:tbl>
      <w:tblPr>
        <w:tblStyle w:val="16"/>
        <w:tblW w:w="9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2"/>
        <w:gridCol w:w="1128"/>
        <w:gridCol w:w="1080"/>
        <w:gridCol w:w="1104"/>
        <w:gridCol w:w="1145"/>
        <w:gridCol w:w="943"/>
        <w:gridCol w:w="1308"/>
        <w:gridCol w:w="1337"/>
      </w:tblGrid>
      <w:tr w14:paraId="77AC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0208FBE4">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38052C7">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体积密度</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A725CB1">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电阻率</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A9B6FD2">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抗折强度</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0BE027EB">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抗压强度</w:t>
            </w: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7A2B4FDE">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灰分</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69E0AA5">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气孔率</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021AC7DB">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氧化性</w:t>
            </w:r>
          </w:p>
        </w:tc>
      </w:tr>
      <w:tr w14:paraId="0F15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669092E1">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4FC1637">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g/cm³</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A6CA83B">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μΩm</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6B8720B">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Mpa</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59425601">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Mpa</w:t>
            </w: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661B8C22">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PPM</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D04568E">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0FFFF90D">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mg/(g.h)</w:t>
            </w:r>
          </w:p>
        </w:tc>
      </w:tr>
      <w:tr w14:paraId="3A92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5675CB4E">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数值</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2758745">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43FC859">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B1EAA9D">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4D66E7A0">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13CC1402">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56E9296">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359CD7C0">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r>
    </w:tbl>
    <w:p w14:paraId="3EF2E7DD">
      <w:pPr>
        <w:keepNext w:val="0"/>
        <w:keepLines w:val="0"/>
        <w:pageBreakBefore w:val="0"/>
        <w:kinsoku/>
        <w:wordWrap/>
        <w:overflowPunct/>
        <w:topLinePunct w:val="0"/>
        <w:autoSpaceDE w:val="0"/>
        <w:autoSpaceDN w:val="0"/>
        <w:bidi w:val="0"/>
        <w:adjustRightInd w:val="0"/>
        <w:spacing w:line="300" w:lineRule="auto"/>
        <w:ind w:left="0" w:leftChars="0" w:right="0" w:firstLine="960" w:firstLineChars="4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2、若产品加工时出现裂纹、崩边、气孔、沙眼、麻裂、蜂窝裂等质量问题，</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方无条件退货，退货的往返运费均由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方承担。</w:t>
      </w:r>
    </w:p>
    <w:p w14:paraId="65ECA9F4">
      <w:pPr>
        <w:keepNext w:val="0"/>
        <w:keepLines w:val="0"/>
        <w:pageBreakBefore w:val="0"/>
        <w:kinsoku/>
        <w:wordWrap/>
        <w:overflowPunct/>
        <w:topLinePunct w:val="0"/>
        <w:autoSpaceDE w:val="0"/>
        <w:autoSpaceDN w:val="0"/>
        <w:bidi w:val="0"/>
        <w:adjustRightInd w:val="0"/>
        <w:spacing w:line="300" w:lineRule="auto"/>
        <w:ind w:left="0" w:leftChars="0" w:right="0"/>
        <w:outlineLvl w:val="0"/>
        <w:rPr>
          <w:rFonts w:hint="eastAsia" w:ascii="仿宋" w:hAnsi="仿宋" w:eastAsia="仿宋" w:cs="仿宋"/>
          <w:kern w:val="0"/>
          <w:sz w:val="24"/>
          <w:szCs w:val="24"/>
          <w:lang w:val="zh-CN"/>
        </w:rPr>
      </w:pPr>
      <w:bookmarkStart w:id="111" w:name="_Toc27460"/>
      <w:bookmarkStart w:id="112" w:name="_Toc31312"/>
      <w:bookmarkStart w:id="113" w:name="_Toc14603"/>
      <w:bookmarkStart w:id="114" w:name="_Toc3439"/>
      <w:bookmarkStart w:id="115" w:name="_Toc11962"/>
      <w:r>
        <w:rPr>
          <w:rFonts w:hint="eastAsia" w:ascii="仿宋" w:hAnsi="仿宋" w:eastAsia="仿宋" w:cs="仿宋"/>
          <w:kern w:val="0"/>
          <w:sz w:val="24"/>
          <w:szCs w:val="24"/>
          <w:lang w:val="zh-CN"/>
        </w:rPr>
        <w:t>三、交货方式、交货地点、履行地点、接收单位：</w:t>
      </w:r>
      <w:bookmarkEnd w:id="111"/>
      <w:bookmarkEnd w:id="112"/>
      <w:bookmarkEnd w:id="113"/>
      <w:bookmarkEnd w:id="114"/>
      <w:bookmarkEnd w:id="115"/>
    </w:p>
    <w:p w14:paraId="117606AD">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1、交货方式：由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方代办托运至指定地点，运费、</w:t>
      </w:r>
      <w:r>
        <w:rPr>
          <w:rFonts w:hint="eastAsia" w:ascii="仿宋" w:hAnsi="仿宋" w:eastAsia="仿宋" w:cs="仿宋"/>
          <w:kern w:val="0"/>
          <w:sz w:val="24"/>
          <w:szCs w:val="24"/>
          <w:lang w:val="en-US" w:eastAsia="zh-CN"/>
        </w:rPr>
        <w:t>过磅</w:t>
      </w:r>
      <w:r>
        <w:rPr>
          <w:rFonts w:hint="eastAsia" w:ascii="仿宋" w:hAnsi="仿宋" w:eastAsia="仿宋" w:cs="仿宋"/>
          <w:kern w:val="0"/>
          <w:sz w:val="24"/>
          <w:szCs w:val="24"/>
          <w:lang w:val="zh-CN"/>
        </w:rPr>
        <w:t>费、和运输保险等费用由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方承担。</w:t>
      </w:r>
    </w:p>
    <w:p w14:paraId="5F28AD69">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zh-CN"/>
        </w:rPr>
        <w:t>2、交货地点：福建省三明市沙县区金沙园创新东路413号</w:t>
      </w: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lang w:val="zh-CN"/>
        </w:rPr>
        <w:t>#厂房</w:t>
      </w:r>
      <w:r>
        <w:rPr>
          <w:rFonts w:hint="eastAsia" w:ascii="仿宋" w:hAnsi="仿宋" w:eastAsia="仿宋" w:cs="仿宋"/>
          <w:kern w:val="0"/>
          <w:sz w:val="24"/>
          <w:szCs w:val="24"/>
          <w:lang w:val="en-US" w:eastAsia="zh-CN"/>
        </w:rPr>
        <w:t>,任国慧13375907372。</w:t>
      </w:r>
    </w:p>
    <w:p w14:paraId="5C6A5D1B">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3、履行地点：</w:t>
      </w:r>
      <w:r>
        <w:rPr>
          <w:rFonts w:hint="eastAsia" w:ascii="仿宋" w:hAnsi="仿宋" w:eastAsia="仿宋" w:cs="仿宋"/>
          <w:kern w:val="0"/>
          <w:sz w:val="24"/>
          <w:szCs w:val="24"/>
          <w:lang w:val="en-US" w:eastAsia="zh-CN"/>
        </w:rPr>
        <w:t>福建省三明市沙县区</w:t>
      </w:r>
    </w:p>
    <w:p w14:paraId="3A941731">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highlight w:val="none"/>
          <w:lang w:val="zh-CN"/>
        </w:rPr>
        <w:t>4.供货清单：</w:t>
      </w:r>
      <w:r>
        <w:rPr>
          <w:rFonts w:hint="eastAsia" w:ascii="仿宋" w:hAnsi="仿宋" w:eastAsia="仿宋" w:cs="仿宋"/>
          <w:kern w:val="0"/>
          <w:sz w:val="24"/>
          <w:szCs w:val="24"/>
          <w:highlight w:val="none"/>
          <w:lang w:val="en-US" w:eastAsia="zh-CN"/>
        </w:rPr>
        <w:t>送货单、过磅单</w:t>
      </w:r>
      <w:r>
        <w:rPr>
          <w:rFonts w:hint="eastAsia" w:ascii="仿宋" w:hAnsi="仿宋" w:eastAsia="仿宋" w:cs="仿宋"/>
          <w:kern w:val="0"/>
          <w:sz w:val="24"/>
          <w:szCs w:val="24"/>
          <w:lang w:val="zh-CN"/>
        </w:rPr>
        <w:t>。</w:t>
      </w:r>
    </w:p>
    <w:p w14:paraId="1C57BA1E">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lang w:val="en-US" w:eastAsia="zh-CN"/>
        </w:rPr>
      </w:pPr>
      <w:bookmarkStart w:id="116" w:name="_Toc1247"/>
      <w:bookmarkStart w:id="117" w:name="_Toc27088"/>
      <w:bookmarkStart w:id="118" w:name="_Toc905"/>
      <w:bookmarkStart w:id="119" w:name="_Toc25410"/>
      <w:bookmarkStart w:id="120" w:name="_Toc9492"/>
      <w:r>
        <w:rPr>
          <w:rFonts w:hint="eastAsia" w:ascii="仿宋" w:hAnsi="仿宋" w:eastAsia="仿宋" w:cs="仿宋"/>
          <w:kern w:val="0"/>
          <w:sz w:val="24"/>
          <w:szCs w:val="24"/>
          <w:lang w:val="zh-CN"/>
        </w:rPr>
        <w:t>四、交货日期：</w:t>
      </w:r>
      <w:r>
        <w:rPr>
          <w:rFonts w:hint="eastAsia" w:ascii="仿宋" w:hAnsi="仿宋" w:eastAsia="仿宋" w:cs="仿宋"/>
          <w:kern w:val="0"/>
          <w:sz w:val="24"/>
          <w:szCs w:val="24"/>
          <w:lang w:val="en-US" w:eastAsia="zh-CN"/>
        </w:rPr>
        <w:t>合同签订后3天内发出。</w:t>
      </w:r>
      <w:bookmarkEnd w:id="116"/>
      <w:bookmarkEnd w:id="117"/>
      <w:bookmarkEnd w:id="118"/>
      <w:bookmarkEnd w:id="119"/>
      <w:bookmarkEnd w:id="120"/>
    </w:p>
    <w:p w14:paraId="6C658825">
      <w:pPr>
        <w:keepNext w:val="0"/>
        <w:keepLines w:val="0"/>
        <w:pageBreakBefore w:val="0"/>
        <w:kinsoku/>
        <w:wordWrap/>
        <w:overflowPunct/>
        <w:topLinePunct w:val="0"/>
        <w:autoSpaceDE w:val="0"/>
        <w:autoSpaceDN w:val="0"/>
        <w:bidi w:val="0"/>
        <w:adjustRightInd w:val="0"/>
        <w:spacing w:line="300" w:lineRule="auto"/>
        <w:ind w:left="0" w:leftChars="0" w:right="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五、包装标准与回收方法：满足运输及甲方要求的包装方式，乙方负责包装并承担包装费用。</w:t>
      </w:r>
    </w:p>
    <w:p w14:paraId="31920F35">
      <w:pPr>
        <w:keepNext w:val="0"/>
        <w:keepLines w:val="0"/>
        <w:pageBreakBefore w:val="0"/>
        <w:tabs>
          <w:tab w:val="left" w:pos="1200"/>
        </w:tabs>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六、验收标准及方法：产品按本合同第二条约定的质量标准进行验收，由甲方和乙方共同完成。乙方在验收前必须向甲方提供产品</w:t>
      </w:r>
      <w:r>
        <w:rPr>
          <w:rFonts w:hint="eastAsia" w:ascii="仿宋" w:hAnsi="仿宋" w:eastAsia="仿宋" w:cs="仿宋"/>
          <w:kern w:val="0"/>
          <w:sz w:val="24"/>
          <w:szCs w:val="24"/>
          <w:lang w:val="en-US" w:eastAsia="zh-CN"/>
        </w:rPr>
        <w:t>送货单、过磅单</w:t>
      </w:r>
      <w:r>
        <w:rPr>
          <w:rFonts w:hint="eastAsia" w:ascii="仿宋" w:hAnsi="仿宋" w:eastAsia="仿宋" w:cs="仿宋"/>
          <w:kern w:val="0"/>
          <w:sz w:val="24"/>
          <w:szCs w:val="24"/>
          <w:lang w:val="zh-CN"/>
        </w:rPr>
        <w:t>等资料。</w:t>
      </w:r>
    </w:p>
    <w:p w14:paraId="4151AA58">
      <w:pPr>
        <w:keepNext w:val="0"/>
        <w:keepLines w:val="0"/>
        <w:pageBreakBefore w:val="0"/>
        <w:kinsoku/>
        <w:wordWrap/>
        <w:overflowPunct/>
        <w:topLinePunct w:val="0"/>
        <w:autoSpaceDE w:val="0"/>
        <w:autoSpaceDN w:val="0"/>
        <w:bidi w:val="0"/>
        <w:adjustRightInd w:val="0"/>
        <w:spacing w:line="300" w:lineRule="auto"/>
        <w:ind w:left="0" w:leftChars="0" w:right="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验收规则</w:t>
      </w:r>
    </w:p>
    <w:p w14:paraId="44E57535">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1、验收标准：所有产品均按国家及行业标准的相关规定、本采购文件、谈判文件及投标样品相关内容进行验收。</w:t>
      </w:r>
    </w:p>
    <w:p w14:paraId="0B14FEC0">
      <w:pPr>
        <w:keepNext w:val="0"/>
        <w:keepLines w:val="0"/>
        <w:pageBreakBefore w:val="0"/>
        <w:tabs>
          <w:tab w:val="left" w:pos="0"/>
        </w:tabs>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2、验收程序如下：</w:t>
      </w:r>
    </w:p>
    <w:p w14:paraId="21BE8810">
      <w:pPr>
        <w:keepNext w:val="0"/>
        <w:keepLines w:val="0"/>
        <w:pageBreakBefore w:val="0"/>
        <w:tabs>
          <w:tab w:val="left" w:pos="0"/>
        </w:tabs>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(1)出厂检验：乙方在产品出厂前，应按产品技术标准规定的检验项目和试验方法进行全面检验。乙方应随同产品出具原产地证书、出厂检验报告及产品质量合格证等，结果必须符合前款验收标准的要求。</w:t>
      </w:r>
    </w:p>
    <w:p w14:paraId="1F4A82D0">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w:t>
      </w:r>
      <w:r>
        <w:rPr>
          <w:rFonts w:hint="eastAsia" w:ascii="仿宋" w:hAnsi="仿宋" w:eastAsia="仿宋" w:cs="仿宋"/>
          <w:kern w:val="0"/>
          <w:sz w:val="24"/>
          <w:szCs w:val="24"/>
        </w:rPr>
        <w:t>最终验收：</w:t>
      </w:r>
      <w:r>
        <w:rPr>
          <w:rFonts w:hint="eastAsia" w:ascii="仿宋" w:hAnsi="仿宋" w:eastAsia="仿宋" w:cs="仿宋"/>
          <w:kern w:val="0"/>
          <w:sz w:val="24"/>
          <w:szCs w:val="24"/>
          <w:lang w:val="zh-CN"/>
        </w:rPr>
        <w:t>验收时，乙方所供到场货物与本合同约定的质量标准或样品（产品经双方确认后封样各自保存，出现偏差时以样品为准）不相符，甲方可要求退货，退货的往返运费均由乙方承担。</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方验收人：王海冰电话：13606353440。</w:t>
      </w:r>
    </w:p>
    <w:p w14:paraId="29267460">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lang w:val="zh-CN"/>
        </w:rPr>
      </w:pPr>
      <w:bookmarkStart w:id="121" w:name="_Toc25848"/>
      <w:bookmarkStart w:id="122" w:name="_Toc12507"/>
      <w:bookmarkStart w:id="123" w:name="_Toc4452"/>
      <w:bookmarkStart w:id="124" w:name="_Toc15806"/>
      <w:bookmarkStart w:id="125" w:name="_Toc14045"/>
      <w:r>
        <w:rPr>
          <w:rFonts w:hint="eastAsia" w:ascii="仿宋" w:hAnsi="仿宋" w:eastAsia="仿宋" w:cs="仿宋"/>
          <w:kern w:val="0"/>
          <w:sz w:val="24"/>
          <w:szCs w:val="24"/>
          <w:lang w:val="zh-CN"/>
        </w:rPr>
        <w:t>七、结算</w:t>
      </w:r>
      <w:r>
        <w:rPr>
          <w:rFonts w:hint="eastAsia" w:ascii="仿宋" w:hAnsi="仿宋" w:eastAsia="仿宋" w:cs="仿宋"/>
          <w:kern w:val="0"/>
          <w:sz w:val="24"/>
          <w:szCs w:val="24"/>
        </w:rPr>
        <w:t>条件与</w:t>
      </w:r>
      <w:r>
        <w:rPr>
          <w:rFonts w:hint="eastAsia" w:ascii="仿宋" w:hAnsi="仿宋" w:eastAsia="仿宋" w:cs="仿宋"/>
          <w:kern w:val="0"/>
          <w:sz w:val="24"/>
          <w:szCs w:val="24"/>
          <w:lang w:val="zh-CN"/>
        </w:rPr>
        <w:t>方式：</w:t>
      </w:r>
      <w:bookmarkEnd w:id="121"/>
      <w:bookmarkEnd w:id="122"/>
      <w:bookmarkEnd w:id="123"/>
      <w:bookmarkEnd w:id="124"/>
      <w:bookmarkEnd w:id="125"/>
    </w:p>
    <w:p w14:paraId="7A4F212B">
      <w:pPr>
        <w:pStyle w:val="2"/>
        <w:keepNext w:val="0"/>
        <w:keepLines w:val="0"/>
        <w:pageBreakBefore w:val="0"/>
        <w:kinsoku/>
        <w:wordWrap/>
        <w:overflowPunct/>
        <w:topLinePunct w:val="0"/>
        <w:autoSpaceDE w:val="0"/>
        <w:autoSpaceDN w:val="0"/>
        <w:bidi w:val="0"/>
        <w:adjustRightInd w:val="0"/>
        <w:spacing w:after="0" w:line="30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结算条件</w:t>
      </w:r>
    </w:p>
    <w:p w14:paraId="098D1EAA">
      <w:pPr>
        <w:pStyle w:val="2"/>
        <w:keepNext w:val="0"/>
        <w:keepLines w:val="0"/>
        <w:pageBreakBefore w:val="0"/>
        <w:kinsoku/>
        <w:wordWrap/>
        <w:overflowPunct/>
        <w:topLinePunct w:val="0"/>
        <w:autoSpaceDE w:val="0"/>
        <w:autoSpaceDN w:val="0"/>
        <w:bidi w:val="0"/>
        <w:adjustRightInd w:val="0"/>
        <w:spacing w:after="0" w:line="30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货到甲方指定工厂</w:t>
      </w:r>
      <w:r>
        <w:rPr>
          <w:rFonts w:hint="eastAsia" w:ascii="仿宋" w:hAnsi="仿宋" w:eastAsia="仿宋" w:cs="仿宋"/>
          <w:sz w:val="24"/>
          <w:szCs w:val="24"/>
        </w:rPr>
        <w:t>，要求</w:t>
      </w:r>
      <w:r>
        <w:rPr>
          <w:rFonts w:hint="eastAsia" w:ascii="仿宋" w:hAnsi="仿宋" w:eastAsia="仿宋" w:cs="仿宋"/>
          <w:sz w:val="24"/>
          <w:szCs w:val="24"/>
          <w:lang w:val="en-US" w:eastAsia="zh-CN"/>
        </w:rPr>
        <w:t>乙方提供</w:t>
      </w:r>
      <w:r>
        <w:rPr>
          <w:rFonts w:hint="eastAsia" w:ascii="仿宋" w:hAnsi="仿宋" w:eastAsia="仿宋" w:cs="仿宋"/>
          <w:sz w:val="24"/>
          <w:szCs w:val="24"/>
        </w:rPr>
        <w:t>提交下列单证和文件。</w:t>
      </w:r>
    </w:p>
    <w:p w14:paraId="74A636B7">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rPr>
        <w:t>a.乙方开具合同等额的正式发票。</w:t>
      </w:r>
    </w:p>
    <w:p w14:paraId="31FF230A">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结算方式：</w:t>
      </w:r>
      <w:r>
        <w:rPr>
          <w:rFonts w:hint="eastAsia" w:ascii="仿宋" w:hAnsi="仿宋" w:eastAsia="仿宋" w:cs="仿宋"/>
          <w:sz w:val="24"/>
          <w:szCs w:val="24"/>
          <w:lang w:val="en-US" w:eastAsia="zh-CN"/>
        </w:rPr>
        <w:t>货到、票到30个工作日内支付货款。</w:t>
      </w:r>
      <w:r>
        <w:rPr>
          <w:rFonts w:hint="eastAsia" w:ascii="仿宋" w:hAnsi="仿宋" w:eastAsia="仿宋" w:cs="仿宋"/>
          <w:sz w:val="24"/>
          <w:szCs w:val="24"/>
        </w:rPr>
        <w:t>支付方式：</w:t>
      </w:r>
      <w:r>
        <w:rPr>
          <w:rFonts w:hint="eastAsia" w:ascii="仿宋" w:hAnsi="仿宋" w:eastAsia="仿宋" w:cs="仿宋"/>
          <w:sz w:val="24"/>
          <w:szCs w:val="24"/>
          <w:lang w:val="en-US" w:eastAsia="zh-CN"/>
        </w:rPr>
        <w:t>银行承兑汇票。甲方</w:t>
      </w:r>
      <w:r>
        <w:rPr>
          <w:rFonts w:hint="eastAsia" w:ascii="仿宋" w:hAnsi="仿宋" w:eastAsia="仿宋" w:cs="仿宋"/>
          <w:sz w:val="24"/>
          <w:szCs w:val="24"/>
        </w:rPr>
        <w:t>收到货复磅后允许存在±0.3%的磅差，若超出磅差以</w:t>
      </w:r>
      <w:r>
        <w:rPr>
          <w:rFonts w:hint="eastAsia" w:ascii="仿宋" w:hAnsi="仿宋" w:eastAsia="仿宋" w:cs="仿宋"/>
          <w:sz w:val="24"/>
          <w:szCs w:val="24"/>
          <w:lang w:val="en-US" w:eastAsia="zh-CN"/>
        </w:rPr>
        <w:t>甲方</w:t>
      </w:r>
      <w:r>
        <w:rPr>
          <w:rFonts w:hint="eastAsia" w:ascii="仿宋" w:hAnsi="仿宋" w:eastAsia="仿宋" w:cs="仿宋"/>
          <w:sz w:val="24"/>
          <w:szCs w:val="24"/>
        </w:rPr>
        <w:t>实际过磅重量为准。多还少补。</w:t>
      </w:r>
    </w:p>
    <w:p w14:paraId="1A27DED6">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w:t>
      </w:r>
      <w:r>
        <w:rPr>
          <w:rFonts w:hint="eastAsia" w:ascii="仿宋" w:hAnsi="仿宋" w:eastAsia="仿宋" w:cs="仿宋"/>
          <w:sz w:val="24"/>
          <w:szCs w:val="24"/>
          <w:lang w:val="en-US" w:eastAsia="zh-CN"/>
        </w:rPr>
        <w:t>乙</w:t>
      </w:r>
      <w:r>
        <w:rPr>
          <w:rFonts w:hint="eastAsia" w:ascii="仿宋" w:hAnsi="仿宋" w:eastAsia="仿宋" w:cs="仿宋"/>
          <w:sz w:val="24"/>
          <w:szCs w:val="24"/>
        </w:rPr>
        <w:t>方不开具或开具不合格的发票，</w:t>
      </w:r>
      <w:r>
        <w:rPr>
          <w:rFonts w:hint="eastAsia" w:ascii="仿宋" w:hAnsi="仿宋" w:eastAsia="仿宋" w:cs="仿宋"/>
          <w:sz w:val="24"/>
          <w:szCs w:val="24"/>
          <w:lang w:val="en-US" w:eastAsia="zh-CN"/>
        </w:rPr>
        <w:t>甲</w:t>
      </w:r>
      <w:r>
        <w:rPr>
          <w:rFonts w:hint="eastAsia" w:ascii="仿宋" w:hAnsi="仿宋" w:eastAsia="仿宋" w:cs="仿宋"/>
          <w:sz w:val="24"/>
          <w:szCs w:val="24"/>
        </w:rPr>
        <w:t>方有权迟延支付应付款项直至乙方开具合格票据且不承担任何违约责任，且</w:t>
      </w:r>
      <w:r>
        <w:rPr>
          <w:rFonts w:hint="eastAsia" w:ascii="仿宋" w:hAnsi="仿宋" w:eastAsia="仿宋" w:cs="仿宋"/>
          <w:sz w:val="24"/>
          <w:szCs w:val="24"/>
          <w:lang w:val="en-US" w:eastAsia="zh-CN"/>
        </w:rPr>
        <w:t>乙</w:t>
      </w:r>
      <w:r>
        <w:rPr>
          <w:rFonts w:hint="eastAsia" w:ascii="仿宋" w:hAnsi="仿宋" w:eastAsia="仿宋" w:cs="仿宋"/>
          <w:sz w:val="24"/>
          <w:szCs w:val="24"/>
        </w:rPr>
        <w:t>方的各项合同义务仍应按合同约定履行。</w:t>
      </w:r>
    </w:p>
    <w:p w14:paraId="04C2F0A0">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、由于</w:t>
      </w:r>
      <w:r>
        <w:rPr>
          <w:rFonts w:hint="eastAsia" w:ascii="仿宋" w:hAnsi="仿宋" w:eastAsia="仿宋" w:cs="仿宋"/>
          <w:sz w:val="24"/>
          <w:szCs w:val="24"/>
          <w:lang w:val="en-US" w:eastAsia="zh-CN"/>
        </w:rPr>
        <w:t>乙</w:t>
      </w:r>
      <w:r>
        <w:rPr>
          <w:rFonts w:hint="eastAsia" w:ascii="仿宋" w:hAnsi="仿宋" w:eastAsia="仿宋" w:cs="仿宋"/>
          <w:sz w:val="24"/>
          <w:szCs w:val="24"/>
        </w:rPr>
        <w:t>方开具发票不真实、不合格而引起的一切责任（包括商业责任和法律责任)和损失，由</w:t>
      </w:r>
      <w:r>
        <w:rPr>
          <w:rFonts w:hint="eastAsia" w:ascii="仿宋" w:hAnsi="仿宋" w:eastAsia="仿宋" w:cs="仿宋"/>
          <w:sz w:val="24"/>
          <w:szCs w:val="24"/>
          <w:lang w:val="en-US" w:eastAsia="zh-CN"/>
        </w:rPr>
        <w:t>乙</w:t>
      </w:r>
      <w:r>
        <w:rPr>
          <w:rFonts w:hint="eastAsia" w:ascii="仿宋" w:hAnsi="仿宋" w:eastAsia="仿宋" w:cs="仿宋"/>
          <w:sz w:val="24"/>
          <w:szCs w:val="24"/>
        </w:rPr>
        <w:t>方承担。</w:t>
      </w:r>
    </w:p>
    <w:p w14:paraId="47BDDFFF">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lang w:val="zh-CN"/>
        </w:rPr>
      </w:pPr>
      <w:bookmarkStart w:id="126" w:name="_Toc16798"/>
      <w:bookmarkStart w:id="127" w:name="_Toc335"/>
      <w:bookmarkStart w:id="128" w:name="_Toc9235"/>
      <w:bookmarkStart w:id="129" w:name="_Toc28559"/>
      <w:bookmarkStart w:id="130" w:name="_Toc28267"/>
      <w:r>
        <w:rPr>
          <w:rFonts w:hint="eastAsia" w:ascii="仿宋" w:hAnsi="仿宋" w:eastAsia="仿宋" w:cs="仿宋"/>
          <w:kern w:val="0"/>
          <w:sz w:val="24"/>
          <w:szCs w:val="24"/>
          <w:lang w:val="zh-CN"/>
        </w:rPr>
        <w:t>八、质量保证期：</w:t>
      </w:r>
      <w:bookmarkEnd w:id="126"/>
      <w:bookmarkEnd w:id="127"/>
      <w:bookmarkEnd w:id="128"/>
      <w:bookmarkEnd w:id="129"/>
      <w:bookmarkEnd w:id="130"/>
    </w:p>
    <w:p w14:paraId="3E05CFDE">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1、质量保证期为：</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lang w:val="zh-CN"/>
        </w:rPr>
        <w:t>年，从全部材料进场经签收之日起计算，在质保期内出现问题，乙方必须免费予以退换。</w:t>
      </w:r>
    </w:p>
    <w:p w14:paraId="0EBCB6D1">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lang w:val="zh-CN"/>
        </w:rPr>
      </w:pPr>
      <w:bookmarkStart w:id="131" w:name="_Toc19007"/>
      <w:bookmarkStart w:id="132" w:name="_Toc13737"/>
      <w:bookmarkStart w:id="133" w:name="_Toc19014"/>
      <w:bookmarkStart w:id="134" w:name="_Toc23506"/>
      <w:bookmarkStart w:id="135" w:name="_Toc4244"/>
      <w:r>
        <w:rPr>
          <w:rFonts w:hint="eastAsia" w:ascii="仿宋" w:hAnsi="仿宋" w:eastAsia="仿宋" w:cs="仿宋"/>
          <w:kern w:val="0"/>
          <w:sz w:val="24"/>
          <w:szCs w:val="24"/>
          <w:lang w:val="zh-CN"/>
        </w:rPr>
        <w:t>九、产品交接：</w:t>
      </w:r>
      <w:bookmarkEnd w:id="131"/>
      <w:bookmarkEnd w:id="132"/>
      <w:bookmarkEnd w:id="133"/>
      <w:bookmarkEnd w:id="134"/>
      <w:bookmarkEnd w:id="135"/>
    </w:p>
    <w:p w14:paraId="383FD317">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甲方根据产品交接清单清点数量，检查产品外观质量。数量清点当场验收，质量验收以检测结果为准，如外观有明显破损、瑕疵、擦伤等，甲方有权要求退货，延误工期等损失由乙方承担。</w:t>
      </w:r>
    </w:p>
    <w:p w14:paraId="3120333F">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rPr>
      </w:pPr>
      <w:bookmarkStart w:id="136" w:name="_Toc16217"/>
      <w:bookmarkStart w:id="137" w:name="_Toc12884"/>
      <w:bookmarkStart w:id="138" w:name="_Toc32091"/>
      <w:bookmarkStart w:id="139" w:name="_Toc18658"/>
      <w:bookmarkStart w:id="140" w:name="_Toc26325"/>
      <w:r>
        <w:rPr>
          <w:rFonts w:hint="eastAsia" w:ascii="仿宋" w:hAnsi="仿宋" w:eastAsia="仿宋" w:cs="仿宋"/>
          <w:kern w:val="0"/>
          <w:sz w:val="24"/>
          <w:szCs w:val="24"/>
          <w:lang w:val="zh-CN"/>
        </w:rPr>
        <w:t>十、违</w:t>
      </w:r>
      <w:r>
        <w:rPr>
          <w:rFonts w:hint="eastAsia" w:ascii="仿宋" w:hAnsi="仿宋" w:eastAsia="仿宋" w:cs="仿宋"/>
          <w:kern w:val="0"/>
          <w:sz w:val="24"/>
          <w:szCs w:val="24"/>
        </w:rPr>
        <w:t>约责任：</w:t>
      </w:r>
      <w:bookmarkEnd w:id="136"/>
      <w:bookmarkEnd w:id="137"/>
      <w:bookmarkEnd w:id="138"/>
      <w:bookmarkEnd w:id="139"/>
      <w:bookmarkEnd w:id="140"/>
    </w:p>
    <w:p w14:paraId="5E63B303">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rPr>
        <w:t>1、如果乙方未能按合同规定的时间或双方另行确定的延期交货期按时足额交货的（不可抗力除外），每逾期1天，乙方应按迟交货物金额的1%向甲方支付逾期交货的违约金。若乙方逾期交货达30天（含30天）以上的，甲方有权单方解除本合同，乙方仍应按上述约定支付延期交货违约金。若因此给甲方造成损失的，还应赔偿甲方所受的损失。</w:t>
      </w:r>
    </w:p>
    <w:p w14:paraId="70676EBF">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2.若乙方不能交货的（逾期15个工作日视为不能交货，因不可抗拒的因素除外）或交货不合格从而影响甲方正常使用的，乙方应向甲方偿付</w:t>
      </w:r>
      <w:r>
        <w:rPr>
          <w:rFonts w:hint="eastAsia" w:ascii="仿宋" w:hAnsi="仿宋" w:eastAsia="仿宋" w:cs="仿宋"/>
          <w:kern w:val="0"/>
          <w:sz w:val="24"/>
          <w:szCs w:val="24"/>
          <w:highlight w:val="none"/>
          <w:lang w:val="en-US" w:eastAsia="zh-CN"/>
        </w:rPr>
        <w:t>合同总额</w:t>
      </w:r>
      <w:r>
        <w:rPr>
          <w:rFonts w:hint="eastAsia" w:ascii="仿宋" w:hAnsi="仿宋" w:eastAsia="仿宋" w:cs="仿宋"/>
          <w:kern w:val="0"/>
          <w:sz w:val="24"/>
          <w:szCs w:val="24"/>
          <w:highlight w:val="none"/>
        </w:rPr>
        <w:t>10%的违约金。违约金不足以补偿损失的，甲方有权要求乙方赔偿损失。</w:t>
      </w:r>
    </w:p>
    <w:p w14:paraId="014D56DC">
      <w:pPr>
        <w:pStyle w:val="2"/>
        <w:keepNext w:val="0"/>
        <w:keepLines w:val="0"/>
        <w:pageBreakBefore w:val="0"/>
        <w:wordWrap/>
        <w:overflowPunct/>
        <w:topLinePunct w:val="0"/>
        <w:autoSpaceDE w:val="0"/>
        <w:autoSpaceDN w:val="0"/>
        <w:bidi w:val="0"/>
        <w:adjustRightInd w:val="0"/>
        <w:spacing w:after="0" w:line="300" w:lineRule="auto"/>
        <w:ind w:left="0" w:leftChars="0" w:right="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lang w:val="en-US" w:eastAsia="zh-CN"/>
        </w:rPr>
        <w:t>3、若乙方交付的货物经甲方验收合格后但在质保期内，在甲方在使用过程中发现货物质量不合格，则乙方应向甲方赔偿合同总金额10%的违约金。</w:t>
      </w:r>
    </w:p>
    <w:p w14:paraId="521C9488">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rPr>
      </w:pPr>
      <w:bookmarkStart w:id="141" w:name="_Toc10678"/>
      <w:bookmarkStart w:id="142" w:name="_Toc27259"/>
      <w:bookmarkStart w:id="143" w:name="_Toc13162"/>
      <w:bookmarkStart w:id="144" w:name="_Toc5658"/>
      <w:bookmarkStart w:id="145" w:name="_Toc1304"/>
      <w:r>
        <w:rPr>
          <w:rFonts w:hint="eastAsia" w:ascii="仿宋" w:hAnsi="仿宋" w:eastAsia="仿宋" w:cs="仿宋"/>
          <w:kern w:val="0"/>
          <w:sz w:val="24"/>
          <w:szCs w:val="24"/>
        </w:rPr>
        <w:t>十</w:t>
      </w:r>
      <w:r>
        <w:rPr>
          <w:rFonts w:hint="eastAsia" w:ascii="仿宋" w:hAnsi="仿宋" w:eastAsia="仿宋" w:cs="仿宋"/>
          <w:kern w:val="0"/>
          <w:sz w:val="24"/>
          <w:szCs w:val="24"/>
          <w:lang w:eastAsia="zh-CN"/>
        </w:rPr>
        <w:t>一</w:t>
      </w:r>
      <w:r>
        <w:rPr>
          <w:rFonts w:hint="eastAsia" w:ascii="仿宋" w:hAnsi="仿宋" w:eastAsia="仿宋" w:cs="仿宋"/>
          <w:kern w:val="0"/>
          <w:sz w:val="24"/>
          <w:szCs w:val="24"/>
        </w:rPr>
        <w:t>、违约终止合同</w:t>
      </w:r>
      <w:bookmarkEnd w:id="141"/>
      <w:bookmarkEnd w:id="142"/>
      <w:bookmarkEnd w:id="143"/>
      <w:bookmarkEnd w:id="144"/>
      <w:bookmarkEnd w:id="145"/>
    </w:p>
    <w:p w14:paraId="61F943E1">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在补救违约而采取的任何其他措施未能实现的情况下，即在甲方发出的违约通知后30天内（或经甲方书面确认的更长时间内）仍未纠正其下述任何一种违约行为，甲方有权向乙方发出书面违约通知，同时甲方有权单方解除本合同。</w:t>
      </w:r>
    </w:p>
    <w:p w14:paraId="7290442C">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如果乙方未能在合同规定的期限内或双方另行确定的延期交货时间内交付合同约定的货物。</w:t>
      </w:r>
    </w:p>
    <w:p w14:paraId="30424E6E">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乙方未能履行合同项下的任何其它义务。</w:t>
      </w:r>
    </w:p>
    <w:p w14:paraId="17936235">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lang w:val="zh-CN"/>
        </w:rPr>
        <w:t>因上述原因造成的合同解除，因</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方责任时应全额退还</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方已付货款，并双倍返还合同预付款。当只能提供部分货物时，视为</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方违约，</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方可另购其余部分</w:t>
      </w:r>
      <w:r>
        <w:rPr>
          <w:rFonts w:hint="eastAsia" w:ascii="仿宋" w:hAnsi="仿宋" w:eastAsia="仿宋" w:cs="仿宋"/>
          <w:kern w:val="0"/>
          <w:sz w:val="24"/>
          <w:szCs w:val="24"/>
          <w:lang w:val="en-US" w:eastAsia="zh-CN"/>
        </w:rPr>
        <w:t>材料</w:t>
      </w: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方应承担购置费用和给</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方带来的相关经济损失并按照合同约定向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方支付违约金。</w:t>
      </w:r>
    </w:p>
    <w:p w14:paraId="02A40635">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rPr>
      </w:pPr>
      <w:bookmarkStart w:id="146" w:name="_Toc21446"/>
      <w:bookmarkStart w:id="147" w:name="_Toc12356"/>
      <w:bookmarkStart w:id="148" w:name="_Toc23293"/>
      <w:bookmarkStart w:id="149" w:name="_Toc18225"/>
      <w:bookmarkStart w:id="150" w:name="_Toc8305"/>
      <w:r>
        <w:rPr>
          <w:rFonts w:hint="eastAsia" w:ascii="仿宋" w:hAnsi="仿宋" w:eastAsia="仿宋" w:cs="仿宋"/>
          <w:kern w:val="0"/>
          <w:sz w:val="24"/>
          <w:szCs w:val="24"/>
          <w:lang w:eastAsia="zh-CN"/>
        </w:rPr>
        <w:t>十二、</w:t>
      </w:r>
      <w:r>
        <w:rPr>
          <w:rFonts w:hint="eastAsia" w:ascii="仿宋" w:hAnsi="仿宋" w:eastAsia="仿宋" w:cs="仿宋"/>
          <w:kern w:val="0"/>
          <w:sz w:val="24"/>
          <w:szCs w:val="24"/>
        </w:rPr>
        <w:t>不可抗力</w:t>
      </w:r>
      <w:bookmarkEnd w:id="146"/>
      <w:bookmarkEnd w:id="147"/>
      <w:bookmarkEnd w:id="148"/>
      <w:bookmarkEnd w:id="149"/>
      <w:bookmarkEnd w:id="150"/>
    </w:p>
    <w:p w14:paraId="5E06493D">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7D38DB08">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2E7433F0">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rPr>
      </w:pPr>
      <w:bookmarkStart w:id="151" w:name="_Toc11998"/>
      <w:bookmarkStart w:id="152" w:name="_Toc8302"/>
      <w:bookmarkStart w:id="153" w:name="_Toc27170"/>
      <w:bookmarkStart w:id="154" w:name="_Toc18123"/>
      <w:bookmarkStart w:id="155" w:name="_Toc22964"/>
      <w:r>
        <w:rPr>
          <w:rFonts w:hint="eastAsia" w:ascii="仿宋" w:hAnsi="仿宋" w:eastAsia="仿宋" w:cs="仿宋"/>
          <w:kern w:val="0"/>
          <w:sz w:val="24"/>
          <w:szCs w:val="24"/>
          <w:lang w:val="en-US" w:eastAsia="zh-CN"/>
        </w:rPr>
        <w:t>十三、</w:t>
      </w:r>
      <w:r>
        <w:rPr>
          <w:rFonts w:hint="eastAsia" w:ascii="仿宋" w:hAnsi="仿宋" w:eastAsia="仿宋" w:cs="仿宋"/>
          <w:kern w:val="0"/>
          <w:sz w:val="24"/>
          <w:szCs w:val="24"/>
        </w:rPr>
        <w:t>权利义务转移和违法违规条款</w:t>
      </w:r>
      <w:bookmarkEnd w:id="151"/>
      <w:bookmarkEnd w:id="152"/>
      <w:bookmarkEnd w:id="153"/>
      <w:bookmarkEnd w:id="154"/>
      <w:bookmarkEnd w:id="155"/>
    </w:p>
    <w:p w14:paraId="1501244C">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基于诚信原则，本合同项下未经</w:t>
      </w:r>
      <w:r>
        <w:rPr>
          <w:rFonts w:hint="eastAsia" w:ascii="仿宋" w:hAnsi="仿宋" w:eastAsia="仿宋" w:cs="仿宋"/>
          <w:kern w:val="0"/>
          <w:sz w:val="24"/>
          <w:szCs w:val="24"/>
          <w:lang w:eastAsia="zh-CN"/>
        </w:rPr>
        <w:t>甲方</w:t>
      </w:r>
      <w:r>
        <w:rPr>
          <w:rFonts w:hint="eastAsia" w:ascii="仿宋" w:hAnsi="仿宋" w:eastAsia="仿宋" w:cs="仿宋"/>
          <w:kern w:val="0"/>
          <w:sz w:val="24"/>
          <w:szCs w:val="24"/>
        </w:rPr>
        <w:t>书面同意，</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方不得转让或者变相转让本合同的权利义务，否则向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方支付合同总金额30％的违约金。</w:t>
      </w:r>
    </w:p>
    <w:p w14:paraId="54890CC2">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在本合同项下如</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方违法违规造成</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方损失的，</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方须全额赔偿，赔偿金额从</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方货款或者履约保证金等款项中扣除，不足部分，</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方依法享有向</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方追索的权利。</w:t>
      </w:r>
    </w:p>
    <w:p w14:paraId="037FBB62">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lang w:val="zh-CN"/>
        </w:rPr>
      </w:pPr>
      <w:bookmarkStart w:id="156" w:name="_Toc16587"/>
      <w:bookmarkStart w:id="157" w:name="_Toc19723"/>
      <w:bookmarkStart w:id="158" w:name="_Toc22793"/>
      <w:bookmarkStart w:id="159" w:name="_Toc4875"/>
      <w:bookmarkStart w:id="160" w:name="_Toc15574"/>
      <w:r>
        <w:rPr>
          <w:rFonts w:hint="eastAsia" w:ascii="仿宋" w:hAnsi="仿宋" w:eastAsia="仿宋" w:cs="仿宋"/>
          <w:kern w:val="0"/>
          <w:sz w:val="24"/>
          <w:szCs w:val="24"/>
          <w:lang w:eastAsia="zh-CN"/>
        </w:rPr>
        <w:t>十四、</w:t>
      </w:r>
      <w:r>
        <w:rPr>
          <w:rFonts w:hint="eastAsia" w:ascii="仿宋" w:hAnsi="仿宋" w:eastAsia="仿宋" w:cs="仿宋"/>
          <w:kern w:val="0"/>
          <w:sz w:val="24"/>
          <w:szCs w:val="24"/>
          <w:lang w:val="zh-CN"/>
        </w:rPr>
        <w:t>反商业贿赂条款</w:t>
      </w:r>
      <w:bookmarkEnd w:id="156"/>
      <w:bookmarkEnd w:id="157"/>
      <w:bookmarkEnd w:id="158"/>
      <w:bookmarkEnd w:id="159"/>
      <w:bookmarkEnd w:id="160"/>
    </w:p>
    <w:p w14:paraId="73322462">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为保障双方合法权益不受侵害，保持</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双方长久、良好的合作关系，根据《中华人民共和国反不正当竞争法》《关于禁止商业贿赂行为的暂行规定》及有关法律、法规的规定，</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双方约定如下：</w:t>
      </w:r>
    </w:p>
    <w:p w14:paraId="1D53555A">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1、甲乙</w:t>
      </w:r>
      <w:r>
        <w:rPr>
          <w:rFonts w:hint="eastAsia" w:ascii="仿宋" w:hAnsi="仿宋" w:eastAsia="仿宋" w:cs="仿宋"/>
          <w:kern w:val="0"/>
          <w:sz w:val="24"/>
          <w:szCs w:val="24"/>
          <w:lang w:val="zh-CN"/>
        </w:rPr>
        <w:t>双方共同约定，不论在任何情况下，禁止提议、给予、索取或者接受任何形式的商业贿赂，亦不寻求通过给予商业贿赂或者其他酬谢而谋取任何利益。</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双方均有义务拒绝对方员工的索贿、行贿行为。</w:t>
      </w:r>
    </w:p>
    <w:p w14:paraId="0A074DDF">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2、甲乙</w:t>
      </w:r>
      <w:r>
        <w:rPr>
          <w:rFonts w:hint="eastAsia" w:ascii="仿宋" w:hAnsi="仿宋" w:eastAsia="仿宋" w:cs="仿宋"/>
          <w:kern w:val="0"/>
          <w:sz w:val="24"/>
          <w:szCs w:val="24"/>
          <w:lang w:val="zh-CN"/>
        </w:rPr>
        <w:t>双方员工按照商业惯例收取对方的礼品、纪念品，必须统一上交各自所在公司，由公司负责处理。双方互有义务将此事通知对方。</w:t>
      </w:r>
    </w:p>
    <w:p w14:paraId="66A2F128">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val="zh-CN"/>
        </w:rPr>
        <w:t>在合作过程中，如出现</w:t>
      </w:r>
      <w:r>
        <w:rPr>
          <w:rFonts w:hint="eastAsia" w:ascii="仿宋" w:hAnsi="仿宋" w:eastAsia="仿宋" w:cs="仿宋"/>
          <w:kern w:val="0"/>
          <w:sz w:val="24"/>
          <w:szCs w:val="24"/>
          <w:lang w:val="en-US" w:eastAsia="zh-CN"/>
        </w:rPr>
        <w:t>甲方</w:t>
      </w:r>
      <w:r>
        <w:rPr>
          <w:rFonts w:hint="eastAsia" w:ascii="仿宋" w:hAnsi="仿宋" w:eastAsia="仿宋" w:cs="仿宋"/>
          <w:kern w:val="0"/>
          <w:sz w:val="24"/>
          <w:szCs w:val="24"/>
          <w:lang w:val="zh-CN"/>
        </w:rPr>
        <w:t>员工索贿、接受贿赂的现象，</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方应及时向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方进行举报。</w:t>
      </w:r>
    </w:p>
    <w:p w14:paraId="6AC25537">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4、甲乙</w:t>
      </w:r>
      <w:r>
        <w:rPr>
          <w:rFonts w:hint="eastAsia" w:ascii="仿宋" w:hAnsi="仿宋" w:eastAsia="仿宋" w:cs="仿宋"/>
          <w:kern w:val="0"/>
          <w:sz w:val="24"/>
          <w:szCs w:val="24"/>
          <w:lang w:val="zh-CN"/>
        </w:rPr>
        <w:t>双方承诺愿意配合对其员工索取、接受贿赂的行为进行调查。</w:t>
      </w:r>
    </w:p>
    <w:p w14:paraId="28D9E28F">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lang w:val="zh-CN"/>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val="zh-CN"/>
        </w:rPr>
        <w:t>如</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双方为谋取商业利益给对方员工贿赂或者不拒绝对方员工索取贿赂的，违</w:t>
      </w:r>
      <w:r>
        <w:rPr>
          <w:rFonts w:hint="eastAsia" w:ascii="仿宋" w:hAnsi="仿宋" w:eastAsia="仿宋" w:cs="仿宋"/>
          <w:kern w:val="0"/>
          <w:sz w:val="24"/>
          <w:lang w:val="zh-CN"/>
        </w:rPr>
        <w:t>约方承担相关法律责任。</w:t>
      </w:r>
    </w:p>
    <w:p w14:paraId="13289CA6">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lang w:val="zh-CN"/>
        </w:rPr>
      </w:pPr>
      <w:r>
        <w:rPr>
          <w:rFonts w:hint="eastAsia" w:ascii="仿宋" w:hAnsi="仿宋" w:eastAsia="仿宋" w:cs="仿宋"/>
          <w:kern w:val="0"/>
          <w:sz w:val="24"/>
          <w:lang w:val="en-US" w:eastAsia="zh-CN"/>
        </w:rPr>
        <w:t>6、</w:t>
      </w:r>
      <w:r>
        <w:rPr>
          <w:rFonts w:hint="eastAsia" w:ascii="仿宋" w:hAnsi="仿宋" w:eastAsia="仿宋" w:cs="仿宋"/>
          <w:kern w:val="0"/>
          <w:sz w:val="24"/>
          <w:lang w:val="zh-CN"/>
        </w:rPr>
        <w:t>如</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双方违反本条约定，任何一方有权单方解除合同或协议，并不承担任何违约责任及赔偿责任，但提出解除合同方应向对方出具司法机关出具的证据。</w:t>
      </w:r>
    </w:p>
    <w:p w14:paraId="2F5933E2">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lang w:val="zh-CN"/>
        </w:rPr>
      </w:pPr>
      <w:r>
        <w:rPr>
          <w:rFonts w:hint="eastAsia" w:ascii="仿宋" w:hAnsi="仿宋" w:eastAsia="仿宋" w:cs="仿宋"/>
          <w:kern w:val="0"/>
          <w:sz w:val="24"/>
          <w:lang w:val="en-US" w:eastAsia="zh-CN"/>
        </w:rPr>
        <w:t>7、甲乙</w:t>
      </w:r>
      <w:r>
        <w:rPr>
          <w:rFonts w:hint="eastAsia" w:ascii="仿宋" w:hAnsi="仿宋" w:eastAsia="仿宋" w:cs="仿宋"/>
          <w:kern w:val="0"/>
          <w:sz w:val="24"/>
          <w:lang w:val="zh-CN"/>
        </w:rPr>
        <w:t>双方积极全面履行协议，并能向对方举报其员工索取、收受贿赂事实的，</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双方将优先与其发展合作关系，给予在同等条件下优先采购及优惠条件；如果举报与事实不符，</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双方有权终止与其商业合作关系，并承担法律责任。</w:t>
      </w:r>
    </w:p>
    <w:p w14:paraId="254140B2">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eastAsia="仿宋"/>
          <w:lang w:val="en-US" w:eastAsia="zh-CN"/>
        </w:rPr>
      </w:pPr>
      <w:r>
        <w:rPr>
          <w:rFonts w:hint="eastAsia" w:ascii="仿宋" w:hAnsi="仿宋" w:eastAsia="仿宋" w:cs="仿宋"/>
          <w:kern w:val="0"/>
          <w:sz w:val="24"/>
          <w:lang w:val="en-US" w:eastAsia="zh-CN"/>
        </w:rPr>
        <w:t>8、甲乙</w:t>
      </w:r>
      <w:r>
        <w:rPr>
          <w:rFonts w:hint="eastAsia" w:ascii="仿宋" w:hAnsi="仿宋" w:eastAsia="仿宋" w:cs="仿宋"/>
          <w:kern w:val="0"/>
          <w:sz w:val="24"/>
          <w:lang w:val="zh-CN"/>
        </w:rPr>
        <w:t>双方均有义务约束本方员工不得以抬高对方采购商品的报价达到退给对方经办员工个人一定比例的商品价款的行为发生；双方更不得以账外方式暗中以现金、实物或者其他方式退给对方员工个人一定比例的商品价款。</w:t>
      </w:r>
    </w:p>
    <w:p w14:paraId="07C1DD3D">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lang w:val="zh-CN"/>
        </w:rPr>
      </w:pPr>
      <w:r>
        <w:rPr>
          <w:rFonts w:hint="eastAsia" w:ascii="仿宋" w:hAnsi="仿宋" w:eastAsia="仿宋" w:cs="仿宋"/>
          <w:kern w:val="0"/>
          <w:sz w:val="24"/>
          <w:lang w:val="zh-CN"/>
        </w:rPr>
        <w:t>十五、本合同的任何变更，均应以书面形式提出，并由双方授权人等协商一致后书面达成协议方有效。</w:t>
      </w:r>
    </w:p>
    <w:p w14:paraId="518F8267">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lang w:val="zh-CN"/>
        </w:rPr>
      </w:pPr>
      <w:r>
        <w:rPr>
          <w:rFonts w:hint="eastAsia" w:ascii="仿宋" w:hAnsi="仿宋" w:eastAsia="仿宋" w:cs="仿宋"/>
          <w:kern w:val="0"/>
          <w:sz w:val="24"/>
          <w:lang w:val="zh-CN"/>
        </w:rPr>
        <w:t>十六、甲乙双方应对在本合同谈判期间、履行期间从另一方获得或收到的价格、资料、信息及其它商业秘密进行保密，未经对方书面事先同意不得向任何第三方以任何方式披露。</w:t>
      </w:r>
    </w:p>
    <w:p w14:paraId="7B35434F">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rPr>
      </w:pPr>
      <w:bookmarkStart w:id="161" w:name="_Toc12487"/>
      <w:bookmarkStart w:id="162" w:name="_Toc30433"/>
      <w:bookmarkStart w:id="163" w:name="_Toc15421"/>
      <w:bookmarkStart w:id="164" w:name="_Toc9618"/>
      <w:bookmarkStart w:id="165" w:name="_Toc6500"/>
      <w:r>
        <w:rPr>
          <w:rFonts w:hint="eastAsia" w:ascii="仿宋" w:hAnsi="仿宋" w:eastAsia="仿宋" w:cs="仿宋"/>
          <w:kern w:val="0"/>
          <w:sz w:val="24"/>
          <w:lang w:val="en-US" w:eastAsia="zh-CN"/>
        </w:rPr>
        <w:t>十七、</w:t>
      </w:r>
      <w:r>
        <w:rPr>
          <w:rFonts w:hint="eastAsia" w:ascii="仿宋" w:hAnsi="仿宋" w:eastAsia="仿宋" w:cs="仿宋"/>
          <w:kern w:val="0"/>
          <w:sz w:val="24"/>
        </w:rPr>
        <w:t>本合同适用中华人民共和国法律，并据其进行解释。</w:t>
      </w:r>
      <w:bookmarkEnd w:id="161"/>
      <w:bookmarkEnd w:id="162"/>
      <w:bookmarkEnd w:id="163"/>
      <w:bookmarkEnd w:id="164"/>
      <w:bookmarkEnd w:id="165"/>
    </w:p>
    <w:p w14:paraId="749C3DDF">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eastAsia="仿宋"/>
          <w:lang w:val="en-US" w:eastAsia="zh-CN"/>
        </w:rPr>
      </w:pPr>
      <w:r>
        <w:rPr>
          <w:rFonts w:hint="eastAsia" w:ascii="仿宋" w:hAnsi="仿宋" w:eastAsia="仿宋" w:cs="仿宋"/>
          <w:kern w:val="0"/>
          <w:sz w:val="24"/>
        </w:rPr>
        <w:t>合同履行过程中，若发生争议，双方应协商解决；如协商不成均由</w:t>
      </w:r>
      <w:r>
        <w:rPr>
          <w:rFonts w:hint="eastAsia" w:ascii="仿宋" w:hAnsi="仿宋" w:eastAsia="仿宋" w:cs="仿宋"/>
          <w:kern w:val="0"/>
          <w:sz w:val="24"/>
          <w:lang w:val="en-US" w:eastAsia="zh-CN"/>
        </w:rPr>
        <w:t>三明市沙县区</w:t>
      </w:r>
      <w:r>
        <w:rPr>
          <w:rFonts w:hint="eastAsia" w:ascii="仿宋" w:hAnsi="仿宋" w:eastAsia="仿宋" w:cs="仿宋"/>
          <w:kern w:val="0"/>
          <w:sz w:val="24"/>
        </w:rPr>
        <w:t>人民法院</w:t>
      </w:r>
      <w:r>
        <w:rPr>
          <w:rFonts w:hint="eastAsia" w:ascii="仿宋" w:hAnsi="仿宋" w:eastAsia="仿宋" w:cs="仿宋"/>
          <w:kern w:val="0"/>
          <w:sz w:val="24"/>
          <w:lang w:val="en-US" w:eastAsia="zh-CN"/>
        </w:rPr>
        <w:t>管辖</w:t>
      </w:r>
      <w:r>
        <w:rPr>
          <w:rFonts w:hint="eastAsia" w:ascii="仿宋" w:hAnsi="仿宋" w:eastAsia="仿宋" w:cs="仿宋"/>
          <w:kern w:val="0"/>
          <w:sz w:val="24"/>
        </w:rPr>
        <w:t>。</w:t>
      </w:r>
    </w:p>
    <w:p w14:paraId="7066B0DE">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rPr>
      </w:pPr>
      <w:bookmarkStart w:id="166" w:name="_Toc6113"/>
      <w:bookmarkStart w:id="167" w:name="_Toc31672"/>
      <w:bookmarkStart w:id="168" w:name="_Toc1878"/>
      <w:bookmarkStart w:id="169" w:name="_Toc12952"/>
      <w:bookmarkStart w:id="170" w:name="_Toc30202"/>
      <w:r>
        <w:rPr>
          <w:rFonts w:hint="eastAsia" w:ascii="仿宋" w:hAnsi="仿宋" w:eastAsia="仿宋" w:cs="仿宋"/>
          <w:kern w:val="0"/>
          <w:sz w:val="24"/>
          <w:lang w:val="zh-CN"/>
        </w:rPr>
        <w:t>十八、</w:t>
      </w:r>
      <w:r>
        <w:rPr>
          <w:rFonts w:hint="eastAsia" w:ascii="仿宋" w:hAnsi="仿宋" w:eastAsia="仿宋" w:cs="仿宋"/>
          <w:kern w:val="0"/>
          <w:sz w:val="24"/>
        </w:rPr>
        <w:t>其他</w:t>
      </w:r>
      <w:bookmarkEnd w:id="166"/>
      <w:bookmarkEnd w:id="167"/>
      <w:bookmarkEnd w:id="168"/>
      <w:bookmarkEnd w:id="169"/>
      <w:bookmarkEnd w:id="170"/>
    </w:p>
    <w:p w14:paraId="49C53680">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合同附件为本合同不可分割的一部分，与本合同具有同等的法律效力，补充协议与本协议有冲突的，以补充协议为准。</w:t>
      </w:r>
    </w:p>
    <w:p w14:paraId="236767DB">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本合同一经生效，非经</w:t>
      </w:r>
      <w:r>
        <w:rPr>
          <w:rFonts w:hint="eastAsia" w:ascii="仿宋" w:hAnsi="仿宋" w:eastAsia="仿宋" w:cs="仿宋"/>
          <w:kern w:val="0"/>
          <w:sz w:val="24"/>
          <w:lang w:val="en-US" w:eastAsia="zh-CN"/>
        </w:rPr>
        <w:t>甲乙</w:t>
      </w:r>
      <w:r>
        <w:rPr>
          <w:rFonts w:hint="eastAsia" w:ascii="仿宋" w:hAnsi="仿宋" w:eastAsia="仿宋" w:cs="仿宋"/>
          <w:kern w:val="0"/>
          <w:sz w:val="24"/>
        </w:rPr>
        <w:t>双方签署书面补充协议同意，任何一方以其他方式对合同条款的增减及其他变更均无约束力。</w:t>
      </w:r>
    </w:p>
    <w:p w14:paraId="702AB855">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本合同的内容及其有关的附件是</w:t>
      </w:r>
      <w:r>
        <w:rPr>
          <w:rFonts w:hint="eastAsia" w:ascii="仿宋" w:hAnsi="仿宋" w:eastAsia="仿宋" w:cs="仿宋"/>
          <w:kern w:val="0"/>
          <w:sz w:val="24"/>
          <w:lang w:val="en-US" w:eastAsia="zh-CN"/>
        </w:rPr>
        <w:t>甲乙</w:t>
      </w:r>
      <w:r>
        <w:rPr>
          <w:rFonts w:hint="eastAsia" w:ascii="仿宋" w:hAnsi="仿宋" w:eastAsia="仿宋" w:cs="仿宋"/>
          <w:kern w:val="0"/>
          <w:sz w:val="24"/>
        </w:rPr>
        <w:t>双方关于此次合作所最终确定的全部内容，双方均承认其已审阅、理解本合同及相关附件的内容，并同意取代</w:t>
      </w:r>
      <w:r>
        <w:rPr>
          <w:rFonts w:hint="eastAsia" w:ascii="仿宋" w:hAnsi="仿宋" w:eastAsia="仿宋" w:cs="仿宋"/>
          <w:kern w:val="0"/>
          <w:sz w:val="24"/>
          <w:lang w:val="en-US" w:eastAsia="zh-CN"/>
        </w:rPr>
        <w:t>甲乙</w:t>
      </w:r>
      <w:r>
        <w:rPr>
          <w:rFonts w:hint="eastAsia" w:ascii="仿宋" w:hAnsi="仿宋" w:eastAsia="仿宋" w:cs="仿宋"/>
          <w:kern w:val="0"/>
          <w:sz w:val="24"/>
        </w:rPr>
        <w:t>双方之间此前关于此次合作所做出的任何口头或书面的承诺。</w:t>
      </w:r>
    </w:p>
    <w:p w14:paraId="288C7E51">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本合同自双方加盖公章或合同专用章后生效，合同约定所有义务履行完毕后自行终止。合同的终止并不影响保密义务的继续履行。</w:t>
      </w:r>
    </w:p>
    <w:p w14:paraId="04B33F47">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left="0" w:leftChars="0" w:righ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本合同及附件一式</w:t>
      </w:r>
      <w:r>
        <w:rPr>
          <w:rFonts w:hint="eastAsia" w:ascii="仿宋" w:hAnsi="仿宋" w:eastAsia="仿宋" w:cs="仿宋"/>
          <w:kern w:val="0"/>
          <w:sz w:val="24"/>
          <w:lang w:val="en-US" w:eastAsia="zh-CN"/>
        </w:rPr>
        <w:t>肆</w:t>
      </w:r>
      <w:r>
        <w:rPr>
          <w:rFonts w:hint="eastAsia" w:ascii="仿宋" w:hAnsi="仿宋" w:eastAsia="仿宋" w:cs="仿宋"/>
          <w:kern w:val="0"/>
          <w:sz w:val="24"/>
        </w:rPr>
        <w:t>份，</w:t>
      </w:r>
      <w:r>
        <w:rPr>
          <w:rFonts w:hint="eastAsia" w:ascii="仿宋" w:hAnsi="仿宋" w:eastAsia="仿宋" w:cs="仿宋"/>
          <w:kern w:val="0"/>
          <w:sz w:val="24"/>
          <w:lang w:val="en-US" w:eastAsia="zh-CN"/>
        </w:rPr>
        <w:t>甲</w:t>
      </w:r>
      <w:r>
        <w:rPr>
          <w:rFonts w:hint="eastAsia" w:ascii="仿宋" w:hAnsi="仿宋" w:eastAsia="仿宋" w:cs="仿宋"/>
          <w:kern w:val="0"/>
          <w:sz w:val="24"/>
        </w:rPr>
        <w:t>方</w:t>
      </w:r>
      <w:r>
        <w:rPr>
          <w:rFonts w:hint="eastAsia" w:ascii="仿宋" w:hAnsi="仿宋" w:eastAsia="仿宋" w:cs="仿宋"/>
          <w:kern w:val="0"/>
          <w:sz w:val="24"/>
          <w:lang w:val="en-US" w:eastAsia="zh-CN"/>
        </w:rPr>
        <w:t>叁</w:t>
      </w:r>
      <w:r>
        <w:rPr>
          <w:rFonts w:hint="eastAsia" w:ascii="仿宋" w:hAnsi="仿宋" w:eastAsia="仿宋" w:cs="仿宋"/>
          <w:kern w:val="0"/>
          <w:sz w:val="24"/>
        </w:rPr>
        <w:t>份，</w:t>
      </w:r>
      <w:r>
        <w:rPr>
          <w:rFonts w:hint="eastAsia" w:ascii="仿宋" w:hAnsi="仿宋" w:eastAsia="仿宋" w:cs="仿宋"/>
          <w:kern w:val="0"/>
          <w:sz w:val="24"/>
          <w:lang w:val="en-US" w:eastAsia="zh-CN"/>
        </w:rPr>
        <w:t>乙方壹</w:t>
      </w:r>
      <w:r>
        <w:rPr>
          <w:rFonts w:hint="eastAsia" w:ascii="仿宋" w:hAnsi="仿宋" w:eastAsia="仿宋" w:cs="仿宋"/>
          <w:kern w:val="0"/>
          <w:sz w:val="24"/>
        </w:rPr>
        <w:t>份，每份具有同等的法律效力。</w:t>
      </w:r>
    </w:p>
    <w:p w14:paraId="59024021">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left="0" w:leftChars="0" w:right="0"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（以下无正文）</w:t>
      </w:r>
    </w:p>
    <w:p w14:paraId="4E12766A">
      <w:pPr>
        <w:pStyle w:val="2"/>
        <w:keepNext w:val="0"/>
        <w:keepLines w:val="0"/>
        <w:pageBreakBefore w:val="0"/>
        <w:wordWrap/>
        <w:overflowPunct/>
        <w:topLinePunct w:val="0"/>
        <w:autoSpaceDE w:val="0"/>
        <w:autoSpaceDN w:val="0"/>
        <w:bidi w:val="0"/>
        <w:adjustRightInd w:val="0"/>
        <w:spacing w:after="0" w:line="300" w:lineRule="auto"/>
        <w:ind w:left="0" w:leftChars="0" w:right="0" w:firstLine="480"/>
        <w:rPr>
          <w:rFonts w:hint="eastAsia"/>
          <w:lang w:val="zh-CN"/>
        </w:rPr>
      </w:pPr>
    </w:p>
    <w:tbl>
      <w:tblPr>
        <w:tblStyle w:val="16"/>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1"/>
        <w:gridCol w:w="5156"/>
      </w:tblGrid>
      <w:tr w14:paraId="2AEF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atLeast"/>
          <w:jc w:val="center"/>
        </w:trPr>
        <w:tc>
          <w:tcPr>
            <w:tcW w:w="4801" w:type="dxa"/>
            <w:tcBorders>
              <w:top w:val="single" w:color="auto" w:sz="4" w:space="0"/>
              <w:left w:val="single" w:color="auto" w:sz="4" w:space="0"/>
              <w:bottom w:val="single" w:color="auto" w:sz="4" w:space="0"/>
              <w:right w:val="single" w:color="auto" w:sz="4" w:space="0"/>
            </w:tcBorders>
            <w:noWrap w:val="0"/>
            <w:vAlign w:val="top"/>
          </w:tcPr>
          <w:p w14:paraId="0549B1E2">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rPr>
            </w:pPr>
            <w:r>
              <w:rPr>
                <w:rFonts w:hint="eastAsia" w:ascii="仿宋" w:hAnsi="仿宋" w:eastAsia="仿宋" w:cs="仿宋"/>
              </w:rPr>
              <w:t>甲方</w:t>
            </w:r>
          </w:p>
          <w:p w14:paraId="74DC9B42">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lang w:eastAsia="zh-CN"/>
              </w:rPr>
            </w:pPr>
            <w:r>
              <w:rPr>
                <w:rFonts w:hint="eastAsia" w:ascii="仿宋" w:hAnsi="仿宋" w:eastAsia="仿宋" w:cs="仿宋"/>
                <w:sz w:val="24"/>
              </w:rPr>
              <w:t>名称（公章）：中国机械总院集团海西（福建）分院有限公司</w:t>
            </w:r>
          </w:p>
          <w:p w14:paraId="544FCAEF">
            <w:pPr>
              <w:keepNext w:val="0"/>
              <w:keepLines w:val="0"/>
              <w:pageBreakBefore w:val="0"/>
              <w:wordWrap/>
              <w:overflowPunct/>
              <w:topLinePunct w:val="0"/>
              <w:autoSpaceDE w:val="0"/>
              <w:autoSpaceDN w:val="0"/>
              <w:bidi w:val="0"/>
              <w:adjustRightInd w:val="0"/>
              <w:spacing w:line="300" w:lineRule="auto"/>
              <w:ind w:left="600" w:leftChars="0" w:right="0" w:hanging="600" w:hangingChars="250"/>
              <w:rPr>
                <w:rFonts w:hint="eastAsia" w:ascii="仿宋" w:hAnsi="仿宋" w:eastAsia="仿宋" w:cs="仿宋"/>
                <w:sz w:val="24"/>
                <w:lang w:eastAsia="zh-CN"/>
              </w:rPr>
            </w:pPr>
            <w:r>
              <w:rPr>
                <w:rFonts w:hint="eastAsia" w:ascii="仿宋" w:hAnsi="仿宋" w:eastAsia="仿宋" w:cs="仿宋"/>
                <w:sz w:val="24"/>
              </w:rPr>
              <w:t>地址：福建省三明市沙县区金沙园开发区创新东路413号</w:t>
            </w:r>
          </w:p>
          <w:p w14:paraId="125A5207">
            <w:pPr>
              <w:keepNext w:val="0"/>
              <w:keepLines w:val="0"/>
              <w:pageBreakBefore w:val="0"/>
              <w:tabs>
                <w:tab w:val="left" w:pos="180"/>
              </w:tabs>
              <w:wordWrap/>
              <w:overflowPunct/>
              <w:topLinePunct w:val="0"/>
              <w:autoSpaceDE w:val="0"/>
              <w:autoSpaceDN w:val="0"/>
              <w:bidi w:val="0"/>
              <w:adjustRightInd w:val="0"/>
              <w:spacing w:line="300" w:lineRule="auto"/>
              <w:ind w:left="0" w:leftChars="0" w:right="0"/>
              <w:rPr>
                <w:rFonts w:hint="eastAsia" w:ascii="仿宋" w:hAnsi="仿宋" w:eastAsia="仿宋" w:cs="仿宋"/>
                <w:sz w:val="24"/>
                <w:lang w:eastAsia="zh-CN"/>
              </w:rPr>
            </w:pPr>
            <w:r>
              <w:rPr>
                <w:rFonts w:hint="eastAsia" w:ascii="仿宋" w:hAnsi="仿宋" w:eastAsia="仿宋" w:cs="仿宋"/>
                <w:sz w:val="24"/>
              </w:rPr>
              <w:t>法定代表人：薛松海</w:t>
            </w:r>
          </w:p>
          <w:p w14:paraId="072B0640">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rPr>
            </w:pPr>
            <w:r>
              <w:rPr>
                <w:rFonts w:hint="eastAsia" w:ascii="仿宋" w:hAnsi="仿宋" w:eastAsia="仿宋" w:cs="仿宋"/>
              </w:rPr>
              <w:t>委托代理人：</w:t>
            </w:r>
          </w:p>
          <w:p w14:paraId="05F996CF">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lang w:eastAsia="zh-CN"/>
              </w:rPr>
            </w:pPr>
            <w:r>
              <w:rPr>
                <w:rFonts w:hint="eastAsia" w:ascii="仿宋" w:hAnsi="仿宋" w:eastAsia="仿宋" w:cs="仿宋"/>
                <w:sz w:val="24"/>
              </w:rPr>
              <w:t>电话：0598-8863008</w:t>
            </w:r>
          </w:p>
          <w:p w14:paraId="26D4D10E">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rPr>
            </w:pPr>
            <w:r>
              <w:rPr>
                <w:rFonts w:hint="eastAsia" w:ascii="仿宋" w:hAnsi="仿宋" w:eastAsia="仿宋" w:cs="仿宋"/>
              </w:rPr>
              <w:t>传真：</w:t>
            </w:r>
          </w:p>
          <w:p w14:paraId="6205992C">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lang w:eastAsia="zh-CN"/>
              </w:rPr>
            </w:pPr>
            <w:r>
              <w:rPr>
                <w:rFonts w:hint="eastAsia" w:ascii="仿宋" w:hAnsi="仿宋" w:eastAsia="仿宋" w:cs="仿宋"/>
                <w:sz w:val="24"/>
              </w:rPr>
              <w:t>开户银行：中国农业银行沙县支行</w:t>
            </w:r>
          </w:p>
          <w:p w14:paraId="318DDD06">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lang w:eastAsia="zh-CN"/>
              </w:rPr>
            </w:pPr>
            <w:r>
              <w:rPr>
                <w:rFonts w:hint="eastAsia" w:ascii="仿宋" w:hAnsi="仿宋" w:eastAsia="仿宋" w:cs="仿宋"/>
                <w:sz w:val="24"/>
              </w:rPr>
              <w:t>银行帐号：13840101040017600</w:t>
            </w:r>
          </w:p>
          <w:p w14:paraId="0BE68B93">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lang w:eastAsia="zh-CN"/>
              </w:rPr>
            </w:pPr>
            <w:r>
              <w:rPr>
                <w:rFonts w:hint="eastAsia" w:ascii="仿宋" w:hAnsi="仿宋" w:eastAsia="仿宋" w:cs="仿宋"/>
              </w:rPr>
              <w:t>税号：913504270603757361</w:t>
            </w:r>
          </w:p>
        </w:tc>
        <w:tc>
          <w:tcPr>
            <w:tcW w:w="5156" w:type="dxa"/>
            <w:tcBorders>
              <w:top w:val="single" w:color="auto" w:sz="4" w:space="0"/>
              <w:left w:val="single" w:color="auto" w:sz="4" w:space="0"/>
              <w:bottom w:val="single" w:color="auto" w:sz="4" w:space="0"/>
              <w:right w:val="single" w:color="auto" w:sz="4" w:space="0"/>
            </w:tcBorders>
            <w:noWrap w:val="0"/>
            <w:vAlign w:val="top"/>
          </w:tcPr>
          <w:p w14:paraId="32D9DD2D">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rPr>
            </w:pPr>
            <w:r>
              <w:rPr>
                <w:rFonts w:hint="eastAsia" w:ascii="仿宋" w:hAnsi="仿宋" w:eastAsia="仿宋" w:cs="仿宋"/>
              </w:rPr>
              <w:t>乙方</w:t>
            </w:r>
          </w:p>
          <w:p w14:paraId="02B24CBA">
            <w:pPr>
              <w:keepNext w:val="0"/>
              <w:keepLines w:val="0"/>
              <w:pageBreakBefore w:val="0"/>
              <w:wordWrap/>
              <w:overflowPunct/>
              <w:topLinePunct w:val="0"/>
              <w:autoSpaceDE w:val="0"/>
              <w:autoSpaceDN w:val="0"/>
              <w:bidi w:val="0"/>
              <w:adjustRightInd w:val="0"/>
              <w:spacing w:line="300" w:lineRule="auto"/>
              <w:ind w:left="600" w:leftChars="0" w:right="0" w:hanging="600" w:hangingChars="250"/>
              <w:rPr>
                <w:rFonts w:hint="eastAsia" w:ascii="仿宋" w:hAnsi="仿宋" w:eastAsia="仿宋" w:cs="仿宋"/>
                <w:sz w:val="24"/>
              </w:rPr>
            </w:pPr>
            <w:r>
              <w:rPr>
                <w:rFonts w:hint="eastAsia" w:ascii="仿宋" w:hAnsi="仿宋" w:eastAsia="仿宋" w:cs="仿宋"/>
                <w:sz w:val="24"/>
              </w:rPr>
              <w:t>名称（公章）：</w:t>
            </w:r>
          </w:p>
          <w:p w14:paraId="364CE8DC">
            <w:pPr>
              <w:keepNext w:val="0"/>
              <w:keepLines w:val="0"/>
              <w:pageBreakBefore w:val="0"/>
              <w:wordWrap/>
              <w:overflowPunct/>
              <w:topLinePunct w:val="0"/>
              <w:autoSpaceDE w:val="0"/>
              <w:autoSpaceDN w:val="0"/>
              <w:bidi w:val="0"/>
              <w:adjustRightInd w:val="0"/>
              <w:spacing w:line="300" w:lineRule="auto"/>
              <w:ind w:left="600" w:leftChars="0" w:right="0" w:hanging="600" w:hangingChars="250"/>
              <w:rPr>
                <w:rFonts w:hint="eastAsia" w:ascii="仿宋" w:hAnsi="仿宋" w:eastAsia="仿宋" w:cs="华文仿宋"/>
                <w:sz w:val="24"/>
                <w:lang w:eastAsia="zh-CN"/>
              </w:rPr>
            </w:pPr>
            <w:r>
              <w:rPr>
                <w:rFonts w:hint="eastAsia" w:ascii="仿宋" w:hAnsi="仿宋" w:eastAsia="仿宋" w:cs="华文仿宋"/>
                <w:sz w:val="24"/>
              </w:rPr>
              <w:t>地址：</w:t>
            </w:r>
          </w:p>
          <w:p w14:paraId="3FC3E236">
            <w:pPr>
              <w:keepNext w:val="0"/>
              <w:keepLines w:val="0"/>
              <w:pageBreakBefore w:val="0"/>
              <w:tabs>
                <w:tab w:val="left" w:pos="180"/>
              </w:tabs>
              <w:wordWrap/>
              <w:overflowPunct/>
              <w:topLinePunct w:val="0"/>
              <w:autoSpaceDE w:val="0"/>
              <w:autoSpaceDN w:val="0"/>
              <w:bidi w:val="0"/>
              <w:adjustRightInd w:val="0"/>
              <w:spacing w:line="300" w:lineRule="auto"/>
              <w:ind w:left="0" w:leftChars="0" w:right="0"/>
              <w:rPr>
                <w:rFonts w:hint="eastAsia" w:ascii="仿宋" w:hAnsi="仿宋" w:eastAsia="仿宋" w:cs="仿宋"/>
                <w:sz w:val="24"/>
                <w:lang w:val="en-US" w:eastAsia="zh-CN"/>
              </w:rPr>
            </w:pPr>
            <w:r>
              <w:rPr>
                <w:rFonts w:hint="eastAsia" w:ascii="仿宋" w:hAnsi="仿宋" w:eastAsia="仿宋" w:cs="仿宋"/>
                <w:sz w:val="24"/>
              </w:rPr>
              <w:t>法定代表人：</w:t>
            </w:r>
          </w:p>
          <w:p w14:paraId="5B8836E0">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rPr>
            </w:pPr>
            <w:r>
              <w:rPr>
                <w:rFonts w:hint="eastAsia" w:ascii="仿宋" w:hAnsi="仿宋" w:eastAsia="仿宋" w:cs="仿宋"/>
              </w:rPr>
              <w:t>委托代理人：</w:t>
            </w:r>
          </w:p>
          <w:p w14:paraId="39A2537A">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rPr>
            </w:pPr>
            <w:r>
              <w:rPr>
                <w:rFonts w:hint="eastAsia" w:ascii="仿宋" w:hAnsi="仿宋" w:eastAsia="仿宋" w:cs="仿宋"/>
                <w:sz w:val="24"/>
              </w:rPr>
              <w:t>电话：</w:t>
            </w:r>
          </w:p>
          <w:p w14:paraId="4589CD87">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rPr>
            </w:pPr>
            <w:r>
              <w:rPr>
                <w:rFonts w:hint="eastAsia" w:ascii="仿宋" w:hAnsi="仿宋" w:eastAsia="仿宋" w:cs="仿宋"/>
              </w:rPr>
              <w:t>传真：</w:t>
            </w:r>
          </w:p>
          <w:p w14:paraId="121698EB">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rPr>
            </w:pPr>
            <w:r>
              <w:rPr>
                <w:rFonts w:hint="eastAsia" w:ascii="仿宋" w:hAnsi="仿宋" w:eastAsia="仿宋" w:cs="仿宋"/>
                <w:sz w:val="24"/>
              </w:rPr>
              <w:t>开户银行：</w:t>
            </w:r>
          </w:p>
          <w:p w14:paraId="5847F3DE">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rPr>
            </w:pPr>
            <w:r>
              <w:rPr>
                <w:rFonts w:hint="eastAsia" w:ascii="仿宋" w:hAnsi="仿宋" w:eastAsia="仿宋" w:cs="仿宋"/>
                <w:sz w:val="24"/>
              </w:rPr>
              <w:t>银行帐号：</w:t>
            </w:r>
          </w:p>
          <w:p w14:paraId="2C59F828">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rPr>
            </w:pPr>
            <w:r>
              <w:rPr>
                <w:rFonts w:hint="eastAsia" w:ascii="仿宋" w:hAnsi="仿宋" w:eastAsia="仿宋" w:cs="仿宋"/>
                <w:sz w:val="24"/>
              </w:rPr>
              <w:t>税号：</w:t>
            </w:r>
          </w:p>
        </w:tc>
      </w:tr>
    </w:tbl>
    <w:p w14:paraId="6B53408C">
      <w:pPr>
        <w:pStyle w:val="2"/>
        <w:keepNext w:val="0"/>
        <w:keepLines w:val="0"/>
        <w:pageBreakBefore w:val="0"/>
        <w:wordWrap/>
        <w:overflowPunct/>
        <w:topLinePunct w:val="0"/>
        <w:autoSpaceDE w:val="0"/>
        <w:autoSpaceDN w:val="0"/>
        <w:bidi w:val="0"/>
        <w:adjustRightInd w:val="0"/>
        <w:spacing w:after="0" w:line="300" w:lineRule="auto"/>
        <w:ind w:left="0" w:leftChars="0" w:right="0" w:firstLine="480"/>
        <w:rPr>
          <w:rFonts w:ascii="仿宋" w:hAnsi="仿宋" w:eastAsia="仿宋"/>
        </w:rPr>
      </w:pPr>
    </w:p>
    <w:p w14:paraId="0DF0AFEC">
      <w:pPr>
        <w:keepNext w:val="0"/>
        <w:keepLines w:val="0"/>
        <w:pageBreakBefore w:val="0"/>
        <w:wordWrap/>
        <w:overflowPunct/>
        <w:topLinePunct w:val="0"/>
        <w:autoSpaceDE w:val="0"/>
        <w:autoSpaceDN w:val="0"/>
        <w:bidi w:val="0"/>
        <w:adjustRightInd w:val="0"/>
        <w:spacing w:line="300" w:lineRule="auto"/>
        <w:ind w:left="0" w:leftChars="0" w:right="0"/>
        <w:rPr>
          <w:rFonts w:hint="eastAsia" w:ascii="宋体" w:hAnsi="宋体" w:eastAsia="宋体" w:cs="宋体"/>
        </w:rPr>
      </w:pPr>
    </w:p>
    <w:sectPr>
      <w:pgSz w:w="11905" w:h="16838"/>
      <w:pgMar w:top="1440" w:right="1080" w:bottom="1440" w:left="1080" w:header="851" w:footer="10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5708">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07E46">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7207E46">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97A8F">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25470">
                          <w:pPr>
                            <w:pStyle w:val="11"/>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2625470">
                    <w:pPr>
                      <w:pStyle w:val="11"/>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FD11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317CB">
                          <w:pPr>
                            <w:pStyle w:val="11"/>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F317CB">
                    <w:pPr>
                      <w:pStyle w:val="11"/>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7059A">
    <w:pPr>
      <w:spacing w:before="224" w:line="185" w:lineRule="auto"/>
      <w:rPr>
        <w:rFonts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9FB0D">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4B40">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6183630" cy="717550"/>
          <wp:effectExtent l="0" t="0" r="3810" b="13970"/>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6183630" cy="717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6">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2ZTU4NmFiOTE3ZWRmYjIwMDdjYzI1NDZmMzcyMGIifQ=="/>
  </w:docVars>
  <w:rsids>
    <w:rsidRoot w:val="78EE6CAC"/>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32783D"/>
    <w:rsid w:val="01DE5DA6"/>
    <w:rsid w:val="024E68F9"/>
    <w:rsid w:val="031A62F1"/>
    <w:rsid w:val="04BE5FB8"/>
    <w:rsid w:val="063D2047"/>
    <w:rsid w:val="06555C4C"/>
    <w:rsid w:val="06BF6017"/>
    <w:rsid w:val="06DF3FC3"/>
    <w:rsid w:val="078B6AF6"/>
    <w:rsid w:val="07C338E5"/>
    <w:rsid w:val="082216E1"/>
    <w:rsid w:val="087052F4"/>
    <w:rsid w:val="08E31B8A"/>
    <w:rsid w:val="0A141901"/>
    <w:rsid w:val="0B3D3052"/>
    <w:rsid w:val="0BD75BB1"/>
    <w:rsid w:val="0C97306B"/>
    <w:rsid w:val="0C9E047D"/>
    <w:rsid w:val="0D3C1DC3"/>
    <w:rsid w:val="0E0137ED"/>
    <w:rsid w:val="0F184516"/>
    <w:rsid w:val="0F66217A"/>
    <w:rsid w:val="0F9242C9"/>
    <w:rsid w:val="10F82212"/>
    <w:rsid w:val="12E6250F"/>
    <w:rsid w:val="130D1EB8"/>
    <w:rsid w:val="1380268A"/>
    <w:rsid w:val="13C95DDF"/>
    <w:rsid w:val="13DD4624"/>
    <w:rsid w:val="143516C6"/>
    <w:rsid w:val="1441006B"/>
    <w:rsid w:val="158C3568"/>
    <w:rsid w:val="15BE749A"/>
    <w:rsid w:val="167A7865"/>
    <w:rsid w:val="187A6CED"/>
    <w:rsid w:val="191C142F"/>
    <w:rsid w:val="19416EE3"/>
    <w:rsid w:val="19E54C84"/>
    <w:rsid w:val="1A2B2E16"/>
    <w:rsid w:val="1A584361"/>
    <w:rsid w:val="1CA53035"/>
    <w:rsid w:val="1CB72E06"/>
    <w:rsid w:val="1D406077"/>
    <w:rsid w:val="1D7F01B2"/>
    <w:rsid w:val="1DE877AA"/>
    <w:rsid w:val="1EAE27A1"/>
    <w:rsid w:val="1F8F25D3"/>
    <w:rsid w:val="1F9B0ADF"/>
    <w:rsid w:val="1FC00470"/>
    <w:rsid w:val="20AE6A88"/>
    <w:rsid w:val="213B2D65"/>
    <w:rsid w:val="21B97B04"/>
    <w:rsid w:val="22345F2D"/>
    <w:rsid w:val="223760ED"/>
    <w:rsid w:val="229A5157"/>
    <w:rsid w:val="22F1792F"/>
    <w:rsid w:val="234550BE"/>
    <w:rsid w:val="23C06ACA"/>
    <w:rsid w:val="24087AE2"/>
    <w:rsid w:val="28845678"/>
    <w:rsid w:val="28872C4F"/>
    <w:rsid w:val="28AB7D51"/>
    <w:rsid w:val="29156767"/>
    <w:rsid w:val="29BA649E"/>
    <w:rsid w:val="29DE5491"/>
    <w:rsid w:val="2C01798C"/>
    <w:rsid w:val="2C024716"/>
    <w:rsid w:val="2C7C594D"/>
    <w:rsid w:val="2CD14227"/>
    <w:rsid w:val="2D2647CB"/>
    <w:rsid w:val="2DFF6B75"/>
    <w:rsid w:val="2EA636D0"/>
    <w:rsid w:val="2F8512FC"/>
    <w:rsid w:val="2FE029D7"/>
    <w:rsid w:val="302A1EA4"/>
    <w:rsid w:val="30782B49"/>
    <w:rsid w:val="30943860"/>
    <w:rsid w:val="30D8545C"/>
    <w:rsid w:val="30E72EF2"/>
    <w:rsid w:val="30FC739C"/>
    <w:rsid w:val="31DB3455"/>
    <w:rsid w:val="374B4BD9"/>
    <w:rsid w:val="38557A9F"/>
    <w:rsid w:val="3A4A73CA"/>
    <w:rsid w:val="3BA06C30"/>
    <w:rsid w:val="3C440F6E"/>
    <w:rsid w:val="3DCC7449"/>
    <w:rsid w:val="3DE83A67"/>
    <w:rsid w:val="405D772B"/>
    <w:rsid w:val="42BD2F8E"/>
    <w:rsid w:val="435B1499"/>
    <w:rsid w:val="440A6827"/>
    <w:rsid w:val="44136A7F"/>
    <w:rsid w:val="45976840"/>
    <w:rsid w:val="47100713"/>
    <w:rsid w:val="474C1085"/>
    <w:rsid w:val="474C1DDB"/>
    <w:rsid w:val="47A47F13"/>
    <w:rsid w:val="482D1F14"/>
    <w:rsid w:val="485E3EEC"/>
    <w:rsid w:val="48B325A9"/>
    <w:rsid w:val="49203109"/>
    <w:rsid w:val="4A7A55DF"/>
    <w:rsid w:val="4ABB39CC"/>
    <w:rsid w:val="4B5E45B8"/>
    <w:rsid w:val="4BF71DFE"/>
    <w:rsid w:val="4C0E5B77"/>
    <w:rsid w:val="4C25253E"/>
    <w:rsid w:val="4DB95128"/>
    <w:rsid w:val="4DC57782"/>
    <w:rsid w:val="4DF810AC"/>
    <w:rsid w:val="4E2A10B1"/>
    <w:rsid w:val="4FC652ED"/>
    <w:rsid w:val="4FF456D9"/>
    <w:rsid w:val="50054BB6"/>
    <w:rsid w:val="500951DA"/>
    <w:rsid w:val="5019541D"/>
    <w:rsid w:val="50390222"/>
    <w:rsid w:val="50A0169A"/>
    <w:rsid w:val="50C35389"/>
    <w:rsid w:val="50E43FF4"/>
    <w:rsid w:val="531B14AC"/>
    <w:rsid w:val="53B56F88"/>
    <w:rsid w:val="53DA53DB"/>
    <w:rsid w:val="543A1E06"/>
    <w:rsid w:val="55CA11C1"/>
    <w:rsid w:val="5621082A"/>
    <w:rsid w:val="56625644"/>
    <w:rsid w:val="56B90D23"/>
    <w:rsid w:val="58324C4B"/>
    <w:rsid w:val="58E32A6C"/>
    <w:rsid w:val="59BE2A5E"/>
    <w:rsid w:val="5A13454B"/>
    <w:rsid w:val="5A5B50ED"/>
    <w:rsid w:val="5D2574A1"/>
    <w:rsid w:val="5D294756"/>
    <w:rsid w:val="5D9E1657"/>
    <w:rsid w:val="5DC2080A"/>
    <w:rsid w:val="5F6B1E45"/>
    <w:rsid w:val="5FA03C31"/>
    <w:rsid w:val="5FC078B7"/>
    <w:rsid w:val="5FC7261F"/>
    <w:rsid w:val="60326B7B"/>
    <w:rsid w:val="625C763B"/>
    <w:rsid w:val="6260512D"/>
    <w:rsid w:val="631C412D"/>
    <w:rsid w:val="63D64733"/>
    <w:rsid w:val="63FE30B6"/>
    <w:rsid w:val="64032E7A"/>
    <w:rsid w:val="646451EA"/>
    <w:rsid w:val="64A05CB5"/>
    <w:rsid w:val="65962C14"/>
    <w:rsid w:val="65B23EF2"/>
    <w:rsid w:val="65D57105"/>
    <w:rsid w:val="65F07FB2"/>
    <w:rsid w:val="669730E8"/>
    <w:rsid w:val="675039C2"/>
    <w:rsid w:val="67FF3F88"/>
    <w:rsid w:val="6905258B"/>
    <w:rsid w:val="696A45A4"/>
    <w:rsid w:val="69AB353C"/>
    <w:rsid w:val="69DF74C2"/>
    <w:rsid w:val="6A165A61"/>
    <w:rsid w:val="6A6D4009"/>
    <w:rsid w:val="6B9F29DB"/>
    <w:rsid w:val="6C242CBC"/>
    <w:rsid w:val="6C2947E2"/>
    <w:rsid w:val="6C4A4810"/>
    <w:rsid w:val="6CAD0BB5"/>
    <w:rsid w:val="6D256F6E"/>
    <w:rsid w:val="6D9B34BE"/>
    <w:rsid w:val="6DD6696E"/>
    <w:rsid w:val="6E6B7E58"/>
    <w:rsid w:val="6EA524AB"/>
    <w:rsid w:val="70DE50A1"/>
    <w:rsid w:val="70E231B1"/>
    <w:rsid w:val="712D135F"/>
    <w:rsid w:val="714F5BD7"/>
    <w:rsid w:val="72D07765"/>
    <w:rsid w:val="73830C7C"/>
    <w:rsid w:val="73DA76D3"/>
    <w:rsid w:val="750A0CFF"/>
    <w:rsid w:val="77687477"/>
    <w:rsid w:val="778D3071"/>
    <w:rsid w:val="77BA6C36"/>
    <w:rsid w:val="78E77DBC"/>
    <w:rsid w:val="78EE6CAC"/>
    <w:rsid w:val="796B468C"/>
    <w:rsid w:val="796E7CD8"/>
    <w:rsid w:val="79D42231"/>
    <w:rsid w:val="79F214BE"/>
    <w:rsid w:val="7A036672"/>
    <w:rsid w:val="7A7953A0"/>
    <w:rsid w:val="7AB45BBF"/>
    <w:rsid w:val="7AED01B2"/>
    <w:rsid w:val="7B2C1BF9"/>
    <w:rsid w:val="7C3829D4"/>
    <w:rsid w:val="7C603C27"/>
    <w:rsid w:val="7D691CDB"/>
    <w:rsid w:val="7EBD3628"/>
    <w:rsid w:val="7F030EC6"/>
    <w:rsid w:val="7FB328E9"/>
    <w:rsid w:val="7FD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link w:val="28"/>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ind w:left="420" w:leftChars="200"/>
    </w:pPr>
  </w:style>
  <w:style w:type="paragraph" w:styleId="6">
    <w:name w:val="annotation text"/>
    <w:basedOn w:val="1"/>
    <w:link w:val="25"/>
    <w:autoRedefine/>
    <w:qFormat/>
    <w:uiPriority w:val="0"/>
  </w:style>
  <w:style w:type="paragraph" w:styleId="7">
    <w:name w:val="Salutation"/>
    <w:basedOn w:val="1"/>
    <w:next w:val="1"/>
    <w:qFormat/>
    <w:uiPriority w:val="0"/>
    <w:rPr>
      <w:rFonts w:ascii="仿宋_GB2312;仿宋" w:hAnsi="仿宋_GB2312;仿宋" w:eastAsia="仿宋_GB2312;仿宋" w:cs="宋体;SimSun"/>
      <w:sz w:val="24"/>
      <w:lang w:val="zh-CN"/>
    </w:rPr>
  </w:style>
  <w:style w:type="paragraph" w:styleId="8">
    <w:name w:val="Body Text"/>
    <w:basedOn w:val="1"/>
    <w:autoRedefine/>
    <w:qFormat/>
    <w:uiPriority w:val="1"/>
    <w:rPr>
      <w:rFonts w:ascii="宋体" w:hAnsi="宋体" w:eastAsia="宋体" w:cs="宋体"/>
      <w:sz w:val="24"/>
      <w:szCs w:val="24"/>
      <w:lang w:val="zh-CN" w:bidi="zh-CN"/>
    </w:rPr>
  </w:style>
  <w:style w:type="paragraph" w:styleId="9">
    <w:name w:val="toc 3"/>
    <w:basedOn w:val="1"/>
    <w:next w:val="1"/>
    <w:autoRedefine/>
    <w:qFormat/>
    <w:uiPriority w:val="39"/>
    <w:pPr>
      <w:ind w:left="840" w:leftChars="400"/>
    </w:pPr>
  </w:style>
  <w:style w:type="paragraph" w:styleId="10">
    <w:name w:val="Body Text Indent 2"/>
    <w:basedOn w:val="1"/>
    <w:qFormat/>
    <w:uiPriority w:val="0"/>
    <w:pPr>
      <w:spacing w:after="120" w:line="480" w:lineRule="auto"/>
      <w:ind w:left="420" w:leftChars="200"/>
    </w:pPr>
  </w:style>
  <w:style w:type="paragraph" w:styleId="11">
    <w:name w:val="footer"/>
    <w:basedOn w:val="1"/>
    <w:autoRedefine/>
    <w:qFormat/>
    <w:uiPriority w:val="0"/>
    <w:pPr>
      <w:tabs>
        <w:tab w:val="center" w:pos="4153"/>
        <w:tab w:val="right" w:pos="8306"/>
      </w:tabs>
    </w:pPr>
    <w:rPr>
      <w:sz w:val="18"/>
    </w:rPr>
  </w:style>
  <w:style w:type="paragraph" w:styleId="12">
    <w:name w:val="header"/>
    <w:basedOn w:val="1"/>
    <w:link w:val="30"/>
    <w:autoRedefine/>
    <w:qFormat/>
    <w:uiPriority w:val="0"/>
    <w:pPr>
      <w:pBdr>
        <w:bottom w:val="single" w:color="auto" w:sz="6" w:space="1"/>
      </w:pBdr>
      <w:tabs>
        <w:tab w:val="center" w:pos="4153"/>
        <w:tab w:val="right" w:pos="8306"/>
      </w:tabs>
      <w:jc w:val="center"/>
    </w:pPr>
    <w:rPr>
      <w:sz w:val="18"/>
      <w:szCs w:val="18"/>
    </w:rPr>
  </w:style>
  <w:style w:type="paragraph" w:styleId="13">
    <w:name w:val="toc 1"/>
    <w:basedOn w:val="1"/>
    <w:next w:val="1"/>
    <w:autoRedefine/>
    <w:qFormat/>
    <w:uiPriority w:val="39"/>
  </w:style>
  <w:style w:type="paragraph" w:styleId="14">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5">
    <w:name w:val="annotation subject"/>
    <w:basedOn w:val="6"/>
    <w:next w:val="6"/>
    <w:link w:val="26"/>
    <w:autoRedefine/>
    <w:qFormat/>
    <w:uiPriority w:val="0"/>
    <w:rPr>
      <w:b/>
      <w:bCs/>
    </w:rPr>
  </w:style>
  <w:style w:type="character" w:styleId="18">
    <w:name w:val="Strong"/>
    <w:basedOn w:val="17"/>
    <w:autoRedefine/>
    <w:qFormat/>
    <w:uiPriority w:val="22"/>
    <w:rPr>
      <w:b/>
      <w:bCs/>
    </w:rPr>
  </w:style>
  <w:style w:type="character" w:styleId="19">
    <w:name w:val="Hyperlink"/>
    <w:basedOn w:val="17"/>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7"/>
    <w:autoRedefine/>
    <w:qFormat/>
    <w:uiPriority w:val="0"/>
    <w:rPr>
      <w:sz w:val="21"/>
      <w:szCs w:val="21"/>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font01"/>
    <w:basedOn w:val="17"/>
    <w:autoRedefine/>
    <w:qFormat/>
    <w:uiPriority w:val="0"/>
    <w:rPr>
      <w:rFonts w:hint="eastAsia" w:ascii="宋体" w:hAnsi="宋体" w:eastAsia="宋体" w:cs="宋体"/>
      <w:color w:val="000000"/>
      <w:sz w:val="24"/>
      <w:szCs w:val="24"/>
      <w:u w:val="none"/>
      <w:vertAlign w:val="superscript"/>
    </w:rPr>
  </w:style>
  <w:style w:type="paragraph" w:customStyle="1" w:styleId="23">
    <w:name w:val="报告正文"/>
    <w:basedOn w:val="1"/>
    <w:autoRedefine/>
    <w:qFormat/>
    <w:uiPriority w:val="99"/>
    <w:pPr>
      <w:spacing w:line="360" w:lineRule="auto"/>
      <w:ind w:firstLine="560" w:firstLineChars="200"/>
    </w:pPr>
    <w:rPr>
      <w:sz w:val="28"/>
      <w:szCs w:val="28"/>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character" w:customStyle="1" w:styleId="25">
    <w:name w:val="批注文字 字符"/>
    <w:basedOn w:val="17"/>
    <w:link w:val="6"/>
    <w:autoRedefine/>
    <w:qFormat/>
    <w:uiPriority w:val="0"/>
    <w:rPr>
      <w:rFonts w:ascii="Arial" w:hAnsi="Arial" w:eastAsia="Arial" w:cs="Arial"/>
      <w:snapToGrid w:val="0"/>
      <w:color w:val="000000"/>
      <w:sz w:val="21"/>
      <w:szCs w:val="21"/>
    </w:rPr>
  </w:style>
  <w:style w:type="character" w:customStyle="1" w:styleId="26">
    <w:name w:val="批注主题 字符"/>
    <w:basedOn w:val="25"/>
    <w:link w:val="15"/>
    <w:autoRedefine/>
    <w:qFormat/>
    <w:uiPriority w:val="0"/>
    <w:rPr>
      <w:rFonts w:ascii="Arial" w:hAnsi="Arial" w:eastAsia="Arial" w:cs="Arial"/>
      <w:b/>
      <w:bCs/>
      <w:snapToGrid w:val="0"/>
      <w:color w:val="000000"/>
      <w:sz w:val="21"/>
      <w:szCs w:val="21"/>
    </w:rPr>
  </w:style>
  <w:style w:type="paragraph" w:styleId="27">
    <w:name w:val="List Paragraph"/>
    <w:basedOn w:val="1"/>
    <w:autoRedefine/>
    <w:qFormat/>
    <w:uiPriority w:val="99"/>
    <w:pPr>
      <w:ind w:firstLine="420" w:firstLineChars="200"/>
    </w:pPr>
  </w:style>
  <w:style w:type="character" w:customStyle="1" w:styleId="28">
    <w:name w:val="标题 1 字符"/>
    <w:basedOn w:val="17"/>
    <w:link w:val="4"/>
    <w:autoRedefine/>
    <w:qFormat/>
    <w:uiPriority w:val="0"/>
    <w:rPr>
      <w:rFonts w:ascii="Arial" w:hAnsi="Arial" w:eastAsia="Arial" w:cs="Arial"/>
      <w:b/>
      <w:bCs/>
      <w:snapToGrid w:val="0"/>
      <w:color w:val="000000"/>
      <w:kern w:val="44"/>
      <w:sz w:val="44"/>
      <w:szCs w:val="44"/>
    </w:rPr>
  </w:style>
  <w:style w:type="paragraph" w:customStyle="1" w:styleId="29">
    <w:name w:val="TOC 标题1"/>
    <w:basedOn w:val="4"/>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0">
    <w:name w:val="页眉 字符"/>
    <w:basedOn w:val="17"/>
    <w:link w:val="12"/>
    <w:autoRedefine/>
    <w:qFormat/>
    <w:uiPriority w:val="0"/>
    <w:rPr>
      <w:rFonts w:ascii="Arial" w:hAnsi="Arial" w:eastAsia="Arial" w:cs="Arial"/>
      <w:snapToGrid w:val="0"/>
      <w:color w:val="000000"/>
      <w:sz w:val="18"/>
      <w:szCs w:val="18"/>
    </w:rPr>
  </w:style>
  <w:style w:type="paragraph" w:customStyle="1" w:styleId="3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标题A"/>
    <w:basedOn w:val="27"/>
    <w:autoRedefine/>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 w:type="character" w:customStyle="1" w:styleId="33">
    <w:name w:val="font31"/>
    <w:basedOn w:val="17"/>
    <w:qFormat/>
    <w:uiPriority w:val="0"/>
    <w:rPr>
      <w:rFonts w:hint="eastAsia" w:ascii="宋体" w:hAnsi="宋体" w:eastAsia="宋体" w:cs="宋体"/>
      <w:color w:val="000000"/>
      <w:sz w:val="20"/>
      <w:szCs w:val="20"/>
      <w:u w:val="none"/>
    </w:rPr>
  </w:style>
  <w:style w:type="character" w:customStyle="1" w:styleId="34">
    <w:name w:val="font21"/>
    <w:basedOn w:val="17"/>
    <w:qFormat/>
    <w:uiPriority w:val="0"/>
    <w:rPr>
      <w:rFonts w:hint="eastAsia" w:ascii="宋体" w:hAnsi="宋体" w:eastAsia="宋体" w:cs="宋体"/>
      <w:color w:val="000000"/>
      <w:sz w:val="20"/>
      <w:szCs w:val="20"/>
      <w:u w:val="none"/>
    </w:rPr>
  </w:style>
  <w:style w:type="character" w:customStyle="1" w:styleId="35">
    <w:name w:val="font41"/>
    <w:basedOn w:val="17"/>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7041</Words>
  <Characters>7520</Characters>
  <Lines>28</Lines>
  <Paragraphs>7</Paragraphs>
  <TotalTime>5</TotalTime>
  <ScaleCrop>false</ScaleCrop>
  <LinksUpToDate>false</LinksUpToDate>
  <CharactersWithSpaces>7661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徐</cp:lastModifiedBy>
  <cp:lastPrinted>2022-12-05T07:10:00Z</cp:lastPrinted>
  <dcterms:modified xsi:type="dcterms:W3CDTF">2025-05-29T14:12:20Z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F1E627E2D5304317B1B859E55F4DFA11_13</vt:lpwstr>
  </property>
  <property fmtid="{D5CDD505-2E9C-101B-9397-08002B2CF9AE}" pid="4" name="KSOTemplateDocerSaveRecord">
    <vt:lpwstr>eyJoZGlkIjoiY2U2ZTU4NmFiOTE3ZWRmYjIwMDdjYzI1NDZmMzcyMGIiLCJ1c2VySWQiOiIyOTIwMTI1NzMifQ==</vt:lpwstr>
  </property>
</Properties>
</file>