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8F47">
      <w:pPr>
        <w:spacing w:line="278" w:lineRule="auto"/>
        <w:rPr>
          <w:rFonts w:hint="eastAsia" w:ascii="宋体" w:hAnsi="宋体" w:eastAsia="宋体" w:cs="宋体"/>
        </w:rPr>
      </w:pPr>
      <w:bookmarkStart w:id="0" w:name="_Toc14049"/>
      <w:bookmarkStart w:id="1" w:name="_Toc27807"/>
    </w:p>
    <w:p w14:paraId="244239FC">
      <w:pPr>
        <w:spacing w:line="278" w:lineRule="auto"/>
        <w:rPr>
          <w:rFonts w:hint="eastAsia" w:ascii="宋体" w:hAnsi="宋体" w:eastAsia="宋体" w:cs="宋体"/>
        </w:rPr>
      </w:pPr>
    </w:p>
    <w:p w14:paraId="26199007">
      <w:pPr>
        <w:tabs>
          <w:tab w:val="left" w:pos="5882"/>
        </w:tabs>
        <w:spacing w:before="169" w:line="185" w:lineRule="auto"/>
        <w:jc w:val="center"/>
        <w:outlineLvl w:val="0"/>
        <w:rPr>
          <w:rFonts w:hint="eastAsia" w:ascii="宋体" w:hAnsi="宋体" w:eastAsia="宋体" w:cs="宋体"/>
          <w:color w:val="auto"/>
          <w:sz w:val="52"/>
          <w:szCs w:val="52"/>
          <w:u w:val="single"/>
          <w:lang w:val="en-US" w:eastAsia="zh-CN"/>
        </w:rPr>
      </w:pPr>
      <w:bookmarkStart w:id="2" w:name="_Toc11471"/>
      <w:bookmarkStart w:id="3" w:name="_Toc16784"/>
    </w:p>
    <w:p w14:paraId="39AAA25E">
      <w:pPr>
        <w:tabs>
          <w:tab w:val="left" w:pos="5882"/>
        </w:tabs>
        <w:spacing w:before="169" w:line="185" w:lineRule="auto"/>
        <w:jc w:val="center"/>
        <w:outlineLvl w:val="0"/>
        <w:rPr>
          <w:rFonts w:hint="eastAsia" w:ascii="宋体" w:hAnsi="宋体" w:eastAsia="宋体" w:cs="宋体"/>
          <w:spacing w:val="-3"/>
          <w:sz w:val="52"/>
          <w:szCs w:val="52"/>
        </w:rPr>
      </w:pPr>
      <w:r>
        <w:rPr>
          <w:rFonts w:hint="eastAsia" w:ascii="宋体" w:hAnsi="宋体" w:eastAsia="宋体" w:cs="宋体"/>
          <w:spacing w:val="-3"/>
          <w:sz w:val="52"/>
          <w:szCs w:val="52"/>
          <w:u w:val="single"/>
          <w:lang w:val="en-US" w:eastAsia="zh-CN"/>
        </w:rPr>
        <w:t>液压与气动类标准件</w:t>
      </w:r>
      <w:r>
        <w:rPr>
          <w:rFonts w:hint="eastAsia" w:ascii="宋体" w:hAnsi="宋体" w:eastAsia="宋体" w:cs="宋体"/>
          <w:spacing w:val="-3"/>
          <w:sz w:val="52"/>
          <w:szCs w:val="52"/>
        </w:rPr>
        <w:t>采购项目</w:t>
      </w:r>
      <w:bookmarkEnd w:id="2"/>
      <w:bookmarkEnd w:id="3"/>
    </w:p>
    <w:p w14:paraId="3AEF8501">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37A88FDC">
      <w:pPr>
        <w:spacing w:line="248" w:lineRule="auto"/>
        <w:rPr>
          <w:rFonts w:hint="eastAsia" w:ascii="宋体" w:hAnsi="宋体" w:eastAsia="宋体" w:cs="宋体"/>
        </w:rPr>
      </w:pPr>
    </w:p>
    <w:p w14:paraId="17B4C460">
      <w:pPr>
        <w:spacing w:line="248" w:lineRule="auto"/>
        <w:rPr>
          <w:rFonts w:hint="eastAsia" w:ascii="宋体" w:hAnsi="宋体" w:eastAsia="宋体" w:cs="宋体"/>
        </w:rPr>
      </w:pPr>
    </w:p>
    <w:p w14:paraId="2CC8832C">
      <w:pPr>
        <w:spacing w:line="248" w:lineRule="auto"/>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HXZB2025021101</w:t>
      </w:r>
    </w:p>
    <w:p w14:paraId="7BB90D44">
      <w:pPr>
        <w:spacing w:line="248" w:lineRule="auto"/>
        <w:rPr>
          <w:rFonts w:hint="eastAsia" w:ascii="宋体" w:hAnsi="宋体" w:eastAsia="宋体" w:cs="宋体"/>
        </w:rPr>
      </w:pPr>
    </w:p>
    <w:p w14:paraId="72791A66">
      <w:pPr>
        <w:spacing w:line="248" w:lineRule="auto"/>
        <w:rPr>
          <w:rFonts w:hint="eastAsia" w:ascii="宋体" w:hAnsi="宋体" w:eastAsia="宋体" w:cs="宋体"/>
        </w:rPr>
      </w:pPr>
    </w:p>
    <w:p w14:paraId="25ADB838">
      <w:pPr>
        <w:spacing w:line="249" w:lineRule="auto"/>
        <w:rPr>
          <w:rFonts w:hint="eastAsia" w:ascii="宋体" w:hAnsi="宋体" w:eastAsia="宋体" w:cs="宋体"/>
        </w:rPr>
      </w:pPr>
    </w:p>
    <w:p w14:paraId="1DAB54E0">
      <w:pPr>
        <w:tabs>
          <w:tab w:val="left" w:pos="8063"/>
        </w:tabs>
        <w:spacing w:line="249" w:lineRule="auto"/>
        <w:rPr>
          <w:rFonts w:hint="eastAsia" w:ascii="宋体" w:hAnsi="宋体" w:eastAsia="宋体" w:cs="宋体"/>
          <w:lang w:eastAsia="zh-CN"/>
        </w:rPr>
      </w:pPr>
      <w:r>
        <w:rPr>
          <w:rFonts w:hint="eastAsia" w:ascii="宋体" w:hAnsi="宋体" w:eastAsia="宋体" w:cs="宋体"/>
          <w:lang w:eastAsia="zh-CN"/>
        </w:rPr>
        <w:tab/>
      </w:r>
    </w:p>
    <w:p w14:paraId="55B5DFB7">
      <w:pPr>
        <w:spacing w:before="274" w:line="185" w:lineRule="auto"/>
        <w:jc w:val="center"/>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428AEA9A">
      <w:pPr>
        <w:spacing w:line="252" w:lineRule="auto"/>
        <w:rPr>
          <w:rFonts w:hint="eastAsia" w:ascii="宋体" w:hAnsi="宋体" w:eastAsia="宋体" w:cs="宋体"/>
        </w:rPr>
      </w:pPr>
    </w:p>
    <w:p w14:paraId="46909933">
      <w:pPr>
        <w:spacing w:line="252" w:lineRule="auto"/>
        <w:rPr>
          <w:rFonts w:hint="eastAsia" w:ascii="宋体" w:hAnsi="宋体" w:eastAsia="宋体" w:cs="宋体"/>
        </w:rPr>
      </w:pPr>
    </w:p>
    <w:p w14:paraId="0984F727">
      <w:pPr>
        <w:spacing w:line="252" w:lineRule="auto"/>
        <w:rPr>
          <w:rFonts w:hint="eastAsia" w:ascii="宋体" w:hAnsi="宋体" w:eastAsia="宋体" w:cs="宋体"/>
        </w:rPr>
      </w:pPr>
    </w:p>
    <w:p w14:paraId="4D0E4C2E">
      <w:pPr>
        <w:spacing w:line="252" w:lineRule="auto"/>
        <w:rPr>
          <w:rFonts w:hint="eastAsia" w:ascii="宋体" w:hAnsi="宋体" w:eastAsia="宋体" w:cs="宋体"/>
        </w:rPr>
      </w:pPr>
    </w:p>
    <w:p w14:paraId="22C73EC0">
      <w:pPr>
        <w:spacing w:line="253" w:lineRule="auto"/>
        <w:rPr>
          <w:rFonts w:hint="eastAsia" w:ascii="宋体" w:hAnsi="宋体" w:eastAsia="宋体" w:cs="宋体"/>
        </w:rPr>
      </w:pPr>
    </w:p>
    <w:p w14:paraId="6A54E3C5">
      <w:pPr>
        <w:spacing w:line="253" w:lineRule="auto"/>
        <w:rPr>
          <w:rFonts w:hint="eastAsia" w:ascii="宋体" w:hAnsi="宋体" w:eastAsia="宋体" w:cs="宋体"/>
        </w:rPr>
      </w:pPr>
    </w:p>
    <w:p w14:paraId="71832BB0">
      <w:pPr>
        <w:pStyle w:val="15"/>
        <w:rPr>
          <w:rFonts w:hint="eastAsia" w:ascii="宋体" w:hAnsi="宋体" w:eastAsia="宋体" w:cs="宋体"/>
        </w:rPr>
      </w:pPr>
    </w:p>
    <w:p w14:paraId="37CB4195">
      <w:pPr>
        <w:pStyle w:val="15"/>
        <w:rPr>
          <w:rFonts w:hint="eastAsia" w:ascii="宋体" w:hAnsi="宋体" w:eastAsia="宋体" w:cs="宋体"/>
        </w:rPr>
      </w:pPr>
      <w:bookmarkStart w:id="95" w:name="_GoBack"/>
      <w:bookmarkEnd w:id="95"/>
    </w:p>
    <w:p w14:paraId="38E38A3D">
      <w:pPr>
        <w:pStyle w:val="15"/>
        <w:rPr>
          <w:rFonts w:hint="eastAsia" w:ascii="宋体" w:hAnsi="宋体" w:eastAsia="宋体" w:cs="宋体"/>
        </w:rPr>
      </w:pPr>
    </w:p>
    <w:p w14:paraId="13E66144">
      <w:pPr>
        <w:spacing w:line="253" w:lineRule="auto"/>
        <w:rPr>
          <w:rFonts w:hint="eastAsia" w:ascii="宋体" w:hAnsi="宋体" w:eastAsia="宋体" w:cs="宋体"/>
        </w:rPr>
      </w:pPr>
    </w:p>
    <w:p w14:paraId="18B311D6">
      <w:pPr>
        <w:spacing w:line="253" w:lineRule="auto"/>
        <w:rPr>
          <w:rFonts w:hint="eastAsia" w:ascii="宋体" w:hAnsi="宋体" w:eastAsia="宋体" w:cs="宋体"/>
        </w:rPr>
      </w:pPr>
    </w:p>
    <w:p w14:paraId="69B305C1">
      <w:pPr>
        <w:spacing w:before="104" w:line="188" w:lineRule="auto"/>
        <w:rPr>
          <w:rFonts w:hint="eastAsia" w:ascii="宋体" w:hAnsi="宋体" w:eastAsia="宋体" w:cs="宋体"/>
          <w:spacing w:val="-18"/>
          <w:sz w:val="32"/>
          <w:szCs w:val="32"/>
        </w:rPr>
      </w:pPr>
    </w:p>
    <w:p w14:paraId="41EBAFB6">
      <w:pPr>
        <w:spacing w:before="104" w:line="188" w:lineRule="auto"/>
        <w:jc w:val="center"/>
        <w:outlineLvl w:val="0"/>
        <w:rPr>
          <w:rFonts w:hint="eastAsia" w:ascii="宋体" w:hAnsi="宋体" w:eastAsia="宋体" w:cs="宋体"/>
          <w:sz w:val="32"/>
          <w:szCs w:val="32"/>
        </w:rPr>
      </w:pPr>
      <w:bookmarkStart w:id="7" w:name="_Toc12968"/>
      <w:bookmarkStart w:id="8" w:name="_Toc28706"/>
      <w:r>
        <w:rPr>
          <w:rFonts w:hint="eastAsia" w:ascii="宋体" w:hAnsi="宋体" w:eastAsia="宋体" w:cs="宋体"/>
          <w:sz w:val="32"/>
          <w:szCs w:val="32"/>
        </w:rPr>
        <w:t>招标人：中国机械总院集团海西（福建）分院有限公司</w:t>
      </w:r>
      <w:bookmarkEnd w:id="7"/>
      <w:bookmarkEnd w:id="8"/>
    </w:p>
    <w:p w14:paraId="4723C682">
      <w:pPr>
        <w:spacing w:line="409" w:lineRule="auto"/>
        <w:rPr>
          <w:rFonts w:hint="eastAsia" w:ascii="宋体" w:hAnsi="宋体" w:eastAsia="宋体" w:cs="宋体"/>
        </w:rPr>
      </w:pPr>
    </w:p>
    <w:p w14:paraId="22805664">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02</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11日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290AFB83">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3C08A681">
          <w:pPr>
            <w:pStyle w:val="12"/>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0470ACE7">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AA6833">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179069">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FD9DAE">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6C21F5">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619B59">
          <w:pPr>
            <w:pStyle w:val="12"/>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2856DA">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4A349D4C">
      <w:pPr>
        <w:pStyle w:val="15"/>
        <w:rPr>
          <w:rFonts w:hint="eastAsia"/>
          <w:lang w:val="en-US" w:eastAsia="zh-CN"/>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p w14:paraId="5142C12E">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9A1A50B">
      <w:pPr>
        <w:tabs>
          <w:tab w:val="left" w:pos="2648"/>
        </w:tabs>
        <w:spacing w:line="360" w:lineRule="auto"/>
        <w:jc w:val="both"/>
        <w:rPr>
          <w:rFonts w:hint="eastAsia" w:ascii="宋体" w:hAnsi="宋体" w:eastAsia="宋体" w:cs="宋体"/>
          <w:sz w:val="24"/>
          <w:szCs w:val="24"/>
        </w:rPr>
      </w:pPr>
      <w:bookmarkStart w:id="12" w:name="_Hlk121147898"/>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tbl>
      <w:tblPr>
        <w:tblStyle w:val="17"/>
        <w:tblpPr w:leftFromText="180" w:rightFromText="180" w:vertAnchor="text" w:tblpX="10626" w:tblpY="1047"/>
        <w:tblOverlap w:val="never"/>
        <w:tblW w:w="128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42"/>
      </w:tblGrid>
      <w:tr w14:paraId="09439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2842" w:type="dxa"/>
          </w:tcPr>
          <w:p w14:paraId="7F73C1B7">
            <w:pPr>
              <w:keepNext w:val="0"/>
              <w:keepLines w:val="0"/>
              <w:pageBreakBefore w:val="0"/>
              <w:widowControl/>
              <w:tabs>
                <w:tab w:val="left" w:pos="5882"/>
              </w:tabs>
              <w:kinsoku w:val="0"/>
              <w:wordWrap/>
              <w:overflowPunct/>
              <w:topLinePunct w:val="0"/>
              <w:autoSpaceDE w:val="0"/>
              <w:autoSpaceDN w:val="0"/>
              <w:bidi w:val="0"/>
              <w:adjustRightInd w:val="0"/>
              <w:snapToGrid w:val="0"/>
              <w:spacing w:before="169" w:line="360" w:lineRule="auto"/>
              <w:jc w:val="left"/>
              <w:textAlignment w:val="baseline"/>
              <w:outlineLvl w:val="0"/>
              <w:rPr>
                <w:rFonts w:hint="eastAsia" w:ascii="宋体" w:hAnsi="宋体" w:eastAsia="宋体" w:cs="宋体"/>
                <w:sz w:val="24"/>
                <w:szCs w:val="24"/>
                <w:vertAlign w:val="baseline"/>
                <w:lang w:val="en-US" w:eastAsia="zh-CN"/>
              </w:rPr>
            </w:pPr>
          </w:p>
        </w:tc>
      </w:tr>
    </w:tbl>
    <w:p w14:paraId="5F0E88B4">
      <w:pPr>
        <w:keepNext w:val="0"/>
        <w:keepLines w:val="0"/>
        <w:pageBreakBefore w:val="0"/>
        <w:widowControl/>
        <w:tabs>
          <w:tab w:val="left" w:pos="5882"/>
        </w:tabs>
        <w:kinsoku w:val="0"/>
        <w:wordWrap/>
        <w:overflowPunct/>
        <w:topLinePunct w:val="0"/>
        <w:autoSpaceDE w:val="0"/>
        <w:autoSpaceDN w:val="0"/>
        <w:bidi w:val="0"/>
        <w:adjustRightInd w:val="0"/>
        <w:snapToGrid w:val="0"/>
        <w:spacing w:before="169" w:line="360" w:lineRule="auto"/>
        <w:jc w:val="left"/>
        <w:textAlignment w:val="baseline"/>
        <w:outlineLvl w:val="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招标人中国机械总院集团海西（福建）分院有限公司根据生产所需，现决定通过招标方式采购</w:t>
      </w:r>
      <w:r>
        <w:rPr>
          <w:rFonts w:hint="eastAsia" w:ascii="宋体" w:hAnsi="宋体" w:eastAsia="宋体" w:cs="宋体"/>
          <w:sz w:val="24"/>
          <w:szCs w:val="24"/>
          <w:lang w:eastAsia="zh-CN"/>
        </w:rPr>
        <w:t>，</w:t>
      </w:r>
      <w:r>
        <w:rPr>
          <w:rFonts w:hint="eastAsia" w:ascii="宋体" w:hAnsi="宋体" w:eastAsia="宋体" w:cs="宋体"/>
          <w:sz w:val="24"/>
          <w:szCs w:val="24"/>
        </w:rPr>
        <w:t>招标编号：</w:t>
      </w:r>
      <w:r>
        <w:rPr>
          <w:rFonts w:hint="eastAsia" w:ascii="宋体" w:hAnsi="宋体" w:eastAsia="宋体" w:cs="宋体"/>
          <w:sz w:val="24"/>
          <w:szCs w:val="24"/>
          <w:u w:val="single"/>
          <w:lang w:val="en-US" w:eastAsia="zh-CN"/>
        </w:rPr>
        <w:t xml:space="preserve"> HXZB2025021101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液压与气动类标准件</w:t>
      </w:r>
      <w:r>
        <w:rPr>
          <w:rFonts w:hint="eastAsia" w:ascii="宋体" w:hAnsi="宋体" w:eastAsia="宋体" w:cs="宋体"/>
          <w:b w:val="0"/>
          <w:bCs w:val="0"/>
          <w:spacing w:val="-3"/>
          <w:sz w:val="24"/>
          <w:szCs w:val="24"/>
          <w:u w:val="single"/>
        </w:rPr>
        <w:t>采购项目</w:t>
      </w:r>
      <w:r>
        <w:rPr>
          <w:rFonts w:hint="eastAsia" w:ascii="宋体" w:hAnsi="宋体" w:eastAsia="宋体" w:cs="宋体"/>
          <w:sz w:val="24"/>
          <w:szCs w:val="24"/>
        </w:rPr>
        <w:t>。</w:t>
      </w:r>
      <w:bookmarkEnd w:id="12"/>
      <w:r>
        <w:rPr>
          <w:rFonts w:hint="eastAsia" w:ascii="宋体" w:hAnsi="宋体" w:eastAsia="宋体" w:cs="宋体"/>
          <w:sz w:val="24"/>
          <w:szCs w:val="24"/>
        </w:rPr>
        <w:t>我们将通过招标方式，最后确定中标单位。</w:t>
      </w:r>
    </w:p>
    <w:p w14:paraId="1DB9BA9A">
      <w:pPr>
        <w:pStyle w:val="28"/>
        <w:numPr>
          <w:ilvl w:val="0"/>
          <w:numId w:val="1"/>
        </w:numPr>
        <w:kinsoku/>
        <w:spacing w:line="360" w:lineRule="auto"/>
        <w:ind w:left="0" w:firstLine="480"/>
        <w:outlineLvl w:val="0"/>
        <w:rPr>
          <w:rFonts w:hint="eastAsia" w:ascii="宋体" w:hAnsi="宋体" w:eastAsia="宋体" w:cs="宋体"/>
          <w:sz w:val="24"/>
          <w:szCs w:val="24"/>
        </w:rPr>
      </w:pPr>
      <w:bookmarkStart w:id="13" w:name="_Toc3942"/>
      <w:bookmarkStart w:id="14" w:name="_Toc13304"/>
      <w:bookmarkStart w:id="15" w:name="_Toc3520"/>
      <w:bookmarkStart w:id="16" w:name="_Toc23627"/>
      <w:bookmarkStart w:id="17" w:name="_Toc30218"/>
      <w:bookmarkStart w:id="18" w:name="_Toc30525"/>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2"/>
        <w:tblpPr w:leftFromText="180" w:rightFromText="180" w:vertAnchor="text" w:horzAnchor="page" w:tblpX="1826" w:tblpY="227"/>
        <w:tblOverlap w:val="never"/>
        <w:tblW w:w="85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1"/>
        <w:gridCol w:w="1699"/>
        <w:gridCol w:w="783"/>
        <w:gridCol w:w="1392"/>
        <w:gridCol w:w="1362"/>
        <w:gridCol w:w="2046"/>
      </w:tblGrid>
      <w:tr w14:paraId="19524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251" w:type="dxa"/>
            <w:vAlign w:val="center"/>
          </w:tcPr>
          <w:p w14:paraId="5BEE8D1D">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99" w:type="dxa"/>
            <w:vAlign w:val="center"/>
          </w:tcPr>
          <w:p w14:paraId="7BBDB1A3">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783" w:type="dxa"/>
            <w:tcBorders>
              <w:left w:val="single" w:color="auto" w:sz="4" w:space="0"/>
            </w:tcBorders>
            <w:vAlign w:val="center"/>
          </w:tcPr>
          <w:p w14:paraId="10C3A60B">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392" w:type="dxa"/>
            <w:vAlign w:val="center"/>
          </w:tcPr>
          <w:p w14:paraId="0E3B9FE0">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362" w:type="dxa"/>
            <w:vAlign w:val="center"/>
          </w:tcPr>
          <w:p w14:paraId="273A2303">
            <w:pPr>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2046" w:type="dxa"/>
            <w:vAlign w:val="center"/>
          </w:tcPr>
          <w:p w14:paraId="3F78D6D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00BC5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1251" w:type="dxa"/>
            <w:vAlign w:val="center"/>
          </w:tcPr>
          <w:p w14:paraId="4877391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99" w:type="dxa"/>
            <w:vAlign w:val="center"/>
          </w:tcPr>
          <w:p w14:paraId="72D1F08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液压与气动类标准件</w:t>
            </w:r>
          </w:p>
        </w:tc>
        <w:tc>
          <w:tcPr>
            <w:tcW w:w="783" w:type="dxa"/>
            <w:tcBorders>
              <w:left w:val="single" w:color="auto" w:sz="4" w:space="0"/>
            </w:tcBorders>
            <w:vAlign w:val="center"/>
          </w:tcPr>
          <w:p w14:paraId="6356A23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批</w:t>
            </w:r>
          </w:p>
        </w:tc>
        <w:tc>
          <w:tcPr>
            <w:tcW w:w="1392" w:type="dxa"/>
            <w:vAlign w:val="center"/>
          </w:tcPr>
          <w:p w14:paraId="71A8CFE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62" w:type="dxa"/>
            <w:tcBorders>
              <w:bottom w:val="single" w:color="auto" w:sz="4" w:space="0"/>
            </w:tcBorders>
            <w:vAlign w:val="center"/>
          </w:tcPr>
          <w:p w14:paraId="59DD9368">
            <w:pPr>
              <w:keepNext w:val="0"/>
              <w:keepLines w:val="0"/>
              <w:pageBreakBefore w:val="0"/>
              <w:wordWrap/>
              <w:overflowPunct/>
              <w:topLinePunct w:val="0"/>
              <w:bidi w:val="0"/>
              <w:jc w:val="center"/>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按需方下单后3天内交货</w:t>
            </w:r>
          </w:p>
        </w:tc>
        <w:tc>
          <w:tcPr>
            <w:tcW w:w="2046" w:type="dxa"/>
            <w:tcBorders>
              <w:bottom w:val="single" w:color="auto" w:sz="4" w:space="0"/>
            </w:tcBorders>
            <w:vAlign w:val="center"/>
          </w:tcPr>
          <w:p w14:paraId="3C2C9ACA">
            <w:pPr>
              <w:keepNext w:val="0"/>
              <w:keepLines w:val="0"/>
              <w:pageBreakBefore w:val="0"/>
              <w:wordWrap/>
              <w:overflowPunct/>
              <w:topLinePunct w:val="0"/>
              <w:bidi w:val="0"/>
              <w:jc w:val="center"/>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每月按需方下订单数量供货，清单见附件1，包括但不限于清单型号</w:t>
            </w:r>
          </w:p>
        </w:tc>
      </w:tr>
    </w:tbl>
    <w:p w14:paraId="46EC4344">
      <w:pPr>
        <w:pStyle w:val="28"/>
        <w:numPr>
          <w:ilvl w:val="0"/>
          <w:numId w:val="0"/>
        </w:numPr>
        <w:kinsoku/>
        <w:autoSpaceDE w:val="0"/>
        <w:autoSpaceDN w:val="0"/>
        <w:adjustRightInd w:val="0"/>
        <w:snapToGrid w:val="0"/>
        <w:spacing w:line="360" w:lineRule="auto"/>
        <w:textAlignment w:val="baseline"/>
        <w:outlineLvl w:val="0"/>
        <w:rPr>
          <w:rFonts w:hint="eastAsia" w:ascii="宋体" w:hAnsi="宋体" w:eastAsia="宋体" w:cs="宋体"/>
          <w:sz w:val="24"/>
          <w:szCs w:val="24"/>
        </w:rPr>
      </w:pPr>
    </w:p>
    <w:p w14:paraId="01985D0A">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 xml:space="preserve">林婧楠 </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15159159199</w:t>
      </w:r>
      <w:r>
        <w:rPr>
          <w:rFonts w:hint="eastAsia" w:ascii="宋体" w:hAnsi="宋体" w:eastAsia="宋体" w:cs="宋体"/>
          <w:sz w:val="24"/>
          <w:szCs w:val="24"/>
        </w:rPr>
        <w:t>)</w:t>
      </w:r>
    </w:p>
    <w:p w14:paraId="56684D4C">
      <w:pPr>
        <w:pStyle w:val="28"/>
        <w:numPr>
          <w:ilvl w:val="0"/>
          <w:numId w:val="1"/>
        </w:numPr>
        <w:kinsoku/>
        <w:spacing w:line="360" w:lineRule="auto"/>
        <w:ind w:left="0" w:firstLine="480"/>
        <w:rPr>
          <w:rFonts w:hint="eastAsia" w:ascii="宋体" w:hAnsi="宋体" w:eastAsia="宋体" w:cs="宋体"/>
          <w:sz w:val="24"/>
          <w:szCs w:val="24"/>
          <w:lang w:eastAsia="zh-CN"/>
        </w:rPr>
      </w:pPr>
      <w:r>
        <w:rPr>
          <w:rFonts w:hint="eastAsia" w:ascii="宋体" w:hAnsi="宋体" w:eastAsia="宋体" w:cs="宋体"/>
          <w:sz w:val="24"/>
          <w:szCs w:val="24"/>
          <w:lang w:val="en-US" w:eastAsia="zh-CN"/>
        </w:rPr>
        <w:t>执行标准：</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执行</w:t>
      </w:r>
      <w:r>
        <w:rPr>
          <w:rFonts w:hint="eastAsia" w:ascii="宋体" w:hAnsi="宋体" w:eastAsia="宋体" w:cs="宋体"/>
          <w:color w:val="auto"/>
          <w:sz w:val="24"/>
          <w:szCs w:val="24"/>
          <w:lang w:val="en-US" w:eastAsia="zh-CN"/>
        </w:rPr>
        <w:t>现行的国家</w:t>
      </w:r>
      <w:r>
        <w:rPr>
          <w:rFonts w:hint="eastAsia" w:ascii="宋体" w:hAnsi="宋体" w:eastAsia="宋体" w:cs="宋体"/>
          <w:color w:val="auto"/>
          <w:sz w:val="24"/>
          <w:szCs w:val="24"/>
        </w:rPr>
        <w:t>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详见附件2</w:t>
      </w:r>
      <w:r>
        <w:rPr>
          <w:rFonts w:hint="eastAsia" w:ascii="宋体" w:hAnsi="宋体" w:eastAsia="宋体" w:cs="宋体"/>
          <w:color w:val="auto"/>
          <w:sz w:val="24"/>
          <w:szCs w:val="24"/>
          <w:lang w:eastAsia="zh-CN"/>
        </w:rPr>
        <w:t>。</w:t>
      </w:r>
    </w:p>
    <w:p w14:paraId="768BDC02">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default" w:ascii="宋体" w:hAnsi="宋体" w:eastAsia="宋体" w:cs="宋体"/>
          <w:sz w:val="24"/>
          <w:szCs w:val="24"/>
          <w:lang w:val="en-US" w:eastAsia="zh-CN"/>
        </w:rPr>
        <w:t>本次采购物资计划供货</w:t>
      </w:r>
      <w:r>
        <w:rPr>
          <w:rFonts w:hint="eastAsia" w:ascii="宋体" w:hAnsi="宋体" w:eastAsia="宋体" w:cs="宋体"/>
          <w:sz w:val="24"/>
          <w:szCs w:val="24"/>
          <w:lang w:val="en-US" w:eastAsia="zh-CN"/>
        </w:rPr>
        <w:t>：</w:t>
      </w:r>
    </w:p>
    <w:p w14:paraId="21724E7A">
      <w:pPr>
        <w:widowControl w:val="0"/>
        <w:numPr>
          <w:ilvl w:val="0"/>
          <w:numId w:val="0"/>
        </w:numPr>
        <w:kinsoku/>
        <w:spacing w:line="360" w:lineRule="auto"/>
        <w:ind w:leftChars="200"/>
        <w:rPr>
          <w:rFonts w:hint="eastAsia" w:ascii="宋体" w:hAnsi="宋体" w:eastAsia="宋体" w:cs="宋体"/>
          <w:color w:val="auto"/>
          <w:sz w:val="24"/>
          <w:szCs w:val="24"/>
        </w:rPr>
      </w:pPr>
      <w:r>
        <w:rPr>
          <w:rFonts w:hint="default" w:ascii="宋体" w:hAnsi="宋体" w:eastAsia="宋体" w:cs="宋体"/>
          <w:sz w:val="24"/>
          <w:szCs w:val="24"/>
          <w:lang w:val="en-US" w:eastAsia="zh-CN"/>
        </w:rPr>
        <w:t>开始时间为</w:t>
      </w:r>
      <w:r>
        <w:rPr>
          <w:rFonts w:hint="eastAsia" w:ascii="宋体" w:hAnsi="宋体" w:eastAsia="宋体" w:cs="宋体"/>
          <w:sz w:val="24"/>
          <w:szCs w:val="24"/>
          <w:lang w:val="en-US" w:eastAsia="zh-CN"/>
        </w:rPr>
        <w:t>2025</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日，计划供货结束时间为202</w:t>
      </w: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日</w:t>
      </w:r>
    </w:p>
    <w:p w14:paraId="4E46E10D">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参考品牌：</w:t>
      </w:r>
      <w:r>
        <w:rPr>
          <w:rFonts w:hint="eastAsia" w:ascii="宋体" w:hAnsi="宋体" w:eastAsia="宋体" w:cs="宋体"/>
          <w:color w:val="auto"/>
          <w:sz w:val="24"/>
          <w:szCs w:val="24"/>
          <w:lang w:val="en-US" w:eastAsia="zh-CN"/>
        </w:rPr>
        <w:t>亚德客、FESTO、力士乐、派克、SMC、喜开理（CKD）、气立可(CHELIC)、宝腾、流遍</w:t>
      </w:r>
      <w:r>
        <w:rPr>
          <w:rFonts w:hint="eastAsia" w:ascii="宋体" w:hAnsi="宋体" w:eastAsia="宋体" w:cs="宋体"/>
          <w:color w:val="auto"/>
          <w:sz w:val="24"/>
          <w:szCs w:val="24"/>
        </w:rPr>
        <w:t>或相当于以上的品牌</w:t>
      </w:r>
    </w:p>
    <w:p w14:paraId="15708376">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bookmarkStart w:id="19" w:name="_Toc5828"/>
    </w:p>
    <w:p w14:paraId="1F66257B">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rPr>
        <w:t>日</w:t>
      </w:r>
      <w:bookmarkEnd w:id="19"/>
    </w:p>
    <w:p w14:paraId="3303C7FE">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52398B1">
      <w:pPr>
        <w:widowControl w:val="0"/>
        <w:numPr>
          <w:ilvl w:val="0"/>
          <w:numId w:val="1"/>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rPr>
        <w:t>日</w:t>
      </w:r>
      <w:bookmarkStart w:id="20" w:name="_Toc24591"/>
      <w:bookmarkStart w:id="21" w:name="_Toc7018"/>
      <w:bookmarkStart w:id="22" w:name="_Toc27635"/>
      <w:bookmarkStart w:id="23" w:name="_Toc30159"/>
      <w:bookmarkStart w:id="24" w:name="_Toc654"/>
      <w:bookmarkStart w:id="25" w:name="_Toc9339"/>
    </w:p>
    <w:p w14:paraId="45738703">
      <w:pPr>
        <w:widowControl w:val="0"/>
        <w:numPr>
          <w:ilvl w:val="0"/>
          <w:numId w:val="1"/>
        </w:numPr>
        <w:kinsoku/>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相关要求：</w:t>
      </w:r>
      <w:bookmarkEnd w:id="20"/>
      <w:bookmarkEnd w:id="21"/>
      <w:bookmarkEnd w:id="22"/>
      <w:bookmarkEnd w:id="23"/>
      <w:bookmarkEnd w:id="24"/>
      <w:bookmarkEnd w:id="25"/>
    </w:p>
    <w:p w14:paraId="0D9BD387">
      <w:pPr>
        <w:widowControl w:val="0"/>
        <w:kinsoku/>
        <w:spacing w:line="360" w:lineRule="auto"/>
        <w:ind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6D6619CF">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54DCB0EC">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76B8F163">
      <w:pPr>
        <w:pStyle w:val="15"/>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59F5F29E">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7416AD2C">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7FE306B5">
      <w:pPr>
        <w:widowControl w:val="0"/>
        <w:kinsoku/>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7）货到票到凭对账单月结付款。需方收到供方货物、检测报告，验收合格后凭对账单次月25日前月结，提供对应13%增值税专用发票后支付相应合同货款，电汇或银承。</w:t>
      </w:r>
    </w:p>
    <w:p w14:paraId="0B489DFE">
      <w:pPr>
        <w:widowControl w:val="0"/>
        <w:kinsoku/>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49B1B400">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661A7BC">
      <w:pPr>
        <w:pStyle w:val="28"/>
        <w:numPr>
          <w:ilvl w:val="0"/>
          <w:numId w:val="0"/>
        </w:numPr>
        <w:kinsoku/>
        <w:spacing w:line="360" w:lineRule="auto"/>
        <w:ind w:leftChars="200"/>
        <w:outlineLvl w:val="0"/>
        <w:rPr>
          <w:rFonts w:hint="eastAsia" w:ascii="宋体" w:hAnsi="宋体" w:eastAsia="宋体" w:cs="宋体"/>
          <w:sz w:val="24"/>
          <w:szCs w:val="24"/>
        </w:rPr>
      </w:pPr>
      <w:bookmarkStart w:id="26" w:name="_Toc20083"/>
      <w:bookmarkStart w:id="27" w:name="_Toc21113"/>
      <w:bookmarkStart w:id="28" w:name="_Toc21790"/>
      <w:bookmarkStart w:id="29" w:name="_Toc30078"/>
      <w:bookmarkStart w:id="30" w:name="_Toc19941"/>
      <w:bookmarkStart w:id="31" w:name="_Toc4182"/>
      <w:r>
        <w:rPr>
          <w:rFonts w:hint="eastAsia" w:ascii="宋体" w:hAnsi="宋体" w:eastAsia="宋体" w:cs="宋体"/>
          <w:sz w:val="24"/>
          <w:szCs w:val="24"/>
          <w:lang w:val="en-US" w:eastAsia="zh-CN"/>
        </w:rPr>
        <w:t>12.</w:t>
      </w:r>
      <w:r>
        <w:rPr>
          <w:rFonts w:hint="eastAsia" w:ascii="宋体" w:hAnsi="宋体" w:eastAsia="宋体" w:cs="宋体"/>
          <w:sz w:val="24"/>
          <w:szCs w:val="24"/>
        </w:rPr>
        <w:t>联系方式</w:t>
      </w:r>
      <w:bookmarkEnd w:id="26"/>
      <w:bookmarkEnd w:id="27"/>
      <w:bookmarkEnd w:id="28"/>
      <w:bookmarkEnd w:id="29"/>
      <w:bookmarkEnd w:id="30"/>
      <w:bookmarkEnd w:id="31"/>
    </w:p>
    <w:p w14:paraId="4CE0CCD1">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189177DB">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58D6F16E">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30C30382">
      <w:pPr>
        <w:tabs>
          <w:tab w:val="left" w:pos="1446"/>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0A1E6DAE">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34227CA9">
      <w:pPr>
        <w:spacing w:line="270" w:lineRule="auto"/>
        <w:rPr>
          <w:rFonts w:hint="eastAsia" w:ascii="宋体" w:hAnsi="宋体" w:eastAsia="宋体" w:cs="宋体"/>
        </w:rPr>
      </w:pPr>
    </w:p>
    <w:p w14:paraId="7DC70607">
      <w:pPr>
        <w:spacing w:line="360" w:lineRule="auto"/>
        <w:rPr>
          <w:rFonts w:hint="eastAsia" w:ascii="宋体" w:hAnsi="宋体" w:eastAsia="宋体" w:cs="宋体"/>
        </w:rPr>
      </w:pPr>
    </w:p>
    <w:p w14:paraId="0F90590B">
      <w:pPr>
        <w:spacing w:line="360" w:lineRule="auto"/>
        <w:ind w:firstLine="459"/>
        <w:jc w:val="right"/>
        <w:outlineLvl w:val="0"/>
        <w:rPr>
          <w:rFonts w:hint="eastAsia" w:ascii="宋体" w:hAnsi="宋体" w:eastAsia="宋体" w:cs="宋体"/>
          <w:sz w:val="24"/>
          <w:szCs w:val="24"/>
          <w:lang w:eastAsia="zh-CN"/>
        </w:rPr>
      </w:pPr>
      <w:bookmarkStart w:id="32" w:name="_Toc322"/>
      <w:bookmarkStart w:id="33" w:name="_Toc19147"/>
      <w:bookmarkStart w:id="34" w:name="_Toc23207"/>
      <w:bookmarkStart w:id="35" w:name="_Toc20059"/>
      <w:r>
        <w:rPr>
          <w:rFonts w:hint="eastAsia" w:ascii="宋体" w:hAnsi="宋体" w:eastAsia="宋体" w:cs="宋体"/>
          <w:sz w:val="24"/>
          <w:szCs w:val="24"/>
        </w:rPr>
        <w:t>中国机械总院集团海西（福建）分院有限公司</w:t>
      </w:r>
      <w:bookmarkEnd w:id="32"/>
      <w:bookmarkEnd w:id="33"/>
      <w:bookmarkEnd w:id="34"/>
      <w:bookmarkEnd w:id="35"/>
    </w:p>
    <w:p w14:paraId="09442243">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7BBEF32A">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p>
    <w:p w14:paraId="666018ED">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7DFE86DD">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8439"/>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4E742DF5">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14DF5E03">
      <w:pPr>
        <w:pStyle w:val="28"/>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273D8D61">
      <w:pPr>
        <w:pStyle w:val="28"/>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9822"/>
      <w:bookmarkStart w:id="40" w:name="_Toc21532"/>
      <w:bookmarkStart w:id="41" w:name="_Toc15722"/>
      <w:bookmarkStart w:id="42" w:name="_Toc5448"/>
      <w:bookmarkStart w:id="43" w:name="_Toc14879"/>
      <w:bookmarkStart w:id="44" w:name="_Toc24156"/>
      <w:r>
        <w:rPr>
          <w:rFonts w:hint="eastAsia" w:ascii="宋体" w:hAnsi="宋体" w:eastAsia="宋体" w:cs="宋体"/>
          <w:sz w:val="24"/>
          <w:szCs w:val="24"/>
        </w:rPr>
        <w:t>投标资格（包括但不限于）：</w:t>
      </w:r>
      <w:bookmarkEnd w:id="39"/>
      <w:bookmarkEnd w:id="40"/>
      <w:bookmarkEnd w:id="41"/>
      <w:bookmarkEnd w:id="42"/>
      <w:bookmarkEnd w:id="43"/>
      <w:bookmarkEnd w:id="44"/>
    </w:p>
    <w:p w14:paraId="42113DFD">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r>
        <w:rPr>
          <w:rFonts w:hint="eastAsia" w:ascii="宋体" w:hAnsi="宋体" w:eastAsia="宋体" w:cs="宋体"/>
          <w:color w:val="auto"/>
          <w:position w:val="5"/>
          <w:sz w:val="24"/>
          <w:szCs w:val="24"/>
          <w:lang w:eastAsia="zh-CN"/>
        </w:rPr>
        <w:t>，</w:t>
      </w:r>
      <w:r>
        <w:rPr>
          <w:rFonts w:hint="eastAsia" w:ascii="宋体" w:hAnsi="宋体" w:eastAsia="宋体" w:cs="宋体"/>
          <w:color w:val="auto"/>
          <w:position w:val="5"/>
          <w:sz w:val="24"/>
          <w:szCs w:val="24"/>
        </w:rPr>
        <w:t>报价人必须在中国境内依法注册，具有法人资格、</w:t>
      </w:r>
      <w:r>
        <w:rPr>
          <w:rFonts w:hint="eastAsia" w:ascii="宋体" w:hAnsi="宋体" w:eastAsia="宋体" w:cs="宋体"/>
          <w:color w:val="auto"/>
          <w:position w:val="5"/>
          <w:sz w:val="24"/>
          <w:szCs w:val="24"/>
          <w:lang w:val="en-US" w:eastAsia="zh-CN"/>
        </w:rPr>
        <w:t>具</w:t>
      </w:r>
      <w:r>
        <w:rPr>
          <w:rFonts w:hint="eastAsia" w:ascii="宋体" w:hAnsi="宋体" w:eastAsia="宋体" w:cs="宋体"/>
          <w:color w:val="auto"/>
          <w:position w:val="5"/>
          <w:sz w:val="24"/>
          <w:szCs w:val="24"/>
        </w:rPr>
        <w:t>备采购物资生产供应经验的生产商或代理商，并目均具有经过年审的法人营业执照</w:t>
      </w:r>
    </w:p>
    <w:p w14:paraId="10C0D7FD">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报价人必须在中国境内依法注册，具有法人资格、县备采购物资生产供应经验的生产商或代理商，并目均具有经过年审的法人营业执照</w:t>
      </w:r>
    </w:p>
    <w:p w14:paraId="59159788">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5CD4CFAA">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具有一定规模和良好的资金财务状况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报价人注册资金不低于100万元(含)人民币。</w:t>
      </w:r>
    </w:p>
    <w:p w14:paraId="3A72AF06">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履约信用要求:报价人必须具有良好的社会信营，最近三年内没有与骗取合同有关的犯罪或严重违法行为而引起的诉讼和仲裁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近三年不曾在合同中严重违约;财产被接管或企业未处于禁止或取消投标状态。</w:t>
      </w:r>
    </w:p>
    <w:p w14:paraId="00AB5BD6">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37DCA467">
      <w:pPr>
        <w:kinsoku/>
        <w:spacing w:line="360" w:lineRule="auto"/>
        <w:ind w:firstLine="482" w:firstLineChars="200"/>
        <w:outlineLvl w:val="0"/>
        <w:rPr>
          <w:rFonts w:hint="eastAsia" w:ascii="宋体" w:hAnsi="宋体" w:eastAsia="宋体" w:cs="宋体"/>
          <w:b/>
          <w:bCs/>
          <w:sz w:val="24"/>
          <w:szCs w:val="24"/>
        </w:rPr>
      </w:pPr>
      <w:bookmarkStart w:id="45" w:name="_Toc16770"/>
      <w:bookmarkStart w:id="46" w:name="_Toc9930"/>
      <w:bookmarkStart w:id="47" w:name="_Toc12309"/>
      <w:bookmarkStart w:id="48" w:name="_Toc15847"/>
      <w:bookmarkStart w:id="49" w:name="_Toc23688"/>
      <w:r>
        <w:rPr>
          <w:rFonts w:hint="eastAsia" w:ascii="宋体" w:hAnsi="宋体" w:eastAsia="宋体" w:cs="宋体"/>
          <w:b/>
          <w:bCs/>
          <w:sz w:val="24"/>
          <w:szCs w:val="24"/>
        </w:rPr>
        <w:t>二、投标报价</w:t>
      </w:r>
      <w:bookmarkEnd w:id="45"/>
      <w:bookmarkEnd w:id="46"/>
      <w:bookmarkEnd w:id="47"/>
      <w:bookmarkEnd w:id="48"/>
      <w:bookmarkEnd w:id="49"/>
    </w:p>
    <w:p w14:paraId="4C168E00">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48888CF1">
      <w:pPr>
        <w:pStyle w:val="28"/>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7C07BA43">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159B2FC1">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w:t>
      </w:r>
      <w:r>
        <w:rPr>
          <w:rFonts w:hint="eastAsia" w:ascii="宋体" w:hAnsi="宋体" w:eastAsia="宋体" w:cs="宋体"/>
          <w:sz w:val="24"/>
          <w:szCs w:val="24"/>
          <w:lang w:val="en-US" w:eastAsia="zh-CN"/>
        </w:rPr>
        <w:t>裁切、</w:t>
      </w:r>
      <w:r>
        <w:rPr>
          <w:rFonts w:hint="eastAsia" w:ascii="宋体" w:hAnsi="宋体" w:eastAsia="宋体" w:cs="宋体"/>
          <w:sz w:val="24"/>
          <w:szCs w:val="24"/>
        </w:rPr>
        <w:t>包装、运输、装卸等相关费用）；投标报价以元为单位，精确到小数点后两位数，超出两位按四舍五入计；包装物投标人不回收，费用由投标人负担。</w:t>
      </w:r>
    </w:p>
    <w:p w14:paraId="74E9DE3D">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27ACBBED">
      <w:pPr>
        <w:kinsoku/>
        <w:spacing w:line="360" w:lineRule="auto"/>
        <w:ind w:firstLine="482" w:firstLineChars="200"/>
        <w:outlineLvl w:val="0"/>
        <w:rPr>
          <w:rFonts w:hint="eastAsia" w:ascii="宋体" w:hAnsi="宋体" w:eastAsia="宋体" w:cs="宋体"/>
          <w:b/>
          <w:bCs/>
          <w:sz w:val="24"/>
          <w:szCs w:val="24"/>
        </w:rPr>
      </w:pPr>
      <w:bookmarkStart w:id="51" w:name="_Toc24896"/>
      <w:bookmarkStart w:id="52" w:name="_Toc13329"/>
      <w:bookmarkStart w:id="53" w:name="_Toc19945"/>
      <w:bookmarkStart w:id="54" w:name="_Toc14547"/>
      <w:bookmarkStart w:id="55" w:name="_Toc2348"/>
      <w:r>
        <w:rPr>
          <w:rFonts w:hint="eastAsia" w:ascii="宋体" w:hAnsi="宋体" w:eastAsia="宋体" w:cs="宋体"/>
          <w:b/>
          <w:bCs/>
          <w:sz w:val="24"/>
          <w:szCs w:val="24"/>
        </w:rPr>
        <w:t>三、投标文件</w:t>
      </w:r>
      <w:bookmarkEnd w:id="51"/>
      <w:bookmarkEnd w:id="52"/>
      <w:bookmarkEnd w:id="53"/>
      <w:bookmarkEnd w:id="54"/>
      <w:bookmarkEnd w:id="55"/>
    </w:p>
    <w:p w14:paraId="798BF1AD">
      <w:pPr>
        <w:tabs>
          <w:tab w:val="left" w:pos="1446"/>
        </w:tabs>
        <w:spacing w:line="360" w:lineRule="auto"/>
        <w:ind w:firstLine="480" w:firstLineChars="200"/>
        <w:rPr>
          <w:rFonts w:hint="eastAsia" w:ascii="宋体" w:hAnsi="宋体" w:eastAsia="宋体" w:cs="宋体"/>
          <w:sz w:val="24"/>
          <w:szCs w:val="24"/>
          <w:highlight w:val="none"/>
          <w:lang w:val="en-US" w:eastAsia="zh-CN"/>
        </w:rPr>
      </w:pPr>
      <w:bookmarkStart w:id="56" w:name="_Toc8"/>
      <w:bookmarkStart w:id="57" w:name="_Toc14760"/>
      <w:bookmarkStart w:id="58" w:name="_Toc18677"/>
      <w:bookmarkStart w:id="59" w:name="_Toc29111"/>
      <w:bookmarkStart w:id="60" w:name="_Toc23458"/>
      <w:r>
        <w:rPr>
          <w:rFonts w:hint="eastAsia" w:ascii="宋体" w:hAnsi="宋体" w:eastAsia="宋体" w:cs="宋体"/>
          <w:sz w:val="24"/>
          <w:szCs w:val="24"/>
          <w:highlight w:val="none"/>
          <w:lang w:val="en-US" w:eastAsia="zh-CN"/>
        </w:rPr>
        <w:t>1、投标人应填写其单位名称全称。</w:t>
      </w:r>
    </w:p>
    <w:p w14:paraId="152B7E96">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文件包括《投标函》、《投标单价表》、《液压气动类产品手册》、《技术协议》、《技术和商务条款响应表》、《投标人产品质量承诺函》、《售后服务承诺》、《投资人的资格申明》、《法定代表人授权书》、《业绩表》、《制造商资质证明条件》、《制造商授权代理商文件》、《企业信用等级证书（如果有）》、《质量、环境、健康体系证书（如果有）》、《上一年度企业财务会计报告》、《近三年的相关业绩，列出用户名称及金额。》</w:t>
      </w:r>
    </w:p>
    <w:p w14:paraId="01FF3CC0">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《投标人企业概况及综合情况说明》、《服务承诺》和投标人认为需要提供的其他相关数据和资料。</w:t>
      </w:r>
    </w:p>
    <w:p w14:paraId="3DD10BA6">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3、《投标函》、《投标报价表》须加盖投标人公章，由其法定代表人或其委托代理人亲笔签字。</w:t>
      </w:r>
    </w:p>
    <w:p w14:paraId="5B421543">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4、自开标之日起60天内，投标文件应保持有效。有效期短于前述规定期限的投标，将被拒绝。</w:t>
      </w:r>
    </w:p>
    <w:p w14:paraId="4B82661E">
      <w:pPr>
        <w:kinsoku/>
        <w:spacing w:line="360"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四、开标、评标、定标</w:t>
      </w:r>
      <w:bookmarkEnd w:id="56"/>
      <w:bookmarkEnd w:id="57"/>
      <w:bookmarkEnd w:id="58"/>
      <w:bookmarkEnd w:id="59"/>
      <w:bookmarkEnd w:id="60"/>
    </w:p>
    <w:p w14:paraId="0FF2611A">
      <w:pPr>
        <w:pStyle w:val="28"/>
        <w:numPr>
          <w:ilvl w:val="0"/>
          <w:numId w:val="5"/>
        </w:numPr>
        <w:kinsoku/>
        <w:spacing w:line="360" w:lineRule="auto"/>
        <w:ind w:left="0" w:firstLine="480"/>
        <w:outlineLvl w:val="0"/>
        <w:rPr>
          <w:rFonts w:hint="eastAsia" w:ascii="宋体" w:hAnsi="宋体" w:eastAsia="宋体" w:cs="宋体"/>
          <w:sz w:val="24"/>
          <w:szCs w:val="24"/>
        </w:rPr>
      </w:pPr>
      <w:bookmarkStart w:id="61" w:name="_Toc5695"/>
      <w:bookmarkStart w:id="62" w:name="_Toc3331"/>
      <w:bookmarkStart w:id="63" w:name="_Toc29386"/>
      <w:bookmarkStart w:id="64" w:name="_Toc20255"/>
      <w:bookmarkStart w:id="65" w:name="_Toc31780"/>
      <w:bookmarkStart w:id="66" w:name="_Toc998"/>
      <w:r>
        <w:rPr>
          <w:rFonts w:hint="eastAsia" w:ascii="宋体" w:hAnsi="宋体" w:eastAsia="宋体" w:cs="宋体"/>
          <w:sz w:val="24"/>
          <w:szCs w:val="24"/>
        </w:rPr>
        <w:t>开标时，将按照招标人有关招投标规定执行。</w:t>
      </w:r>
      <w:bookmarkEnd w:id="61"/>
      <w:bookmarkEnd w:id="62"/>
      <w:bookmarkEnd w:id="63"/>
      <w:bookmarkEnd w:id="64"/>
      <w:bookmarkEnd w:id="65"/>
      <w:bookmarkEnd w:id="66"/>
    </w:p>
    <w:p w14:paraId="724C8222">
      <w:pPr>
        <w:pStyle w:val="28"/>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11A884E5">
      <w:pPr>
        <w:pStyle w:val="28"/>
        <w:numPr>
          <w:ilvl w:val="0"/>
          <w:numId w:val="5"/>
        </w:numPr>
        <w:kinsoku/>
        <w:spacing w:line="360" w:lineRule="auto"/>
        <w:ind w:left="0" w:firstLine="480"/>
        <w:outlineLvl w:val="0"/>
        <w:rPr>
          <w:rFonts w:hint="eastAsia" w:ascii="宋体" w:hAnsi="宋体" w:eastAsia="宋体" w:cs="宋体"/>
          <w:sz w:val="24"/>
          <w:szCs w:val="24"/>
        </w:rPr>
      </w:pPr>
      <w:bookmarkStart w:id="67" w:name="_Toc26371"/>
      <w:bookmarkStart w:id="68" w:name="_Toc18886"/>
      <w:bookmarkStart w:id="69" w:name="_Toc12"/>
      <w:bookmarkStart w:id="70" w:name="_Toc24129"/>
      <w:bookmarkStart w:id="71" w:name="_Toc6426"/>
      <w:bookmarkStart w:id="72" w:name="_Toc14086"/>
      <w:r>
        <w:rPr>
          <w:rFonts w:hint="eastAsia" w:ascii="宋体" w:hAnsi="宋体" w:eastAsia="宋体" w:cs="宋体"/>
          <w:sz w:val="24"/>
          <w:szCs w:val="24"/>
        </w:rPr>
        <w:t>招标人不对未中标的投标人作任何解释，不退还投标文件。</w:t>
      </w:r>
      <w:bookmarkEnd w:id="67"/>
      <w:bookmarkEnd w:id="68"/>
      <w:bookmarkEnd w:id="69"/>
      <w:bookmarkEnd w:id="70"/>
      <w:bookmarkEnd w:id="71"/>
      <w:bookmarkEnd w:id="72"/>
    </w:p>
    <w:p w14:paraId="331E18AD">
      <w:pPr>
        <w:numPr>
          <w:ilvl w:val="0"/>
          <w:numId w:val="6"/>
        </w:numPr>
        <w:kinsoku/>
        <w:spacing w:line="360" w:lineRule="auto"/>
        <w:ind w:firstLine="482" w:firstLineChars="200"/>
        <w:outlineLvl w:val="0"/>
        <w:rPr>
          <w:rFonts w:hint="eastAsia" w:ascii="宋体" w:hAnsi="宋体" w:eastAsia="宋体" w:cs="宋体"/>
          <w:b/>
          <w:bCs/>
          <w:sz w:val="24"/>
          <w:szCs w:val="24"/>
        </w:rPr>
      </w:pPr>
      <w:bookmarkStart w:id="73" w:name="_Toc25649"/>
      <w:bookmarkStart w:id="74" w:name="_Toc29662"/>
      <w:bookmarkStart w:id="75" w:name="_Toc2586"/>
      <w:bookmarkStart w:id="76" w:name="_Toc6326"/>
      <w:bookmarkStart w:id="77" w:name="_Toc32748"/>
      <w:r>
        <w:rPr>
          <w:rFonts w:hint="eastAsia" w:ascii="宋体" w:hAnsi="宋体" w:eastAsia="宋体" w:cs="宋体"/>
          <w:b/>
          <w:bCs/>
          <w:sz w:val="24"/>
          <w:szCs w:val="24"/>
          <w:lang w:val="en-US" w:eastAsia="zh-CN"/>
        </w:rPr>
        <w:t>合同签订</w:t>
      </w:r>
      <w:bookmarkEnd w:id="73"/>
      <w:bookmarkEnd w:id="74"/>
      <w:bookmarkEnd w:id="75"/>
      <w:bookmarkEnd w:id="76"/>
      <w:bookmarkEnd w:id="77"/>
    </w:p>
    <w:p w14:paraId="2795F0BA">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1、中标人应在接到中标通知书之日起10日内（含节假日）与招标人（含子公司）签署年度供货协议，年度协议有效期间1年。中标人因自身原因不与招标人签订买卖合同的，视为自愿放弃该次中标。</w:t>
      </w:r>
    </w:p>
    <w:p w14:paraId="2663342F">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2、中标人必须保证中标产品质量的稳定，如果招标人发现产品质量不符合本招标文件要求的标准，或者发生质量下降，招标人有权单方面终止买卖合同。</w:t>
      </w:r>
    </w:p>
    <w:p w14:paraId="03FD933D">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3、中标人延误买卖合同约定的产品交付期限，招标人有权追究中标人责任。</w:t>
      </w:r>
    </w:p>
    <w:p w14:paraId="77555886">
      <w:pPr>
        <w:tabs>
          <w:tab w:val="left" w:pos="1446"/>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highlight w:val="none"/>
          <w:lang w:val="en-US" w:eastAsia="zh-CN"/>
        </w:rPr>
        <w:t>4、在买卖合同有效期内，中标人如违反买卖合同的约定，招标人有权单方面终止买卖合同。</w:t>
      </w:r>
    </w:p>
    <w:p w14:paraId="5FE886B2">
      <w:pPr>
        <w:numPr>
          <w:ilvl w:val="0"/>
          <w:numId w:val="6"/>
        </w:numPr>
        <w:kinsoku/>
        <w:spacing w:line="360"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纪律要求</w:t>
      </w:r>
    </w:p>
    <w:p w14:paraId="37FDB8E8">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1A4DC963">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0F2B354">
      <w:pPr>
        <w:kinsoku/>
        <w:spacing w:line="360" w:lineRule="auto"/>
        <w:ind w:firstLine="482" w:firstLineChars="200"/>
        <w:outlineLvl w:val="0"/>
        <w:rPr>
          <w:rFonts w:hint="eastAsia" w:ascii="宋体" w:hAnsi="宋体" w:eastAsia="宋体" w:cs="宋体"/>
          <w:b/>
          <w:bCs/>
          <w:sz w:val="24"/>
          <w:szCs w:val="24"/>
        </w:rPr>
      </w:pPr>
      <w:bookmarkStart w:id="78" w:name="_Toc9588"/>
      <w:bookmarkStart w:id="79" w:name="_Toc3302"/>
      <w:bookmarkStart w:id="80" w:name="_Toc23438"/>
      <w:bookmarkStart w:id="81" w:name="_Toc11099"/>
      <w:bookmarkStart w:id="82" w:name="_Toc7771"/>
      <w:r>
        <w:rPr>
          <w:rFonts w:hint="eastAsia" w:ascii="宋体" w:hAnsi="宋体" w:eastAsia="宋体" w:cs="宋体"/>
          <w:b/>
          <w:bCs/>
          <w:sz w:val="24"/>
          <w:szCs w:val="24"/>
        </w:rPr>
        <w:t>六、其他</w:t>
      </w:r>
      <w:bookmarkEnd w:id="78"/>
      <w:bookmarkEnd w:id="79"/>
      <w:bookmarkEnd w:id="80"/>
      <w:bookmarkEnd w:id="81"/>
      <w:bookmarkEnd w:id="82"/>
    </w:p>
    <w:p w14:paraId="60700764">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1DB79A61">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lang w:val="en-US" w:eastAsia="zh-CN"/>
        </w:rPr>
        <w:t>中标人可与招标人主体及子公司签订合同。</w:t>
      </w:r>
    </w:p>
    <w:p w14:paraId="258FC748">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138AF11E">
      <w:pPr>
        <w:rPr>
          <w:rFonts w:hint="eastAsia" w:ascii="宋体" w:hAnsi="宋体" w:eastAsia="宋体" w:cs="宋体"/>
        </w:rPr>
      </w:pPr>
    </w:p>
    <w:p w14:paraId="3B6D3991">
      <w:pPr>
        <w:rPr>
          <w:rFonts w:hint="eastAsia" w:ascii="宋体" w:hAnsi="宋体" w:eastAsia="宋体" w:cs="宋体"/>
        </w:rPr>
      </w:pPr>
    </w:p>
    <w:p w14:paraId="335CFF3E">
      <w:pPr>
        <w:rPr>
          <w:rFonts w:hint="eastAsia" w:ascii="宋体" w:hAnsi="宋体" w:eastAsia="宋体" w:cs="宋体"/>
        </w:rPr>
      </w:pPr>
    </w:p>
    <w:p w14:paraId="7FFDFEEA">
      <w:pPr>
        <w:rPr>
          <w:rFonts w:hint="eastAsia" w:ascii="宋体" w:hAnsi="宋体" w:eastAsia="宋体" w:cs="宋体"/>
        </w:rPr>
      </w:pPr>
    </w:p>
    <w:p w14:paraId="2D86E77B">
      <w:pPr>
        <w:rPr>
          <w:rFonts w:hint="eastAsia" w:ascii="宋体" w:hAnsi="宋体" w:eastAsia="宋体" w:cs="宋体"/>
        </w:rPr>
      </w:pPr>
    </w:p>
    <w:p w14:paraId="12D3E00B">
      <w:pPr>
        <w:rPr>
          <w:rFonts w:hint="eastAsia" w:ascii="宋体" w:hAnsi="宋体" w:eastAsia="宋体" w:cs="宋体"/>
        </w:rPr>
      </w:pPr>
    </w:p>
    <w:p w14:paraId="41A63F4B">
      <w:pPr>
        <w:rPr>
          <w:rFonts w:hint="eastAsia" w:ascii="宋体" w:hAnsi="宋体" w:eastAsia="宋体" w:cs="宋体"/>
        </w:rPr>
      </w:pPr>
    </w:p>
    <w:p w14:paraId="4F33421F">
      <w:pPr>
        <w:rPr>
          <w:rFonts w:hint="eastAsia" w:ascii="宋体" w:hAnsi="宋体" w:eastAsia="宋体" w:cs="宋体"/>
        </w:rPr>
      </w:pPr>
    </w:p>
    <w:p w14:paraId="41A44959">
      <w:pPr>
        <w:rPr>
          <w:rFonts w:hint="eastAsia" w:ascii="宋体" w:hAnsi="宋体" w:eastAsia="宋体" w:cs="宋体"/>
        </w:rPr>
      </w:pPr>
    </w:p>
    <w:p w14:paraId="24E36369">
      <w:pPr>
        <w:rPr>
          <w:rFonts w:hint="eastAsia" w:ascii="宋体" w:hAnsi="宋体" w:eastAsia="宋体" w:cs="宋体"/>
        </w:rPr>
      </w:pPr>
    </w:p>
    <w:p w14:paraId="2C791864">
      <w:pPr>
        <w:rPr>
          <w:rFonts w:hint="eastAsia" w:ascii="宋体" w:hAnsi="宋体" w:eastAsia="宋体" w:cs="宋体"/>
        </w:rPr>
      </w:pPr>
    </w:p>
    <w:p w14:paraId="7A3B21C7">
      <w:pPr>
        <w:rPr>
          <w:rFonts w:hint="eastAsia" w:ascii="宋体" w:hAnsi="宋体" w:eastAsia="宋体" w:cs="宋体"/>
        </w:rPr>
      </w:pPr>
    </w:p>
    <w:p w14:paraId="7D3A819D">
      <w:pPr>
        <w:rPr>
          <w:rFonts w:hint="eastAsia" w:ascii="宋体" w:hAnsi="宋体" w:eastAsia="宋体" w:cs="宋体"/>
        </w:rPr>
      </w:pPr>
    </w:p>
    <w:p w14:paraId="03819F11">
      <w:pPr>
        <w:rPr>
          <w:rFonts w:hint="eastAsia" w:ascii="宋体" w:hAnsi="宋体" w:eastAsia="宋体" w:cs="宋体"/>
        </w:rPr>
      </w:pPr>
    </w:p>
    <w:p w14:paraId="3CCB87B4">
      <w:pPr>
        <w:rPr>
          <w:rFonts w:hint="eastAsia" w:ascii="宋体" w:hAnsi="宋体" w:eastAsia="宋体" w:cs="宋体"/>
        </w:rPr>
      </w:pPr>
    </w:p>
    <w:p w14:paraId="01EDEF3A">
      <w:pPr>
        <w:rPr>
          <w:rFonts w:hint="eastAsia" w:ascii="宋体" w:hAnsi="宋体" w:eastAsia="宋体" w:cs="宋体"/>
        </w:rPr>
      </w:pPr>
    </w:p>
    <w:p w14:paraId="739887F8">
      <w:pPr>
        <w:rPr>
          <w:rFonts w:hint="eastAsia" w:ascii="宋体" w:hAnsi="宋体" w:eastAsia="宋体" w:cs="宋体"/>
        </w:rPr>
      </w:pPr>
    </w:p>
    <w:p w14:paraId="536B31E0">
      <w:pPr>
        <w:rPr>
          <w:rFonts w:hint="eastAsia" w:ascii="宋体" w:hAnsi="宋体" w:eastAsia="宋体" w:cs="宋体"/>
        </w:rPr>
      </w:pPr>
    </w:p>
    <w:p w14:paraId="4BEE14DD">
      <w:pPr>
        <w:rPr>
          <w:rFonts w:hint="eastAsia" w:ascii="宋体" w:hAnsi="宋体" w:eastAsia="宋体" w:cs="宋体"/>
        </w:rPr>
      </w:pPr>
    </w:p>
    <w:p w14:paraId="38C8EC9A">
      <w:pPr>
        <w:rPr>
          <w:rFonts w:hint="eastAsia" w:ascii="宋体" w:hAnsi="宋体" w:eastAsia="宋体" w:cs="宋体"/>
        </w:rPr>
      </w:pPr>
    </w:p>
    <w:p w14:paraId="34B938CF">
      <w:pPr>
        <w:rPr>
          <w:rFonts w:hint="eastAsia" w:ascii="宋体" w:hAnsi="宋体" w:eastAsia="宋体" w:cs="宋体"/>
        </w:rPr>
      </w:pPr>
    </w:p>
    <w:p w14:paraId="2D923087">
      <w:pPr>
        <w:rPr>
          <w:rFonts w:hint="eastAsia" w:ascii="宋体" w:hAnsi="宋体" w:eastAsia="宋体" w:cs="宋体"/>
        </w:rPr>
      </w:pPr>
    </w:p>
    <w:p w14:paraId="4C901C40">
      <w:pPr>
        <w:rPr>
          <w:rFonts w:hint="eastAsia" w:ascii="宋体" w:hAnsi="宋体" w:eastAsia="宋体" w:cs="宋体"/>
        </w:rPr>
      </w:pPr>
    </w:p>
    <w:p w14:paraId="448BACB6">
      <w:pPr>
        <w:rPr>
          <w:rFonts w:hint="eastAsia" w:ascii="宋体" w:hAnsi="宋体" w:eastAsia="宋体" w:cs="宋体"/>
        </w:rPr>
      </w:pPr>
    </w:p>
    <w:p w14:paraId="052CEE04">
      <w:pPr>
        <w:rPr>
          <w:rFonts w:hint="eastAsia" w:ascii="宋体" w:hAnsi="宋体" w:eastAsia="宋体" w:cs="宋体"/>
        </w:rPr>
      </w:pPr>
    </w:p>
    <w:p w14:paraId="501C5115">
      <w:pPr>
        <w:rPr>
          <w:rFonts w:hint="eastAsia" w:ascii="宋体" w:hAnsi="宋体" w:eastAsia="宋体" w:cs="宋体"/>
        </w:rPr>
      </w:pPr>
    </w:p>
    <w:p w14:paraId="265CD60A">
      <w:pPr>
        <w:rPr>
          <w:rFonts w:hint="eastAsia" w:ascii="宋体" w:hAnsi="宋体" w:eastAsia="宋体" w:cs="宋体"/>
        </w:rPr>
      </w:pPr>
    </w:p>
    <w:p w14:paraId="7BE719EB">
      <w:pPr>
        <w:rPr>
          <w:rFonts w:hint="eastAsia" w:ascii="宋体" w:hAnsi="宋体" w:eastAsia="宋体" w:cs="宋体"/>
        </w:rPr>
      </w:pPr>
    </w:p>
    <w:p w14:paraId="0061B9A8">
      <w:pPr>
        <w:rPr>
          <w:rFonts w:hint="eastAsia" w:ascii="宋体" w:hAnsi="宋体" w:eastAsia="宋体" w:cs="宋体"/>
        </w:rPr>
      </w:pPr>
    </w:p>
    <w:p w14:paraId="44D71725">
      <w:pPr>
        <w:rPr>
          <w:rFonts w:hint="eastAsia" w:ascii="宋体" w:hAnsi="宋体" w:eastAsia="宋体" w:cs="宋体"/>
        </w:rPr>
      </w:pPr>
    </w:p>
    <w:p w14:paraId="074B7BD4">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3" w:name="_Toc14035"/>
      <w:bookmarkStart w:id="84" w:name="_Toc14207"/>
      <w:bookmarkStart w:id="85"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3"/>
      <w:bookmarkEnd w:id="84"/>
      <w:bookmarkEnd w:id="85"/>
    </w:p>
    <w:p w14:paraId="69D29DDB">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143BF2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0CD8A79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4E5F5F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1864C9D7">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93DFA9D">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423420FD">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667B336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30E0DE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22B0A5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1E02B4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63FEF71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352D78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6AEBC94A">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00AE2BD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56612FBB">
      <w:pPr>
        <w:pStyle w:val="24"/>
        <w:rPr>
          <w:rFonts w:hint="eastAsia" w:ascii="宋体" w:hAnsi="宋体" w:eastAsia="宋体" w:cs="宋体"/>
          <w:color w:val="auto"/>
          <w:sz w:val="24"/>
          <w:highlight w:val="none"/>
        </w:rPr>
      </w:pPr>
    </w:p>
    <w:p w14:paraId="21B215BF">
      <w:pPr>
        <w:pStyle w:val="24"/>
        <w:rPr>
          <w:rFonts w:hint="eastAsia" w:ascii="宋体" w:hAnsi="宋体" w:eastAsia="宋体" w:cs="宋体"/>
          <w:color w:val="auto"/>
          <w:sz w:val="24"/>
          <w:highlight w:val="none"/>
        </w:rPr>
      </w:pPr>
    </w:p>
    <w:p w14:paraId="7BD37EAD">
      <w:pPr>
        <w:ind w:firstLine="458" w:firstLineChars="200"/>
        <w:rPr>
          <w:rFonts w:hint="eastAsia" w:ascii="宋体" w:hAnsi="宋体" w:eastAsia="宋体" w:cs="宋体"/>
          <w:b/>
          <w:bCs/>
          <w:color w:val="auto"/>
          <w:spacing w:val="-6"/>
          <w:sz w:val="24"/>
          <w:highlight w:val="none"/>
          <w:lang w:eastAsia="zh-CN"/>
        </w:rPr>
      </w:pPr>
    </w:p>
    <w:p w14:paraId="05BEEFFD">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6" w:name="_Toc13537"/>
      <w:bookmarkStart w:id="87" w:name="_Toc14784"/>
      <w:bookmarkStart w:id="88"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86"/>
      <w:bookmarkEnd w:id="87"/>
      <w:bookmarkEnd w:id="88"/>
    </w:p>
    <w:p w14:paraId="444A922C">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523C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356BA0B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7D5D4AC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02EF46A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0E0095D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17C378F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6AA1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7DE69451">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B199278">
            <w:pPr>
              <w:pStyle w:val="5"/>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50EA110B">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2165BE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性能参数：一项不响应扣1-2分。</w:t>
            </w:r>
          </w:p>
        </w:tc>
        <w:tc>
          <w:tcPr>
            <w:tcW w:w="1134" w:type="dxa"/>
            <w:tcMar>
              <w:left w:w="103" w:type="dxa"/>
            </w:tcMar>
            <w:vAlign w:val="center"/>
          </w:tcPr>
          <w:p w14:paraId="0DC3255B">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13BDFE94">
      <w:pPr>
        <w:spacing w:line="360" w:lineRule="auto"/>
        <w:jc w:val="both"/>
        <w:rPr>
          <w:rFonts w:hint="eastAsia" w:ascii="宋体" w:hAnsi="宋体" w:eastAsia="宋体" w:cs="宋体"/>
          <w:b/>
          <w:bCs/>
          <w:sz w:val="24"/>
        </w:rPr>
      </w:pPr>
    </w:p>
    <w:p w14:paraId="4D6C5512">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rPr>
        <w:t>3、价格部分（分值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6F704E0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3434489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0B9E1CF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247E318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DAFAA7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E19190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29A1FCB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00D5F7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53DFD6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022BBA2B">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5086D95D">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84DFBF">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675B0376">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1AA796D">
            <w:pPr>
              <w:spacing w:line="360" w:lineRule="auto"/>
              <w:rPr>
                <w:rFonts w:hint="eastAsia" w:ascii="宋体" w:hAnsi="宋体" w:eastAsia="宋体" w:cs="宋体"/>
                <w:sz w:val="24"/>
                <w:szCs w:val="24"/>
              </w:rPr>
            </w:pPr>
          </w:p>
        </w:tc>
      </w:tr>
    </w:tbl>
    <w:p w14:paraId="72E789AD">
      <w:pPr>
        <w:pStyle w:val="15"/>
        <w:ind w:left="0" w:leftChars="0" w:firstLine="0" w:firstLineChars="0"/>
        <w:rPr>
          <w:rFonts w:hint="eastAsia" w:ascii="宋体" w:hAnsi="宋体" w:eastAsia="宋体" w:cs="宋体"/>
          <w:color w:val="auto"/>
        </w:rPr>
      </w:pPr>
    </w:p>
    <w:p w14:paraId="3DB0B6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564E5C0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66E034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23A589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7B3289AD">
      <w:pPr>
        <w:spacing w:line="360" w:lineRule="auto"/>
        <w:ind w:firstLine="480" w:firstLineChars="200"/>
        <w:rPr>
          <w:rFonts w:hint="eastAsia" w:ascii="宋体" w:hAnsi="宋体" w:eastAsia="宋体" w:cs="宋体"/>
          <w:color w:val="auto"/>
          <w:sz w:val="24"/>
          <w:highlight w:val="yellow"/>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.评标小组评委依据得分高低顺序依次确定</w:t>
      </w:r>
      <w:r>
        <w:rPr>
          <w:rFonts w:hint="eastAsia" w:ascii="宋体" w:hAnsi="宋体" w:eastAsia="宋体" w:cs="宋体"/>
          <w:color w:val="auto"/>
          <w:sz w:val="24"/>
          <w:lang w:val="en-US" w:eastAsia="zh-CN"/>
        </w:rPr>
        <w:t>一家</w:t>
      </w:r>
      <w:r>
        <w:rPr>
          <w:rFonts w:hint="eastAsia" w:ascii="宋体" w:hAnsi="宋体" w:eastAsia="宋体" w:cs="宋体"/>
          <w:color w:val="auto"/>
          <w:sz w:val="24"/>
        </w:rPr>
        <w:t>中标候选人。如果出现并列得分最高，则确定价格较低者排名在前；价格投标仍相</w:t>
      </w:r>
      <w:r>
        <w:rPr>
          <w:rFonts w:hint="eastAsia" w:ascii="宋体" w:hAnsi="宋体" w:eastAsia="宋体" w:cs="宋体"/>
          <w:color w:val="auto"/>
          <w:sz w:val="24"/>
          <w:lang w:val="en-US" w:eastAsia="zh-CN"/>
        </w:rPr>
        <w:t>同时则采用抽签方式现场确定中标候选人。</w:t>
      </w:r>
    </w:p>
    <w:p w14:paraId="173A6123">
      <w:pPr>
        <w:spacing w:line="360" w:lineRule="auto"/>
        <w:ind w:firstLine="480" w:firstLineChars="200"/>
        <w:rPr>
          <w:rFonts w:hint="eastAsia" w:ascii="宋体" w:hAnsi="宋体" w:eastAsia="宋体" w:cs="宋体"/>
          <w:lang w:val="en-US" w:eastAsia="zh-CN"/>
        </w:rPr>
        <w:sectPr>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1EF4307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7216"/>
      <w:bookmarkStart w:id="90" w:name="_Toc12820"/>
      <w:bookmarkStart w:id="91" w:name="_Toc2019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 xml:space="preserve">   五、技术要求</w:t>
      </w:r>
      <w:bookmarkEnd w:id="89"/>
      <w:bookmarkEnd w:id="90"/>
      <w:bookmarkEnd w:id="91"/>
    </w:p>
    <w:p w14:paraId="73DF5126">
      <w:pPr>
        <w:pStyle w:val="6"/>
        <w:spacing w:line="360" w:lineRule="auto"/>
        <w:rPr>
          <w:rFonts w:hint="default" w:ascii="宋体" w:hAnsi="宋体" w:eastAsia="宋体" w:cs="宋体"/>
          <w:b/>
          <w:bCs/>
          <w:color w:val="auto"/>
          <w:lang w:val="en-US" w:eastAsia="zh-CN"/>
        </w:rPr>
      </w:pPr>
      <w:r>
        <w:rPr>
          <w:rFonts w:hint="eastAsia" w:ascii="宋体" w:hAnsi="宋体" w:eastAsia="宋体" w:cs="宋体"/>
        </w:rPr>
        <w:t>投标人应满足</w:t>
      </w:r>
      <w:r>
        <w:rPr>
          <w:rFonts w:hint="eastAsia" w:cs="宋体"/>
          <w:lang w:val="en-US" w:eastAsia="zh-CN"/>
        </w:rPr>
        <w:t>产品国标</w:t>
      </w:r>
      <w:r>
        <w:rPr>
          <w:rFonts w:hint="eastAsia" w:ascii="宋体" w:hAnsi="宋体" w:eastAsia="宋体" w:cs="宋体"/>
        </w:rPr>
        <w:t>要求</w:t>
      </w:r>
      <w:r>
        <w:rPr>
          <w:rFonts w:hint="eastAsia" w:cs="宋体"/>
          <w:lang w:eastAsia="zh-CN"/>
        </w:rPr>
        <w:t>，</w:t>
      </w:r>
      <w:r>
        <w:rPr>
          <w:rFonts w:hint="eastAsia" w:cs="宋体"/>
          <w:lang w:val="en-US" w:eastAsia="zh-CN"/>
        </w:rPr>
        <w:t>详见附件2。</w:t>
      </w:r>
    </w:p>
    <w:p w14:paraId="00D82B61">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1C038623">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36C9EDB1">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3001C24E">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2FE43E24">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426A1F95">
      <w:pPr>
        <w:pStyle w:val="6"/>
        <w:spacing w:before="3" w:after="156" w:afterLines="50" w:line="360" w:lineRule="auto"/>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Borders>
            <w:top w:val="none" w:sz="0" w:space="0"/>
            <w:left w:val="none" w:sz="0" w:space="0"/>
            <w:bottom w:val="none" w:sz="0" w:space="0"/>
            <w:right w:val="none" w:sz="0" w:space="0"/>
          </w:pgBorders>
          <w:pgNumType w:fmt="decimal"/>
          <w:cols w:space="0" w:num="1"/>
          <w:docGrid w:linePitch="312" w:charSpace="0"/>
        </w:sectPr>
      </w:pPr>
    </w:p>
    <w:p w14:paraId="0E03C4EA">
      <w:pPr>
        <w:spacing w:before="240" w:beforeLines="100" w:after="120" w:afterLines="50" w:line="360" w:lineRule="auto"/>
        <w:jc w:val="center"/>
        <w:outlineLvl w:val="0"/>
        <w:rPr>
          <w:rFonts w:ascii="仿宋" w:hAnsi="仿宋" w:eastAsia="仿宋" w:cs="仿宋"/>
          <w:b/>
          <w:bCs/>
          <w:sz w:val="40"/>
          <w:szCs w:val="40"/>
        </w:rPr>
      </w:pPr>
      <w:bookmarkStart w:id="92" w:name="_Toc31981"/>
      <w:bookmarkStart w:id="93" w:name="_Toc1084"/>
      <w:bookmarkStart w:id="94"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2"/>
      <w:bookmarkEnd w:id="93"/>
      <w:bookmarkEnd w:id="9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w:t>
      </w:r>
    </w:p>
    <w:p w14:paraId="2B997686">
      <w:pPr>
        <w:spacing w:before="240" w:beforeLines="100" w:after="120" w:afterLines="50" w:line="360" w:lineRule="auto"/>
        <w:jc w:val="center"/>
        <w:outlineLvl w:val="0"/>
        <w:rPr>
          <w:rFonts w:hint="eastAsia" w:ascii="仿宋" w:hAnsi="仿宋" w:eastAsia="仿宋" w:cs="仿宋"/>
          <w:color w:val="000000"/>
          <w:kern w:val="0"/>
          <w:sz w:val="24"/>
          <w:lang w:val="zh-CN" w:eastAsia="zh-CN"/>
        </w:rPr>
      </w:pPr>
      <w:r>
        <w:rPr>
          <w:rFonts w:hint="eastAsia" w:ascii="宋体" w:hAnsi="宋体" w:eastAsia="宋体" w:cs="宋体"/>
          <w:spacing w:val="-3"/>
          <w:sz w:val="36"/>
          <w:szCs w:val="36"/>
          <w:lang w:val="zh-CN" w:eastAsia="zh-CN"/>
          <w14:textOutline w14:w="6527" w14:cap="flat" w14:cmpd="sng" w14:algn="ctr">
            <w14:solidFill>
              <w14:srgbClr w14:val="000000"/>
            </w14:solidFill>
            <w14:prstDash w14:val="solid"/>
            <w14:miter w14:val="0"/>
          </w14:textOutline>
        </w:rPr>
        <w:t>气动液压系列产品框架协议</w:t>
      </w:r>
      <w:r>
        <w:rPr>
          <w:rFonts w:hint="eastAsia" w:ascii="仿宋" w:hAnsi="仿宋" w:eastAsia="仿宋" w:cs="仿宋"/>
          <w:color w:val="000000"/>
          <w:kern w:val="0"/>
          <w:sz w:val="24"/>
          <w:lang w:val="zh-CN" w:eastAsia="zh-CN"/>
        </w:rPr>
        <w:t xml:space="preserve">                                          </w:t>
      </w:r>
    </w:p>
    <w:p w14:paraId="09EEA39F">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乙方</w:t>
      </w: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zh-CN" w:eastAsia="zh-CN"/>
        </w:rPr>
        <w:t xml:space="preserve">                   </w:t>
      </w:r>
      <w:r>
        <w:rPr>
          <w:rFonts w:hint="eastAsia" w:ascii="仿宋" w:hAnsi="仿宋" w:eastAsia="仿宋" w:cs="仿宋"/>
          <w:color w:val="000000"/>
          <w:kern w:val="0"/>
          <w:sz w:val="24"/>
          <w:lang w:val="en-US" w:eastAsia="zh-CN"/>
        </w:rPr>
        <w:t>甲方</w:t>
      </w: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zh-CN" w:eastAsia="zh-CN"/>
        </w:rPr>
        <w:t>中国机械总院集团海西（福建）分院有限公司</w:t>
      </w:r>
      <w:r>
        <w:rPr>
          <w:rFonts w:hint="eastAsia" w:ascii="仿宋" w:hAnsi="仿宋" w:eastAsia="仿宋" w:cs="仿宋"/>
          <w:color w:val="000000"/>
          <w:kern w:val="0"/>
          <w:sz w:val="24"/>
          <w:lang w:val="zh-CN"/>
        </w:rPr>
        <w:t>　</w:t>
      </w:r>
    </w:p>
    <w:p w14:paraId="26063F58">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根据《中华人民共和国</w:t>
      </w:r>
      <w:r>
        <w:rPr>
          <w:rFonts w:hint="eastAsia" w:ascii="仿宋" w:hAnsi="仿宋" w:eastAsia="仿宋" w:cs="仿宋"/>
          <w:color w:val="000000"/>
          <w:kern w:val="0"/>
          <w:sz w:val="24"/>
          <w:lang w:val="zh-CN" w:eastAsia="zh-CN"/>
        </w:rPr>
        <w:t>民法典</w:t>
      </w:r>
      <w:r>
        <w:rPr>
          <w:rFonts w:hint="eastAsia" w:ascii="仿宋" w:hAnsi="仿宋" w:eastAsia="仿宋" w:cs="仿宋"/>
          <w:color w:val="000000"/>
          <w:kern w:val="0"/>
          <w:sz w:val="24"/>
          <w:lang w:val="zh-CN"/>
        </w:rPr>
        <w:t>》及其他有关法律、法规的规定，买卖双方在平等、自愿、公平、诚实信用的基础上达成</w:t>
      </w:r>
      <w:r>
        <w:rPr>
          <w:rFonts w:hint="eastAsia" w:ascii="仿宋" w:hAnsi="仿宋" w:eastAsia="仿宋" w:cs="仿宋"/>
          <w:color w:val="000000"/>
          <w:kern w:val="0"/>
          <w:sz w:val="24"/>
          <w:lang w:val="en-US" w:eastAsia="zh-CN"/>
        </w:rPr>
        <w:t>框架</w:t>
      </w:r>
      <w:r>
        <w:rPr>
          <w:rFonts w:hint="eastAsia" w:ascii="仿宋" w:hAnsi="仿宋" w:eastAsia="仿宋" w:cs="仿宋"/>
          <w:color w:val="000000"/>
          <w:kern w:val="0"/>
          <w:sz w:val="24"/>
          <w:lang w:val="zh-CN"/>
        </w:rPr>
        <w:t>协议如下：</w:t>
      </w:r>
    </w:p>
    <w:p w14:paraId="5539319C">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eastAsia="zh-CN"/>
        </w:rPr>
        <w:t>一、产品名称、型号、数量、金额、卖货时间及数量：</w:t>
      </w:r>
    </w:p>
    <w:tbl>
      <w:tblPr>
        <w:tblStyle w:val="16"/>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719"/>
        <w:gridCol w:w="2730"/>
        <w:gridCol w:w="675"/>
        <w:gridCol w:w="690"/>
        <w:gridCol w:w="885"/>
        <w:gridCol w:w="1328"/>
      </w:tblGrid>
      <w:tr w14:paraId="30C4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4" w:type="dxa"/>
            <w:noWrap w:val="0"/>
            <w:vAlign w:val="center"/>
          </w:tcPr>
          <w:p w14:paraId="740BE12A">
            <w:pPr>
              <w:keepNext w:val="0"/>
              <w:keepLines w:val="0"/>
              <w:pageBreakBefore w:val="0"/>
              <w:tabs>
                <w:tab w:val="left" w:pos="1200"/>
              </w:tabs>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序号</w:t>
            </w:r>
          </w:p>
        </w:tc>
        <w:tc>
          <w:tcPr>
            <w:tcW w:w="1719" w:type="dxa"/>
            <w:noWrap w:val="0"/>
            <w:vAlign w:val="center"/>
          </w:tcPr>
          <w:p w14:paraId="6E8C3C1B">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名称</w:t>
            </w:r>
          </w:p>
        </w:tc>
        <w:tc>
          <w:tcPr>
            <w:tcW w:w="2730" w:type="dxa"/>
            <w:noWrap w:val="0"/>
            <w:vAlign w:val="center"/>
          </w:tcPr>
          <w:p w14:paraId="41B13531">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型号</w:t>
            </w:r>
          </w:p>
        </w:tc>
        <w:tc>
          <w:tcPr>
            <w:tcW w:w="675" w:type="dxa"/>
            <w:noWrap w:val="0"/>
            <w:vAlign w:val="center"/>
          </w:tcPr>
          <w:p w14:paraId="4C091A93">
            <w:pPr>
              <w:keepNext w:val="0"/>
              <w:keepLines w:val="0"/>
              <w:pageBreakBefore w:val="0"/>
              <w:tabs>
                <w:tab w:val="left" w:pos="1200"/>
              </w:tabs>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单位</w:t>
            </w:r>
          </w:p>
        </w:tc>
        <w:tc>
          <w:tcPr>
            <w:tcW w:w="690" w:type="dxa"/>
            <w:noWrap w:val="0"/>
            <w:vAlign w:val="center"/>
          </w:tcPr>
          <w:p w14:paraId="5875CB9E">
            <w:pPr>
              <w:keepNext w:val="0"/>
              <w:keepLines w:val="0"/>
              <w:pageBreakBefore w:val="0"/>
              <w:tabs>
                <w:tab w:val="left" w:pos="1200"/>
              </w:tabs>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数量</w:t>
            </w:r>
          </w:p>
        </w:tc>
        <w:tc>
          <w:tcPr>
            <w:tcW w:w="885" w:type="dxa"/>
            <w:noWrap w:val="0"/>
            <w:vAlign w:val="center"/>
          </w:tcPr>
          <w:p w14:paraId="4FC0E82B">
            <w:pPr>
              <w:keepNext w:val="0"/>
              <w:keepLines w:val="0"/>
              <w:pageBreakBefore w:val="0"/>
              <w:tabs>
                <w:tab w:val="left" w:pos="1200"/>
              </w:tabs>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单价</w:t>
            </w:r>
          </w:p>
        </w:tc>
        <w:tc>
          <w:tcPr>
            <w:tcW w:w="1328" w:type="dxa"/>
            <w:noWrap w:val="0"/>
            <w:vAlign w:val="center"/>
          </w:tcPr>
          <w:p w14:paraId="5C3AE558">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备注</w:t>
            </w:r>
          </w:p>
        </w:tc>
      </w:tr>
      <w:tr w14:paraId="2574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4" w:type="dxa"/>
            <w:noWrap w:val="0"/>
            <w:vAlign w:val="center"/>
          </w:tcPr>
          <w:p w14:paraId="005373C0">
            <w:pPr>
              <w:keepNext w:val="0"/>
              <w:keepLines w:val="0"/>
              <w:pageBreakBefore w:val="0"/>
              <w:tabs>
                <w:tab w:val="left" w:pos="1200"/>
              </w:tabs>
              <w:kinsoku/>
              <w:wordWrap/>
              <w:overflowPunct/>
              <w:topLinePunct w:val="0"/>
              <w:autoSpaceDE w:val="0"/>
              <w:autoSpaceDN w:val="0"/>
              <w:bidi w:val="0"/>
              <w:adjustRightInd w:val="0"/>
              <w:spacing w:line="420" w:lineRule="exact"/>
              <w:ind w:firstLine="480"/>
              <w:jc w:val="center"/>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1</w:t>
            </w:r>
          </w:p>
        </w:tc>
        <w:tc>
          <w:tcPr>
            <w:tcW w:w="1719" w:type="dxa"/>
            <w:noWrap w:val="0"/>
            <w:vAlign w:val="center"/>
          </w:tcPr>
          <w:p w14:paraId="0FFC67BC">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2730" w:type="dxa"/>
            <w:noWrap w:val="0"/>
            <w:vAlign w:val="center"/>
          </w:tcPr>
          <w:p w14:paraId="3FC10C53">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675" w:type="dxa"/>
            <w:noWrap w:val="0"/>
            <w:vAlign w:val="center"/>
          </w:tcPr>
          <w:p w14:paraId="56592022">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690" w:type="dxa"/>
            <w:noWrap w:val="0"/>
            <w:vAlign w:val="center"/>
          </w:tcPr>
          <w:p w14:paraId="00CC31F0">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885" w:type="dxa"/>
            <w:noWrap w:val="0"/>
            <w:vAlign w:val="center"/>
          </w:tcPr>
          <w:p w14:paraId="1E376239">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1328" w:type="dxa"/>
            <w:noWrap w:val="0"/>
            <w:vAlign w:val="bottom"/>
          </w:tcPr>
          <w:p w14:paraId="32AD54C1">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r>
      <w:tr w14:paraId="2875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4" w:type="dxa"/>
            <w:noWrap w:val="0"/>
            <w:vAlign w:val="center"/>
          </w:tcPr>
          <w:p w14:paraId="308E1F03">
            <w:pPr>
              <w:keepNext w:val="0"/>
              <w:keepLines w:val="0"/>
              <w:pageBreakBefore w:val="0"/>
              <w:tabs>
                <w:tab w:val="left" w:pos="1200"/>
              </w:tabs>
              <w:kinsoku/>
              <w:wordWrap/>
              <w:overflowPunct/>
              <w:topLinePunct w:val="0"/>
              <w:autoSpaceDE w:val="0"/>
              <w:autoSpaceDN w:val="0"/>
              <w:bidi w:val="0"/>
              <w:adjustRightInd w:val="0"/>
              <w:spacing w:line="420" w:lineRule="exact"/>
              <w:ind w:firstLine="480"/>
              <w:jc w:val="center"/>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2</w:t>
            </w:r>
          </w:p>
        </w:tc>
        <w:tc>
          <w:tcPr>
            <w:tcW w:w="1719" w:type="dxa"/>
            <w:noWrap w:val="0"/>
            <w:vAlign w:val="center"/>
          </w:tcPr>
          <w:p w14:paraId="1CBF9C09">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2730" w:type="dxa"/>
            <w:noWrap w:val="0"/>
            <w:vAlign w:val="center"/>
          </w:tcPr>
          <w:p w14:paraId="125479E0">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675" w:type="dxa"/>
            <w:noWrap w:val="0"/>
            <w:vAlign w:val="center"/>
          </w:tcPr>
          <w:p w14:paraId="46C82927">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690" w:type="dxa"/>
            <w:noWrap w:val="0"/>
            <w:vAlign w:val="center"/>
          </w:tcPr>
          <w:p w14:paraId="2DA2EFE3">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885" w:type="dxa"/>
            <w:noWrap w:val="0"/>
            <w:vAlign w:val="center"/>
          </w:tcPr>
          <w:p w14:paraId="7BDD8658">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1328" w:type="dxa"/>
            <w:noWrap w:val="0"/>
            <w:vAlign w:val="bottom"/>
          </w:tcPr>
          <w:p w14:paraId="261D5488">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r>
      <w:tr w14:paraId="3F34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4" w:type="dxa"/>
            <w:noWrap w:val="0"/>
            <w:vAlign w:val="center"/>
          </w:tcPr>
          <w:p w14:paraId="4BAFF439">
            <w:pPr>
              <w:keepNext w:val="0"/>
              <w:keepLines w:val="0"/>
              <w:pageBreakBefore w:val="0"/>
              <w:tabs>
                <w:tab w:val="left" w:pos="1200"/>
              </w:tabs>
              <w:kinsoku/>
              <w:wordWrap/>
              <w:overflowPunct/>
              <w:topLinePunct w:val="0"/>
              <w:autoSpaceDE w:val="0"/>
              <w:autoSpaceDN w:val="0"/>
              <w:bidi w:val="0"/>
              <w:adjustRightInd w:val="0"/>
              <w:spacing w:line="420" w:lineRule="exact"/>
              <w:ind w:firstLine="480"/>
              <w:jc w:val="center"/>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3</w:t>
            </w:r>
          </w:p>
        </w:tc>
        <w:tc>
          <w:tcPr>
            <w:tcW w:w="1719" w:type="dxa"/>
            <w:noWrap w:val="0"/>
            <w:vAlign w:val="center"/>
          </w:tcPr>
          <w:p w14:paraId="55712A73">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2730" w:type="dxa"/>
            <w:noWrap w:val="0"/>
            <w:vAlign w:val="center"/>
          </w:tcPr>
          <w:p w14:paraId="0BD57509">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675" w:type="dxa"/>
            <w:noWrap w:val="0"/>
            <w:vAlign w:val="center"/>
          </w:tcPr>
          <w:p w14:paraId="0CCEC60A">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690" w:type="dxa"/>
            <w:noWrap w:val="0"/>
            <w:vAlign w:val="center"/>
          </w:tcPr>
          <w:p w14:paraId="1D21B010">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885" w:type="dxa"/>
            <w:noWrap w:val="0"/>
            <w:vAlign w:val="center"/>
          </w:tcPr>
          <w:p w14:paraId="7B2D035C">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1328" w:type="dxa"/>
            <w:noWrap w:val="0"/>
            <w:vAlign w:val="bottom"/>
          </w:tcPr>
          <w:p w14:paraId="5E216397">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r>
    </w:tbl>
    <w:p w14:paraId="26DEB107">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rPr>
        <w:t>以上价格为含税含运费（</w:t>
      </w:r>
      <w:r>
        <w:rPr>
          <w:rFonts w:hint="eastAsia" w:ascii="仿宋" w:hAnsi="仿宋" w:eastAsia="仿宋" w:cs="仿宋"/>
          <w:color w:val="000000"/>
          <w:kern w:val="0"/>
          <w:sz w:val="24"/>
          <w:lang w:val="zh-CN" w:eastAsia="zh-CN"/>
        </w:rPr>
        <w:t>13</w:t>
      </w:r>
      <w:r>
        <w:rPr>
          <w:rFonts w:hint="eastAsia" w:ascii="仿宋" w:hAnsi="仿宋" w:eastAsia="仿宋" w:cs="仿宋"/>
          <w:color w:val="000000"/>
          <w:kern w:val="0"/>
          <w:sz w:val="24"/>
          <w:lang w:val="zh-CN"/>
        </w:rPr>
        <w:t>%一票制）到厂价格</w:t>
      </w:r>
      <w:r>
        <w:rPr>
          <w:rFonts w:hint="eastAsia" w:ascii="仿宋" w:hAnsi="仿宋" w:eastAsia="仿宋" w:cs="仿宋"/>
          <w:color w:val="000000"/>
          <w:kern w:val="0"/>
          <w:sz w:val="24"/>
          <w:lang w:val="zh-CN" w:eastAsia="zh-CN"/>
        </w:rPr>
        <w:t>。</w:t>
      </w:r>
    </w:p>
    <w:p w14:paraId="268A0173">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二、</w:t>
      </w:r>
      <w:r>
        <w:rPr>
          <w:rFonts w:hint="eastAsia" w:ascii="仿宋" w:hAnsi="仿宋" w:eastAsia="仿宋" w:cs="仿宋"/>
          <w:color w:val="000000"/>
          <w:kern w:val="0"/>
          <w:sz w:val="24"/>
          <w:lang w:val="zh-CN" w:eastAsia="zh-CN"/>
        </w:rPr>
        <w:t>框架协议有效期2025年3月1日至2026年3月1日。</w:t>
      </w:r>
    </w:p>
    <w:p w14:paraId="3DA416B6">
      <w:pPr>
        <w:keepNext w:val="0"/>
        <w:keepLines w:val="0"/>
        <w:pageBreakBefore w:val="0"/>
        <w:kinsoku/>
        <w:wordWrap/>
        <w:overflowPunct/>
        <w:topLinePunct w:val="0"/>
        <w:autoSpaceDE w:val="0"/>
        <w:autoSpaceDN w:val="0"/>
        <w:bidi w:val="0"/>
        <w:adjustRightInd w:val="0"/>
        <w:spacing w:line="420" w:lineRule="exact"/>
        <w:ind w:left="54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三、</w:t>
      </w:r>
      <w:r>
        <w:rPr>
          <w:rFonts w:hint="eastAsia" w:ascii="仿宋" w:hAnsi="仿宋" w:eastAsia="仿宋" w:cs="仿宋"/>
          <w:color w:val="000000"/>
          <w:kern w:val="0"/>
          <w:sz w:val="24"/>
          <w:lang w:val="zh-CN"/>
        </w:rPr>
        <w:t>产品技术指标要求：按国家相关标准。</w:t>
      </w:r>
      <w:r>
        <w:rPr>
          <w:rFonts w:hint="eastAsia" w:ascii="仿宋" w:hAnsi="仿宋" w:eastAsia="仿宋" w:cs="仿宋"/>
          <w:color w:val="000000"/>
          <w:kern w:val="0"/>
          <w:sz w:val="24"/>
          <w:lang w:val="zh-CN" w:eastAsia="zh-CN"/>
        </w:rPr>
        <w:t>产品质保期为最终验收之日起12个月，假一罚十。</w:t>
      </w:r>
    </w:p>
    <w:p w14:paraId="57ACEB40">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1、验收标准：所有产品均按国家及行业标准的相关规定、本采购文件、谈判文件及投标样品相关内容进行验收。</w:t>
      </w:r>
    </w:p>
    <w:p w14:paraId="2D8B9323">
      <w:pPr>
        <w:keepNext w:val="0"/>
        <w:keepLines w:val="0"/>
        <w:pageBreakBefore w:val="0"/>
        <w:tabs>
          <w:tab w:val="left" w:pos="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2、验收程序如下：</w:t>
      </w:r>
    </w:p>
    <w:p w14:paraId="5B8A92F6">
      <w:pPr>
        <w:keepNext w:val="0"/>
        <w:keepLines w:val="0"/>
        <w:pageBreakBefore w:val="0"/>
        <w:tabs>
          <w:tab w:val="left" w:pos="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38E88659">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w:t>
      </w:r>
      <w:r>
        <w:rPr>
          <w:rFonts w:hint="eastAsia" w:ascii="仿宋" w:hAnsi="仿宋" w:eastAsia="仿宋" w:cs="仿宋"/>
          <w:color w:val="000000"/>
          <w:kern w:val="0"/>
          <w:sz w:val="24"/>
        </w:rPr>
        <w:t>最终验收：</w:t>
      </w:r>
      <w:r>
        <w:rPr>
          <w:rFonts w:hint="eastAsia" w:ascii="仿宋" w:hAnsi="仿宋" w:eastAsia="仿宋" w:cs="仿宋"/>
          <w:color w:val="000000"/>
          <w:kern w:val="0"/>
          <w:sz w:val="24"/>
          <w:lang w:val="zh-CN"/>
        </w:rPr>
        <w:t>验收时，乙方所供到场货物与本合同约定的质量标准或样品（产品经双方确认后封样各自保存，出现偏差时以样品为准）不相符，甲方可要求退货，退货的往返运费均由乙方承担。</w:t>
      </w:r>
    </w:p>
    <w:p w14:paraId="36534C54">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3、产品交接：</w:t>
      </w:r>
    </w:p>
    <w:p w14:paraId="3F643B9B">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bCs/>
          <w:color w:val="000000"/>
          <w:kern w:val="0"/>
          <w:sz w:val="24"/>
          <w:lang w:val="en-US" w:eastAsia="zh-CN"/>
        </w:rPr>
      </w:pPr>
      <w:r>
        <w:rPr>
          <w:rFonts w:hint="eastAsia" w:ascii="仿宋" w:hAnsi="仿宋" w:eastAsia="仿宋" w:cs="仿宋"/>
          <w:color w:val="000000"/>
          <w:kern w:val="0"/>
          <w:sz w:val="24"/>
          <w:lang w:val="en-US" w:eastAsia="zh-CN"/>
        </w:rPr>
        <w:t>甲方根据产品交接清单清点数量，检查产品外观质量。数量清点当场验收，质量验收以检测结果为准，发现货物质量规格型号不符，应在交付之日起七日内通知乙方，若涉及产品试用的由双方另行约定；发现货物破损短缺的，应在货物交付时立即向承运人或仓库提出，或交付之日起三日内向乙方提供有关破损短缺的书面证据；甲方怠于通知或不能提供有关证据证明的，视为甲方已接受质量数量符合约定之货物。因货物固有属性引致的缺损应免除乙方责任。</w:t>
      </w:r>
    </w:p>
    <w:p w14:paraId="462A60B2">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四、</w:t>
      </w:r>
      <w:r>
        <w:rPr>
          <w:rFonts w:hint="eastAsia" w:ascii="仿宋" w:hAnsi="仿宋" w:eastAsia="仿宋" w:cs="仿宋"/>
          <w:color w:val="000000"/>
          <w:kern w:val="0"/>
          <w:sz w:val="24"/>
          <w:lang w:val="zh-CN" w:eastAsia="zh-CN"/>
        </w:rPr>
        <w:t>协议以外的产品初次按询价下订单，再次采购同等类型的以初次价格为准下单。</w:t>
      </w:r>
    </w:p>
    <w:p w14:paraId="29F011C1">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五、</w:t>
      </w:r>
      <w:r>
        <w:rPr>
          <w:rFonts w:hint="eastAsia" w:ascii="仿宋" w:hAnsi="仿宋" w:eastAsia="仿宋" w:cs="仿宋"/>
          <w:color w:val="000000"/>
          <w:kern w:val="0"/>
          <w:sz w:val="24"/>
          <w:lang w:val="zh-CN" w:eastAsia="zh-CN"/>
        </w:rPr>
        <w:t xml:space="preserve">价格随行就市，如材料价格有变化时以双方签章的价格确认单为准，如幅度超过2%提前告知，需要提供书面材料进行调整单价，否则以协议价格成交，需方将不定期抽查协议产品价格，保障价格公允性。 </w:t>
      </w:r>
    </w:p>
    <w:p w14:paraId="2D68B306">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六、</w:t>
      </w:r>
      <w:r>
        <w:rPr>
          <w:rFonts w:hint="eastAsia" w:ascii="仿宋" w:hAnsi="仿宋" w:eastAsia="仿宋" w:cs="仿宋"/>
          <w:color w:val="000000"/>
          <w:kern w:val="0"/>
          <w:sz w:val="24"/>
          <w:lang w:val="zh-CN" w:eastAsia="zh-CN"/>
        </w:rPr>
        <w:t>对账周期及对账方式：次月25号以采购订单、对账单、发票等结算上月采购费用，</w:t>
      </w:r>
      <w:r>
        <w:rPr>
          <w:rFonts w:hint="eastAsia" w:ascii="仿宋" w:hAnsi="仿宋" w:eastAsia="仿宋" w:cs="仿宋"/>
          <w:color w:val="000000"/>
          <w:kern w:val="0"/>
          <w:sz w:val="24"/>
          <w:u w:val="single"/>
          <w:lang w:val="zh-CN" w:eastAsia="zh-CN"/>
        </w:rPr>
        <w:t>电汇</w:t>
      </w:r>
      <w:r>
        <w:rPr>
          <w:rFonts w:hint="eastAsia" w:ascii="仿宋" w:hAnsi="仿宋" w:eastAsia="仿宋" w:cs="仿宋"/>
          <w:color w:val="000000"/>
          <w:kern w:val="0"/>
          <w:sz w:val="24"/>
          <w:lang w:val="zh-CN" w:eastAsia="zh-CN"/>
        </w:rPr>
        <w:t>或</w:t>
      </w:r>
      <w:r>
        <w:rPr>
          <w:rFonts w:hint="eastAsia" w:ascii="仿宋" w:hAnsi="仿宋" w:eastAsia="仿宋" w:cs="仿宋"/>
          <w:color w:val="000000"/>
          <w:kern w:val="0"/>
          <w:sz w:val="24"/>
          <w:u w:val="single"/>
          <w:lang w:val="zh-CN" w:eastAsia="zh-CN"/>
        </w:rPr>
        <w:t>银行承兑</w:t>
      </w:r>
      <w:r>
        <w:rPr>
          <w:rFonts w:hint="eastAsia" w:ascii="仿宋" w:hAnsi="仿宋" w:eastAsia="仿宋" w:cs="仿宋"/>
          <w:color w:val="000000"/>
          <w:kern w:val="0"/>
          <w:sz w:val="24"/>
          <w:lang w:val="zh-CN" w:eastAsia="zh-CN"/>
        </w:rPr>
        <w:t>支付货款。由于供方开具发票不真实、不合格而引起的一切责任（包括商业责任和法律责任)和损失，由供方承担。</w:t>
      </w:r>
    </w:p>
    <w:p w14:paraId="0502A711">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七、</w:t>
      </w:r>
      <w:r>
        <w:rPr>
          <w:rFonts w:hint="eastAsia" w:ascii="仿宋" w:hAnsi="仿宋" w:eastAsia="仿宋" w:cs="仿宋"/>
          <w:color w:val="000000"/>
          <w:kern w:val="0"/>
          <w:sz w:val="24"/>
          <w:lang w:val="zh-CN" w:eastAsia="zh-CN"/>
        </w:rPr>
        <w:t>交货时间及交提货地点、方式：</w:t>
      </w:r>
    </w:p>
    <w:p w14:paraId="576DE581">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lang w:val="zh-CN" w:eastAsia="zh-CN"/>
        </w:rPr>
        <w:t>供方自订单确认后，分批次按需方需求时间送达。</w:t>
      </w:r>
    </w:p>
    <w:p w14:paraId="05B3358B">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eastAsia="zh-CN"/>
        </w:rPr>
        <w:t>2、供方负责送货至需方指定地点。</w:t>
      </w:r>
    </w:p>
    <w:p w14:paraId="1E1CF8CF">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eastAsia="zh-CN"/>
        </w:rPr>
        <w:t>八、</w:t>
      </w:r>
      <w:r>
        <w:rPr>
          <w:rFonts w:hint="eastAsia" w:ascii="仿宋" w:hAnsi="仿宋" w:eastAsia="仿宋" w:cs="仿宋"/>
          <w:color w:val="000000"/>
          <w:kern w:val="0"/>
          <w:sz w:val="24"/>
          <w:lang w:val="zh-CN"/>
        </w:rPr>
        <w:t>验货：产品到货之日起</w:t>
      </w:r>
      <w:r>
        <w:rPr>
          <w:rFonts w:hint="eastAsia" w:ascii="仿宋" w:hAnsi="仿宋" w:eastAsia="仿宋" w:cs="仿宋"/>
          <w:color w:val="000000"/>
          <w:kern w:val="0"/>
          <w:sz w:val="24"/>
          <w:lang w:val="zh-CN" w:eastAsia="zh-CN"/>
        </w:rPr>
        <w:t>10</w:t>
      </w:r>
      <w:r>
        <w:rPr>
          <w:rFonts w:hint="eastAsia" w:ascii="仿宋" w:hAnsi="仿宋" w:eastAsia="仿宋" w:cs="仿宋"/>
          <w:color w:val="000000"/>
          <w:kern w:val="0"/>
          <w:sz w:val="24"/>
          <w:lang w:val="zh-CN"/>
        </w:rPr>
        <w:t>日内，需方认为存在质量问题、规格与数量不一致的，应当及时通知供方，否则视为合格；不合格品应立即联系供方协调解决方案。</w:t>
      </w:r>
    </w:p>
    <w:p w14:paraId="1DA2C7BF">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eastAsia="zh-CN"/>
        </w:rPr>
        <w:t>九、</w:t>
      </w:r>
      <w:r>
        <w:rPr>
          <w:rFonts w:hint="eastAsia" w:ascii="仿宋" w:hAnsi="仿宋" w:eastAsia="仿宋" w:cs="仿宋"/>
          <w:color w:val="000000"/>
          <w:kern w:val="0"/>
          <w:sz w:val="24"/>
          <w:lang w:val="zh-CN"/>
        </w:rPr>
        <w:t>争议解决方式：本合同项下发生的争议，双方应</w:t>
      </w:r>
      <w:r>
        <w:rPr>
          <w:rFonts w:hint="eastAsia" w:ascii="仿宋" w:hAnsi="仿宋" w:eastAsia="仿宋" w:cs="仿宋"/>
          <w:color w:val="000000"/>
          <w:kern w:val="0"/>
          <w:sz w:val="24"/>
          <w:lang w:val="zh-CN" w:eastAsia="zh-CN"/>
        </w:rPr>
        <w:t>友好</w:t>
      </w:r>
      <w:r>
        <w:rPr>
          <w:rFonts w:hint="eastAsia" w:ascii="仿宋" w:hAnsi="仿宋" w:eastAsia="仿宋" w:cs="仿宋"/>
          <w:color w:val="000000"/>
          <w:kern w:val="0"/>
          <w:sz w:val="24"/>
          <w:lang w:val="zh-CN"/>
        </w:rPr>
        <w:t>协商解决，协商不成</w:t>
      </w:r>
      <w:r>
        <w:rPr>
          <w:rFonts w:hint="eastAsia" w:ascii="仿宋" w:hAnsi="仿宋" w:eastAsia="仿宋" w:cs="仿宋"/>
          <w:color w:val="000000"/>
          <w:kern w:val="0"/>
          <w:sz w:val="24"/>
          <w:lang w:val="zh-CN" w:eastAsia="zh-CN"/>
        </w:rPr>
        <w:t>，由三明市沙县区人民法院管辖</w:t>
      </w:r>
      <w:r>
        <w:rPr>
          <w:rFonts w:hint="eastAsia" w:ascii="仿宋" w:hAnsi="仿宋" w:eastAsia="仿宋" w:cs="仿宋"/>
          <w:color w:val="000000"/>
          <w:kern w:val="0"/>
          <w:sz w:val="24"/>
          <w:lang w:val="zh-CN"/>
        </w:rPr>
        <w:t>。违约方承担守约方</w:t>
      </w:r>
      <w:r>
        <w:rPr>
          <w:rFonts w:hint="eastAsia" w:ascii="仿宋" w:hAnsi="仿宋" w:eastAsia="仿宋" w:cs="仿宋"/>
          <w:color w:val="000000"/>
          <w:kern w:val="0"/>
          <w:sz w:val="24"/>
          <w:lang w:val="zh-CN" w:eastAsia="zh-CN"/>
        </w:rPr>
        <w:t>的损失中还应</w:t>
      </w:r>
      <w:r>
        <w:rPr>
          <w:rFonts w:hint="eastAsia" w:ascii="仿宋" w:hAnsi="仿宋" w:eastAsia="仿宋" w:cs="仿宋"/>
          <w:color w:val="000000"/>
          <w:kern w:val="0"/>
          <w:sz w:val="24"/>
          <w:lang w:val="zh-CN"/>
        </w:rPr>
        <w:t>包括但不限于律师费、诉讼费、保全费</w:t>
      </w:r>
      <w:r>
        <w:rPr>
          <w:rFonts w:hint="eastAsia" w:ascii="仿宋" w:hAnsi="仿宋" w:eastAsia="仿宋" w:cs="仿宋"/>
          <w:color w:val="000000"/>
          <w:kern w:val="0"/>
          <w:sz w:val="24"/>
          <w:lang w:val="zh-CN" w:eastAsia="zh-CN"/>
        </w:rPr>
        <w:t>及保险费</w:t>
      </w:r>
      <w:r>
        <w:rPr>
          <w:rFonts w:hint="eastAsia" w:ascii="仿宋" w:hAnsi="仿宋" w:eastAsia="仿宋" w:cs="仿宋"/>
          <w:color w:val="000000"/>
          <w:kern w:val="0"/>
          <w:sz w:val="24"/>
          <w:lang w:val="zh-CN"/>
        </w:rPr>
        <w:t>、评估费、鉴定费等。</w:t>
      </w:r>
    </w:p>
    <w:p w14:paraId="21F577A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zh-CN"/>
        </w:rPr>
        <w:t>十、违</w:t>
      </w:r>
      <w:r>
        <w:rPr>
          <w:rFonts w:hint="eastAsia" w:ascii="仿宋" w:hAnsi="仿宋" w:eastAsia="仿宋" w:cs="仿宋"/>
          <w:color w:val="000000"/>
          <w:kern w:val="0"/>
          <w:sz w:val="24"/>
        </w:rPr>
        <w:t>约责任：</w:t>
      </w:r>
    </w:p>
    <w:p w14:paraId="3B7C9AA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404479B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41E9B40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3、如果乙方未能按照合同约定的时间提供服务的，每逾期1天的，乙方应按本合同总金额的1</w:t>
      </w:r>
      <w:r>
        <w:rPr>
          <w:rFonts w:ascii="仿宋" w:hAnsi="仿宋" w:eastAsia="仿宋" w:cs="仿宋"/>
          <w:color w:val="000000"/>
          <w:kern w:val="0"/>
          <w:sz w:val="24"/>
        </w:rPr>
        <w:t>%</w:t>
      </w:r>
      <w:r>
        <w:rPr>
          <w:rFonts w:hint="eastAsia" w:ascii="仿宋" w:hAnsi="仿宋" w:eastAsia="仿宋" w:cs="仿宋"/>
          <w:color w:val="000000"/>
          <w:kern w:val="0"/>
          <w:sz w:val="24"/>
        </w:rPr>
        <w:t>向甲方支付违约金，若因此给甲方造成损失的，乙方还应赔偿甲方所受的损失。</w:t>
      </w:r>
    </w:p>
    <w:p w14:paraId="3535DF6A">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十</w:t>
      </w:r>
      <w:r>
        <w:rPr>
          <w:rFonts w:hint="eastAsia" w:ascii="仿宋" w:hAnsi="仿宋" w:eastAsia="仿宋" w:cs="仿宋"/>
          <w:color w:val="000000"/>
          <w:kern w:val="0"/>
          <w:sz w:val="24"/>
          <w:lang w:eastAsia="zh-CN"/>
        </w:rPr>
        <w:t>一</w:t>
      </w:r>
      <w:r>
        <w:rPr>
          <w:rFonts w:hint="eastAsia" w:ascii="仿宋" w:hAnsi="仿宋" w:eastAsia="仿宋" w:cs="仿宋"/>
          <w:color w:val="000000"/>
          <w:kern w:val="0"/>
          <w:sz w:val="24"/>
        </w:rPr>
        <w:t>、违约终止合同</w:t>
      </w:r>
    </w:p>
    <w:p w14:paraId="7899C1C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4FAF034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如果乙方未能在合同规定的期限内或双方另行确定的延期交货时间内交付合同约定的货物。</w:t>
      </w:r>
    </w:p>
    <w:p w14:paraId="7D6623B4">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乙方未能履行合同项下的任何其它义务。</w:t>
      </w:r>
    </w:p>
    <w:p w14:paraId="7956E031">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lang w:val="zh-CN"/>
        </w:rPr>
        <w:t>因上述原因造成的合同解除，因</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方责任时应全额退还</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方已付货款，并双倍返还合同预付款。当只能提供部分货物时，视为</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方违约，</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方可另购其余部分</w:t>
      </w:r>
      <w:r>
        <w:rPr>
          <w:rFonts w:hint="eastAsia" w:ascii="仿宋" w:hAnsi="仿宋" w:eastAsia="仿宋" w:cs="仿宋"/>
          <w:color w:val="000000"/>
          <w:kern w:val="0"/>
          <w:sz w:val="24"/>
          <w:lang w:val="en-US" w:eastAsia="zh-CN"/>
        </w:rPr>
        <w:t>材料</w:t>
      </w: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方应承担购置费用和给</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方带来的相关经济损失并按照合同约定向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方支付违约金。</w:t>
      </w:r>
    </w:p>
    <w:p w14:paraId="585531D9">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十二、</w:t>
      </w:r>
      <w:r>
        <w:rPr>
          <w:rFonts w:hint="eastAsia" w:ascii="仿宋" w:hAnsi="仿宋" w:eastAsia="仿宋" w:cs="仿宋"/>
          <w:color w:val="000000"/>
          <w:kern w:val="0"/>
          <w:sz w:val="24"/>
        </w:rPr>
        <w:t>不可抗力</w:t>
      </w:r>
    </w:p>
    <w:p w14:paraId="502D51E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0CD3102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363CBC9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十三、</w:t>
      </w:r>
      <w:r>
        <w:rPr>
          <w:rFonts w:hint="eastAsia" w:ascii="仿宋" w:hAnsi="仿宋" w:eastAsia="仿宋" w:cs="仿宋"/>
          <w:color w:val="000000"/>
          <w:kern w:val="0"/>
          <w:sz w:val="24"/>
        </w:rPr>
        <w:t>权利义务转移和违法违规条款</w:t>
      </w:r>
    </w:p>
    <w:p w14:paraId="450ACBE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基于诚信原则，本合同项下未经</w:t>
      </w:r>
      <w:r>
        <w:rPr>
          <w:rFonts w:hint="eastAsia" w:ascii="仿宋" w:hAnsi="仿宋" w:eastAsia="仿宋" w:cs="仿宋"/>
          <w:color w:val="000000"/>
          <w:kern w:val="0"/>
          <w:sz w:val="24"/>
          <w:lang w:eastAsia="zh-CN"/>
        </w:rPr>
        <w:t>甲方</w:t>
      </w:r>
      <w:r>
        <w:rPr>
          <w:rFonts w:hint="eastAsia" w:ascii="仿宋" w:hAnsi="仿宋" w:eastAsia="仿宋" w:cs="仿宋"/>
          <w:color w:val="000000"/>
          <w:kern w:val="0"/>
          <w:sz w:val="24"/>
        </w:rPr>
        <w:t>书面同意，</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方不得转让或者变相转让本合同的权利义务，否则向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方支付合同总金额30％的违约金。</w:t>
      </w:r>
    </w:p>
    <w:p w14:paraId="42F9FDF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在本合同项下如</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方违法违规造成</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方损失的，</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方须全额赔偿，赔偿金额从</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方货款或者履约保证金等款项中扣除，不足部分，</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方依法享有向</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方追索的权利。</w:t>
      </w:r>
    </w:p>
    <w:p w14:paraId="3A70D41A">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eastAsia="zh-CN"/>
        </w:rPr>
        <w:t>十四、</w:t>
      </w:r>
      <w:r>
        <w:rPr>
          <w:rFonts w:hint="eastAsia" w:ascii="仿宋" w:hAnsi="仿宋" w:eastAsia="仿宋" w:cs="仿宋"/>
          <w:color w:val="000000"/>
          <w:kern w:val="0"/>
          <w:sz w:val="24"/>
          <w:lang w:val="zh-CN"/>
        </w:rPr>
        <w:t>反商业贿赂条款</w:t>
      </w:r>
    </w:p>
    <w:p w14:paraId="3CDCB5B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为保障双方合法权益不受侵害，保持</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双方长久、良好的合作关系，根据《中华人民共和国反不正当竞争法》《关于禁止商业贿赂行为的暂行规定》及有关法律、法规的规定，</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双方约定如下：</w:t>
      </w:r>
    </w:p>
    <w:p w14:paraId="4B8F6AF0">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1、甲乙</w:t>
      </w:r>
      <w:r>
        <w:rPr>
          <w:rFonts w:hint="eastAsia" w:ascii="仿宋" w:hAnsi="仿宋" w:eastAsia="仿宋" w:cs="仿宋"/>
          <w:color w:val="000000"/>
          <w:kern w:val="0"/>
          <w:sz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双方均有义务拒绝对方员工的索贿、行贿行为。</w:t>
      </w:r>
    </w:p>
    <w:p w14:paraId="51D2016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2、甲乙</w:t>
      </w:r>
      <w:r>
        <w:rPr>
          <w:rFonts w:hint="eastAsia" w:ascii="仿宋" w:hAnsi="仿宋" w:eastAsia="仿宋" w:cs="仿宋"/>
          <w:color w:val="000000"/>
          <w:kern w:val="0"/>
          <w:sz w:val="24"/>
          <w:lang w:val="zh-CN"/>
        </w:rPr>
        <w:t>双方员工按照商业惯例收取对方的礼品、纪念品，必须统一上交各自所在公司，由公司负责处理。双方互有义务将此事通知对方。</w:t>
      </w:r>
    </w:p>
    <w:p w14:paraId="22BE636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lang w:val="zh-CN"/>
        </w:rPr>
        <w:t>在合作过程中，如出现</w:t>
      </w:r>
      <w:r>
        <w:rPr>
          <w:rFonts w:hint="eastAsia" w:ascii="仿宋" w:hAnsi="仿宋" w:eastAsia="仿宋" w:cs="仿宋"/>
          <w:color w:val="000000"/>
          <w:kern w:val="0"/>
          <w:sz w:val="24"/>
          <w:lang w:val="en-US" w:eastAsia="zh-CN"/>
        </w:rPr>
        <w:t>甲方</w:t>
      </w:r>
      <w:r>
        <w:rPr>
          <w:rFonts w:hint="eastAsia" w:ascii="仿宋" w:hAnsi="仿宋" w:eastAsia="仿宋" w:cs="仿宋"/>
          <w:color w:val="000000"/>
          <w:kern w:val="0"/>
          <w:sz w:val="24"/>
          <w:lang w:val="zh-CN"/>
        </w:rPr>
        <w:t>员工索贿、接受贿赂的现象，</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方应及时向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方进行举报。</w:t>
      </w:r>
    </w:p>
    <w:p w14:paraId="6F4BBBA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4、甲乙</w:t>
      </w:r>
      <w:r>
        <w:rPr>
          <w:rFonts w:hint="eastAsia" w:ascii="仿宋" w:hAnsi="仿宋" w:eastAsia="仿宋" w:cs="仿宋"/>
          <w:color w:val="000000"/>
          <w:kern w:val="0"/>
          <w:sz w:val="24"/>
          <w:lang w:val="zh-CN"/>
        </w:rPr>
        <w:t>双方承诺愿意配合对其员工索取、接受贿赂的行为进行调查。</w:t>
      </w:r>
    </w:p>
    <w:p w14:paraId="28519CF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lang w:val="zh-CN"/>
        </w:rPr>
        <w:t>如</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双方为谋取商业利益给对方员工贿赂或者不拒绝对方员工索取贿赂的，违约方承担相关法律责任。</w:t>
      </w:r>
    </w:p>
    <w:p w14:paraId="117CC76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lang w:val="zh-CN"/>
        </w:rPr>
        <w:t>如</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双方违反本条约定，任何一方有权单方解除合同或协议，并不承担任何违约责任及赔偿责任，但提出解除合同方应向对方出具司法机关出具的证据。</w:t>
      </w:r>
    </w:p>
    <w:p w14:paraId="193C6508">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7、甲乙</w:t>
      </w:r>
      <w:r>
        <w:rPr>
          <w:rFonts w:hint="eastAsia" w:ascii="仿宋" w:hAnsi="仿宋" w:eastAsia="仿宋" w:cs="仿宋"/>
          <w:color w:val="000000"/>
          <w:kern w:val="0"/>
          <w:sz w:val="24"/>
          <w:lang w:val="zh-CN"/>
        </w:rPr>
        <w:t>双方积极全面履行协议，并能向对方举报其员工索取、收受贿赂事实的，</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双方将优先与其发展合作关系，给予在同等条件下优先采购及优惠条件；如果举报与事实不符，</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双方有权终止与其商业合作关系，并承担法律责任。</w:t>
      </w:r>
    </w:p>
    <w:p w14:paraId="4662AF5C">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lang w:val="en-US" w:eastAsia="zh-CN"/>
        </w:rPr>
        <w:t>8、甲乙</w:t>
      </w:r>
      <w:r>
        <w:rPr>
          <w:rFonts w:hint="eastAsia" w:ascii="仿宋" w:hAnsi="仿宋" w:eastAsia="仿宋" w:cs="仿宋"/>
          <w:color w:val="000000"/>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20196C8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十五、本合同的任何变更，均应以书面形式提出，并由双方授权人等协商一致后书面达成协议方有效。</w:t>
      </w:r>
    </w:p>
    <w:p w14:paraId="2259C75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12CDF4F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十七、</w:t>
      </w:r>
      <w:r>
        <w:rPr>
          <w:rFonts w:hint="eastAsia" w:ascii="仿宋" w:hAnsi="仿宋" w:eastAsia="仿宋" w:cs="仿宋"/>
          <w:color w:val="000000"/>
          <w:kern w:val="0"/>
          <w:sz w:val="24"/>
        </w:rPr>
        <w:t>本合同适用中华人民共和国法律，并据其进行解释。</w:t>
      </w:r>
    </w:p>
    <w:p w14:paraId="1CA72634">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rPr>
        <w:t>合同履行过程中，若发生争议，双方应协商解决；如协商不成均由</w:t>
      </w:r>
      <w:r>
        <w:rPr>
          <w:rFonts w:hint="eastAsia" w:ascii="仿宋" w:hAnsi="仿宋" w:eastAsia="仿宋" w:cs="仿宋"/>
          <w:color w:val="000000"/>
          <w:kern w:val="0"/>
          <w:sz w:val="24"/>
          <w:lang w:val="en-US" w:eastAsia="zh-CN"/>
        </w:rPr>
        <w:t>三明市沙县区</w:t>
      </w:r>
      <w:r>
        <w:rPr>
          <w:rFonts w:hint="eastAsia" w:ascii="仿宋" w:hAnsi="仿宋" w:eastAsia="仿宋" w:cs="仿宋"/>
          <w:color w:val="000000"/>
          <w:kern w:val="0"/>
          <w:sz w:val="24"/>
        </w:rPr>
        <w:t>人民法院</w:t>
      </w:r>
      <w:r>
        <w:rPr>
          <w:rFonts w:hint="eastAsia" w:ascii="仿宋" w:hAnsi="仿宋" w:eastAsia="仿宋" w:cs="仿宋"/>
          <w:color w:val="000000"/>
          <w:kern w:val="0"/>
          <w:sz w:val="24"/>
          <w:lang w:val="en-US" w:eastAsia="zh-CN"/>
        </w:rPr>
        <w:t>管辖</w:t>
      </w:r>
      <w:r>
        <w:rPr>
          <w:rFonts w:hint="eastAsia" w:ascii="仿宋" w:hAnsi="仿宋" w:eastAsia="仿宋" w:cs="仿宋"/>
          <w:color w:val="000000"/>
          <w:kern w:val="0"/>
          <w:sz w:val="24"/>
        </w:rPr>
        <w:t>。</w:t>
      </w:r>
    </w:p>
    <w:p w14:paraId="38C74224">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zh-CN"/>
        </w:rPr>
        <w:t>十八、</w:t>
      </w:r>
      <w:r>
        <w:rPr>
          <w:rFonts w:hint="eastAsia" w:ascii="仿宋" w:hAnsi="仿宋" w:eastAsia="仿宋" w:cs="仿宋"/>
          <w:color w:val="000000"/>
          <w:kern w:val="0"/>
          <w:sz w:val="24"/>
        </w:rPr>
        <w:t>其他</w:t>
      </w:r>
    </w:p>
    <w:p w14:paraId="7EDC5F86">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合同附件为本合同不可分割的一部分，与本合同具有同等的法律效力，补充协议与本协议有冲突的，以补充协议为准。</w:t>
      </w:r>
    </w:p>
    <w:p w14:paraId="3E32130A">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本合同一经生效，非经</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双方签署书面补充协议同意，任何一方以其他方式对合同条款的增减及其他变更均无约束力。</w:t>
      </w:r>
    </w:p>
    <w:p w14:paraId="21BB7942">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本合同的内容及其有关的附件是</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双方关于此次合作所最终确定的全部内容，双方均承认其已审阅、理解本合同及相关附件的内容，并同意取代</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双方之间此前关于此次合作所做出的任何口头或书面的承诺。</w:t>
      </w:r>
    </w:p>
    <w:p w14:paraId="2DA5D8AA">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rPr>
        <w:t>本合同自双方加盖公章或合同专用章后生效，合同约定所有义务履行完毕后自行终止。合同的终止并不影响保密义务的继续履行。</w:t>
      </w:r>
    </w:p>
    <w:p w14:paraId="0E500856">
      <w:pPr>
        <w:keepNext w:val="0"/>
        <w:keepLines w:val="0"/>
        <w:pageBreakBefore w:val="0"/>
        <w:shd w:val="clear" w:color="auto" w:fill="FFFFFF"/>
        <w:kinsoku/>
        <w:wordWrap/>
        <w:overflowPunct/>
        <w:topLinePunct w:val="0"/>
        <w:bidi w:val="0"/>
        <w:adjustRightInd w:val="0"/>
        <w:snapToGri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本合同及附件一式</w:t>
      </w:r>
      <w:r>
        <w:rPr>
          <w:rFonts w:hint="eastAsia" w:ascii="仿宋" w:hAnsi="仿宋" w:eastAsia="仿宋" w:cs="仿宋"/>
          <w:color w:val="000000"/>
          <w:kern w:val="0"/>
          <w:sz w:val="24"/>
          <w:lang w:val="en-US" w:eastAsia="zh-CN"/>
        </w:rPr>
        <w:t>贰</w:t>
      </w:r>
      <w:r>
        <w:rPr>
          <w:rFonts w:hint="eastAsia" w:ascii="仿宋" w:hAnsi="仿宋" w:eastAsia="仿宋" w:cs="仿宋"/>
          <w:color w:val="000000"/>
          <w:kern w:val="0"/>
          <w:sz w:val="24"/>
        </w:rPr>
        <w:t>份，</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w:t>
      </w:r>
      <w:r>
        <w:rPr>
          <w:rFonts w:hint="eastAsia" w:ascii="仿宋" w:hAnsi="仿宋" w:eastAsia="仿宋" w:cs="仿宋"/>
          <w:color w:val="000000"/>
          <w:kern w:val="0"/>
          <w:sz w:val="24"/>
          <w:lang w:val="en-US" w:eastAsia="zh-CN"/>
        </w:rPr>
        <w:t>壹</w:t>
      </w:r>
      <w:r>
        <w:rPr>
          <w:rFonts w:hint="eastAsia" w:ascii="仿宋" w:hAnsi="仿宋" w:eastAsia="仿宋" w:cs="仿宋"/>
          <w:color w:val="000000"/>
          <w:kern w:val="0"/>
          <w:sz w:val="24"/>
        </w:rPr>
        <w:t>份，</w:t>
      </w:r>
      <w:r>
        <w:rPr>
          <w:rFonts w:hint="eastAsia" w:ascii="仿宋" w:hAnsi="仿宋" w:eastAsia="仿宋" w:cs="仿宋"/>
          <w:color w:val="000000"/>
          <w:kern w:val="0"/>
          <w:sz w:val="24"/>
          <w:lang w:val="en-US" w:eastAsia="zh-CN"/>
        </w:rPr>
        <w:t>乙方壹</w:t>
      </w:r>
      <w:r>
        <w:rPr>
          <w:rFonts w:hint="eastAsia" w:ascii="仿宋" w:hAnsi="仿宋" w:eastAsia="仿宋" w:cs="仿宋"/>
          <w:color w:val="000000"/>
          <w:kern w:val="0"/>
          <w:sz w:val="24"/>
        </w:rPr>
        <w:t>份，每份具有同等的法律效力。</w:t>
      </w:r>
    </w:p>
    <w:p w14:paraId="6A167AE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sz w:val="24"/>
          <w:szCs w:val="24"/>
          <w:highlight w:val="none"/>
          <w:vertAlign w:val="baseline"/>
          <w:lang w:val="en-US" w:eastAsia="zh-CN"/>
        </w:rPr>
      </w:pPr>
    </w:p>
    <w:p w14:paraId="3713B97A">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（以下无正文）</w:t>
      </w:r>
    </w:p>
    <w:p w14:paraId="5406D9A3">
      <w:pPr>
        <w:pStyle w:val="15"/>
        <w:spacing w:line="240" w:lineRule="auto"/>
        <w:ind w:firstLine="480"/>
        <w:rPr>
          <w:rFonts w:hint="eastAsia" w:ascii="仿宋" w:hAnsi="仿宋" w:eastAsia="仿宋" w:cs="仿宋"/>
          <w:sz w:val="24"/>
          <w:szCs w:val="24"/>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0457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409CEBDC">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2314C3DF">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750275AB">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4105AC">
            <w:pPr>
              <w:keepNext w:val="0"/>
              <w:keepLines w:val="0"/>
              <w:pageBreakBefore w:val="0"/>
              <w:widowControl/>
              <w:tabs>
                <w:tab w:val="left" w:pos="180"/>
              </w:tabs>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56BABC09">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60B1F10E">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243539C2">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1BC03EDD">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FC5F77">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5EAF6179">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0779D4F8">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316A1EB3">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名称（公章）：</w:t>
            </w:r>
          </w:p>
          <w:p w14:paraId="76107CFB">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04B664A5">
            <w:pPr>
              <w:keepNext w:val="0"/>
              <w:keepLines w:val="0"/>
              <w:pageBreakBefore w:val="0"/>
              <w:widowControl/>
              <w:tabs>
                <w:tab w:val="left" w:pos="180"/>
              </w:tabs>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5CF8D4F0">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57BD3D23">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1780DBED">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46DC901E">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74C35AE3">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38E7F798">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3C6E426B">
      <w:pPr>
        <w:shd w:val="clear" w:color="auto" w:fill="FFFFFF"/>
        <w:adjustRightInd w:val="0"/>
        <w:snapToGrid w:val="0"/>
        <w:spacing w:line="240" w:lineRule="auto"/>
        <w:rPr>
          <w:rFonts w:ascii="仿宋" w:hAnsi="仿宋" w:eastAsia="仿宋"/>
          <w:sz w:val="24"/>
          <w:szCs w:val="24"/>
        </w:rPr>
      </w:pPr>
    </w:p>
    <w:p w14:paraId="07617F81">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pgSz w:w="11905" w:h="16838"/>
      <w:pgMar w:top="1440" w:right="1080" w:bottom="1440" w:left="1080" w:header="851" w:footer="1020"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ACE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DB145">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0DB145">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26D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27AE1">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327AE1">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FC3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9CF2C">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19CF2C">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1A79">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D19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087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3760470" cy="436245"/>
          <wp:effectExtent l="0" t="0" r="11430" b="1905"/>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3760470" cy="4362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51ECC7"/>
    <w:multiLevelType w:val="singleLevel"/>
    <w:tmpl w:val="3451ECC7"/>
    <w:lvl w:ilvl="0" w:tentative="0">
      <w:start w:val="5"/>
      <w:numFmt w:val="chineseCounting"/>
      <w:suff w:val="nothing"/>
      <w:lvlText w:val="%1、"/>
      <w:lvlJc w:val="left"/>
      <w:rPr>
        <w:rFonts w:hint="eastAsia"/>
      </w:rPr>
    </w:lvl>
  </w:abstractNum>
  <w:abstractNum w:abstractNumId="2">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5"/>
  </w:num>
  <w:num w:numId="4">
    <w:abstractNumId w:val="3"/>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NGI2MzhjZDk2YTMxYzBkZDI0OTRmYTEyZDAyYjM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418F0"/>
    <w:rsid w:val="031A62F1"/>
    <w:rsid w:val="063D2047"/>
    <w:rsid w:val="06555C4C"/>
    <w:rsid w:val="06BF6017"/>
    <w:rsid w:val="06DF3FC3"/>
    <w:rsid w:val="082216E1"/>
    <w:rsid w:val="087052F4"/>
    <w:rsid w:val="08E31B8A"/>
    <w:rsid w:val="09CD44CE"/>
    <w:rsid w:val="09D04BEB"/>
    <w:rsid w:val="0B3D3052"/>
    <w:rsid w:val="0BD75BB1"/>
    <w:rsid w:val="0C97306B"/>
    <w:rsid w:val="0C9E047D"/>
    <w:rsid w:val="0D3C1DC3"/>
    <w:rsid w:val="0D6016F8"/>
    <w:rsid w:val="0E0137ED"/>
    <w:rsid w:val="0F184516"/>
    <w:rsid w:val="0F250043"/>
    <w:rsid w:val="0F3A0E41"/>
    <w:rsid w:val="0F66217A"/>
    <w:rsid w:val="10F82212"/>
    <w:rsid w:val="12E6250F"/>
    <w:rsid w:val="13C95DDF"/>
    <w:rsid w:val="13DD4624"/>
    <w:rsid w:val="143516C6"/>
    <w:rsid w:val="1441006B"/>
    <w:rsid w:val="144D10FA"/>
    <w:rsid w:val="14B608C1"/>
    <w:rsid w:val="15142E72"/>
    <w:rsid w:val="15BE749A"/>
    <w:rsid w:val="187A6CED"/>
    <w:rsid w:val="19416EE3"/>
    <w:rsid w:val="19E54C84"/>
    <w:rsid w:val="1A2B2E16"/>
    <w:rsid w:val="1A584361"/>
    <w:rsid w:val="1CA53035"/>
    <w:rsid w:val="1CB72E06"/>
    <w:rsid w:val="1CF21C06"/>
    <w:rsid w:val="1D406077"/>
    <w:rsid w:val="1F9B0ADF"/>
    <w:rsid w:val="1F9C44B8"/>
    <w:rsid w:val="1FC00470"/>
    <w:rsid w:val="213B2D65"/>
    <w:rsid w:val="21B93A0F"/>
    <w:rsid w:val="21B97B04"/>
    <w:rsid w:val="22161631"/>
    <w:rsid w:val="22345F2D"/>
    <w:rsid w:val="223760ED"/>
    <w:rsid w:val="229A5157"/>
    <w:rsid w:val="22F1792F"/>
    <w:rsid w:val="23C06ACA"/>
    <w:rsid w:val="23C16AD3"/>
    <w:rsid w:val="23DF21DE"/>
    <w:rsid w:val="24087AE2"/>
    <w:rsid w:val="25AA61E8"/>
    <w:rsid w:val="27906EE4"/>
    <w:rsid w:val="27982C85"/>
    <w:rsid w:val="28413868"/>
    <w:rsid w:val="28845678"/>
    <w:rsid w:val="28872C4F"/>
    <w:rsid w:val="28AB7D51"/>
    <w:rsid w:val="29156767"/>
    <w:rsid w:val="29BA649E"/>
    <w:rsid w:val="29DE5491"/>
    <w:rsid w:val="2A071D31"/>
    <w:rsid w:val="2A267F2C"/>
    <w:rsid w:val="2C01798C"/>
    <w:rsid w:val="2C4404C1"/>
    <w:rsid w:val="2C7C594D"/>
    <w:rsid w:val="2CBE77C5"/>
    <w:rsid w:val="2CD14227"/>
    <w:rsid w:val="2EA636D0"/>
    <w:rsid w:val="2F8512FC"/>
    <w:rsid w:val="302A1EA4"/>
    <w:rsid w:val="30943860"/>
    <w:rsid w:val="374B4BD9"/>
    <w:rsid w:val="38557A9F"/>
    <w:rsid w:val="38970585"/>
    <w:rsid w:val="3A4A73CA"/>
    <w:rsid w:val="3BF70A06"/>
    <w:rsid w:val="3C440F6E"/>
    <w:rsid w:val="3DCC7449"/>
    <w:rsid w:val="3DE83A67"/>
    <w:rsid w:val="42BD2F8E"/>
    <w:rsid w:val="435B1499"/>
    <w:rsid w:val="440A6827"/>
    <w:rsid w:val="45976840"/>
    <w:rsid w:val="47100713"/>
    <w:rsid w:val="474C1085"/>
    <w:rsid w:val="474C1DDB"/>
    <w:rsid w:val="47CF038E"/>
    <w:rsid w:val="48B325A9"/>
    <w:rsid w:val="49203109"/>
    <w:rsid w:val="4A7A55DF"/>
    <w:rsid w:val="4ABB39CC"/>
    <w:rsid w:val="4B5E45B8"/>
    <w:rsid w:val="4BF71DFE"/>
    <w:rsid w:val="4C0E5B77"/>
    <w:rsid w:val="4C25253E"/>
    <w:rsid w:val="4CF0110C"/>
    <w:rsid w:val="4D5452E5"/>
    <w:rsid w:val="4DC57782"/>
    <w:rsid w:val="4DF810AC"/>
    <w:rsid w:val="4E772300"/>
    <w:rsid w:val="4FC652ED"/>
    <w:rsid w:val="4FF456D9"/>
    <w:rsid w:val="50054BB6"/>
    <w:rsid w:val="500951DA"/>
    <w:rsid w:val="50390222"/>
    <w:rsid w:val="53DA53DB"/>
    <w:rsid w:val="543A1E06"/>
    <w:rsid w:val="551A4CAF"/>
    <w:rsid w:val="55CA11C1"/>
    <w:rsid w:val="5621082A"/>
    <w:rsid w:val="56625644"/>
    <w:rsid w:val="56B90D23"/>
    <w:rsid w:val="58324C4B"/>
    <w:rsid w:val="589F2DDF"/>
    <w:rsid w:val="5A13454B"/>
    <w:rsid w:val="5D2574A1"/>
    <w:rsid w:val="5D294756"/>
    <w:rsid w:val="5DC2080A"/>
    <w:rsid w:val="5F6B1E45"/>
    <w:rsid w:val="5FC078B7"/>
    <w:rsid w:val="5FC357B3"/>
    <w:rsid w:val="62951F99"/>
    <w:rsid w:val="64032E7A"/>
    <w:rsid w:val="646451EA"/>
    <w:rsid w:val="65B23EF2"/>
    <w:rsid w:val="65D57105"/>
    <w:rsid w:val="67FF3F88"/>
    <w:rsid w:val="68827667"/>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A44989"/>
    <w:rsid w:val="72C92B1D"/>
    <w:rsid w:val="72D07765"/>
    <w:rsid w:val="73830C7C"/>
    <w:rsid w:val="738642C8"/>
    <w:rsid w:val="73DA76D3"/>
    <w:rsid w:val="7435205E"/>
    <w:rsid w:val="750A0CFF"/>
    <w:rsid w:val="77687477"/>
    <w:rsid w:val="778D3071"/>
    <w:rsid w:val="77BA6C36"/>
    <w:rsid w:val="78E77DBC"/>
    <w:rsid w:val="78EE6CAC"/>
    <w:rsid w:val="796E7CD8"/>
    <w:rsid w:val="79D42231"/>
    <w:rsid w:val="79F214BE"/>
    <w:rsid w:val="7A7953A0"/>
    <w:rsid w:val="7AED01B2"/>
    <w:rsid w:val="7B2C1BF9"/>
    <w:rsid w:val="7C603C27"/>
    <w:rsid w:val="7D691CDB"/>
    <w:rsid w:val="7D7D6E7C"/>
    <w:rsid w:val="7EBD3628"/>
    <w:rsid w:val="7F030EC6"/>
    <w:rsid w:val="7FB328E9"/>
    <w:rsid w:val="7FD142C1"/>
    <w:rsid w:val="7FFE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7"/>
    <w:autoRedefine/>
    <w:qFormat/>
    <w:uiPriority w:val="0"/>
    <w:rPr>
      <w:b/>
      <w:bCs/>
    </w:rPr>
  </w:style>
  <w:style w:type="paragraph" w:styleId="15">
    <w:name w:val="Body Text First Indent 2"/>
    <w:basedOn w:val="7"/>
    <w:autoRedefine/>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font01"/>
    <w:basedOn w:val="18"/>
    <w:autoRedefine/>
    <w:qFormat/>
    <w:uiPriority w:val="0"/>
    <w:rPr>
      <w:rFonts w:hint="eastAsia" w:ascii="宋体" w:hAnsi="宋体" w:eastAsia="宋体" w:cs="宋体"/>
      <w:color w:val="000000"/>
      <w:sz w:val="24"/>
      <w:szCs w:val="24"/>
      <w:u w:val="none"/>
      <w:vertAlign w:val="superscript"/>
    </w:rPr>
  </w:style>
  <w:style w:type="paragraph" w:customStyle="1" w:styleId="24">
    <w:name w:val="报告正文"/>
    <w:basedOn w:val="1"/>
    <w:autoRedefine/>
    <w:qFormat/>
    <w:uiPriority w:val="99"/>
    <w:pPr>
      <w:spacing w:line="360" w:lineRule="auto"/>
      <w:ind w:firstLine="560" w:firstLineChars="200"/>
    </w:pPr>
    <w:rPr>
      <w:sz w:val="28"/>
      <w:szCs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文字 字符"/>
    <w:basedOn w:val="18"/>
    <w:link w:val="4"/>
    <w:autoRedefine/>
    <w:qFormat/>
    <w:uiPriority w:val="0"/>
    <w:rPr>
      <w:rFonts w:ascii="Arial" w:hAnsi="Arial" w:eastAsia="Arial" w:cs="Arial"/>
      <w:snapToGrid w:val="0"/>
      <w:color w:val="000000"/>
      <w:sz w:val="21"/>
      <w:szCs w:val="21"/>
    </w:rPr>
  </w:style>
  <w:style w:type="character" w:customStyle="1" w:styleId="27">
    <w:name w:val="批注主题 字符"/>
    <w:basedOn w:val="26"/>
    <w:link w:val="14"/>
    <w:autoRedefine/>
    <w:qFormat/>
    <w:uiPriority w:val="0"/>
    <w:rPr>
      <w:rFonts w:ascii="Arial" w:hAnsi="Arial" w:eastAsia="Arial" w:cs="Arial"/>
      <w:b/>
      <w:bCs/>
      <w:snapToGrid w:val="0"/>
      <w:color w:val="000000"/>
      <w:sz w:val="21"/>
      <w:szCs w:val="21"/>
    </w:rPr>
  </w:style>
  <w:style w:type="paragraph" w:styleId="28">
    <w:name w:val="List Paragraph"/>
    <w:basedOn w:val="1"/>
    <w:autoRedefine/>
    <w:qFormat/>
    <w:uiPriority w:val="99"/>
    <w:pPr>
      <w:ind w:firstLine="420" w:firstLineChars="200"/>
    </w:pPr>
  </w:style>
  <w:style w:type="character" w:customStyle="1" w:styleId="29">
    <w:name w:val="标题 1 字符"/>
    <w:basedOn w:val="18"/>
    <w:link w:val="2"/>
    <w:autoRedefine/>
    <w:qFormat/>
    <w:uiPriority w:val="0"/>
    <w:rPr>
      <w:rFonts w:ascii="Arial" w:hAnsi="Arial" w:eastAsia="Arial" w:cs="Arial"/>
      <w:b/>
      <w:bCs/>
      <w:snapToGrid w:val="0"/>
      <w:color w:val="000000"/>
      <w:kern w:val="44"/>
      <w:sz w:val="44"/>
      <w:szCs w:val="44"/>
    </w:rPr>
  </w:style>
  <w:style w:type="paragraph" w:customStyle="1" w:styleId="30">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1">
    <w:name w:val="页眉 字符"/>
    <w:basedOn w:val="18"/>
    <w:link w:val="11"/>
    <w:autoRedefine/>
    <w:qFormat/>
    <w:uiPriority w:val="0"/>
    <w:rPr>
      <w:rFonts w:ascii="Arial" w:hAnsi="Arial" w:eastAsia="Arial" w:cs="Arial"/>
      <w:snapToGrid w:val="0"/>
      <w:color w:val="000000"/>
      <w:sz w:val="18"/>
      <w:szCs w:val="18"/>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标题A"/>
    <w:basedOn w:val="28"/>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4">
    <w:name w:val="标题 1 Char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2818</Words>
  <Characters>2948</Characters>
  <Lines>28</Lines>
  <Paragraphs>7</Paragraphs>
  <TotalTime>5</TotalTime>
  <ScaleCrop>false</ScaleCrop>
  <LinksUpToDate>false</LinksUpToDate>
  <CharactersWithSpaces>3018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喵喵喵</cp:lastModifiedBy>
  <cp:lastPrinted>2024-09-09T08:00:00Z</cp:lastPrinted>
  <dcterms:modified xsi:type="dcterms:W3CDTF">2025-02-11T09:28:45Z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8B1ED25CFBDA4766BB63A88E2C69E21C_13</vt:lpwstr>
  </property>
  <property fmtid="{D5CDD505-2E9C-101B-9397-08002B2CF9AE}" pid="4" name="KSOTemplateDocerSaveRecord">
    <vt:lpwstr>eyJoZGlkIjoiYWNiNGI2MzhjZDk2YTMxYzBkZDI0OTRmYTEyZDAyYjMiLCJ1c2VySWQiOiI2MTQ5NjUzNzQifQ==</vt:lpwstr>
  </property>
</Properties>
</file>