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E48F47">
      <w:pPr>
        <w:spacing w:line="278" w:lineRule="auto"/>
        <w:rPr>
          <w:rFonts w:hint="eastAsia" w:ascii="宋体" w:hAnsi="宋体" w:eastAsia="宋体" w:cs="宋体"/>
        </w:rPr>
      </w:pPr>
      <w:bookmarkStart w:id="0" w:name="_Toc14049"/>
      <w:bookmarkStart w:id="1" w:name="_Toc27807"/>
    </w:p>
    <w:p w14:paraId="244239FC">
      <w:pPr>
        <w:spacing w:line="278" w:lineRule="auto"/>
        <w:rPr>
          <w:rFonts w:hint="eastAsia" w:ascii="宋体" w:hAnsi="宋体" w:eastAsia="宋体" w:cs="宋体"/>
        </w:rPr>
      </w:pPr>
    </w:p>
    <w:p w14:paraId="26199007">
      <w:pPr>
        <w:tabs>
          <w:tab w:val="left" w:pos="5882"/>
        </w:tabs>
        <w:spacing w:before="169" w:line="185" w:lineRule="auto"/>
        <w:jc w:val="center"/>
        <w:outlineLvl w:val="0"/>
        <w:rPr>
          <w:rFonts w:hint="eastAsia" w:ascii="宋体" w:hAnsi="宋体" w:eastAsia="宋体" w:cs="宋体"/>
          <w:color w:val="auto"/>
          <w:sz w:val="52"/>
          <w:szCs w:val="52"/>
          <w:u w:val="single"/>
          <w:lang w:val="en-US" w:eastAsia="zh-CN"/>
        </w:rPr>
      </w:pPr>
      <w:bookmarkStart w:id="2" w:name="_Toc16784"/>
      <w:bookmarkStart w:id="3" w:name="_Toc11471"/>
    </w:p>
    <w:p w14:paraId="39AAA25E">
      <w:pPr>
        <w:tabs>
          <w:tab w:val="left" w:pos="5882"/>
        </w:tabs>
        <w:spacing w:before="169" w:line="185" w:lineRule="auto"/>
        <w:jc w:val="center"/>
        <w:outlineLvl w:val="0"/>
        <w:rPr>
          <w:rFonts w:hint="eastAsia" w:ascii="宋体" w:hAnsi="宋体" w:eastAsia="宋体" w:cs="宋体"/>
          <w:spacing w:val="-3"/>
          <w:sz w:val="52"/>
          <w:szCs w:val="52"/>
        </w:rPr>
      </w:pPr>
      <w:r>
        <w:rPr>
          <w:rFonts w:hint="eastAsia" w:ascii="宋体" w:hAnsi="宋体" w:eastAsia="宋体" w:cs="宋体"/>
          <w:spacing w:val="-3"/>
          <w:sz w:val="52"/>
          <w:szCs w:val="52"/>
          <w:u w:val="single"/>
          <w:lang w:val="en-US" w:eastAsia="zh-CN"/>
        </w:rPr>
        <w:t>金属原材料板材</w:t>
      </w:r>
      <w:r>
        <w:rPr>
          <w:rFonts w:hint="eastAsia" w:ascii="宋体" w:hAnsi="宋体" w:eastAsia="宋体" w:cs="宋体"/>
          <w:spacing w:val="-3"/>
          <w:sz w:val="52"/>
          <w:szCs w:val="52"/>
        </w:rPr>
        <w:t>采购项目</w:t>
      </w:r>
      <w:bookmarkEnd w:id="2"/>
      <w:bookmarkEnd w:id="3"/>
    </w:p>
    <w:p w14:paraId="3AEF8501">
      <w:pPr>
        <w:tabs>
          <w:tab w:val="left" w:pos="5882"/>
        </w:tabs>
        <w:spacing w:before="169" w:line="185" w:lineRule="auto"/>
        <w:ind w:firstLine="1040"/>
        <w:jc w:val="center"/>
        <w:outlineLvl w:val="0"/>
        <w:rPr>
          <w:rFonts w:hint="eastAsia" w:ascii="宋体" w:hAnsi="宋体" w:eastAsia="宋体" w:cs="宋体"/>
          <w:spacing w:val="-3"/>
          <w:sz w:val="52"/>
          <w:szCs w:val="52"/>
        </w:rPr>
      </w:pPr>
    </w:p>
    <w:p w14:paraId="37A88FDC">
      <w:pPr>
        <w:spacing w:line="248" w:lineRule="auto"/>
        <w:rPr>
          <w:rFonts w:hint="eastAsia" w:ascii="宋体" w:hAnsi="宋体" w:eastAsia="宋体" w:cs="宋体"/>
        </w:rPr>
      </w:pPr>
    </w:p>
    <w:p w14:paraId="17B4C460">
      <w:pPr>
        <w:spacing w:line="248" w:lineRule="auto"/>
        <w:rPr>
          <w:rFonts w:hint="eastAsia" w:ascii="宋体" w:hAnsi="宋体" w:eastAsia="宋体" w:cs="宋体"/>
        </w:rPr>
      </w:pPr>
    </w:p>
    <w:p w14:paraId="2CC8832C">
      <w:pPr>
        <w:spacing w:line="248" w:lineRule="auto"/>
        <w:jc w:val="center"/>
        <w:rPr>
          <w:rFonts w:hint="default" w:ascii="宋体" w:hAnsi="宋体" w:eastAsia="宋体" w:cs="宋体"/>
          <w:lang w:val="en-US" w:eastAsia="zh-CN"/>
        </w:rPr>
      </w:pPr>
      <w:bookmarkStart w:id="4" w:name="_Toc5886"/>
      <w:r>
        <w:rPr>
          <w:rFonts w:hint="eastAsia" w:ascii="宋体" w:hAnsi="宋体" w:eastAsia="宋体" w:cs="宋体"/>
          <w:spacing w:val="-2"/>
          <w:sz w:val="52"/>
          <w:szCs w:val="52"/>
          <w14:textOutline w14:w="5092" w14:cap="flat" w14:cmpd="sng" w14:algn="ctr">
            <w14:solidFill>
              <w14:srgbClr w14:val="000000"/>
            </w14:solidFill>
            <w14:prstDash w14:val="solid"/>
            <w14:miter w14:val="0"/>
          </w14:textOutline>
        </w:rPr>
        <w:t>招标文件编号</w:t>
      </w:r>
      <w:r>
        <w:rPr>
          <w:rFonts w:hint="eastAsia" w:ascii="宋体" w:hAnsi="宋体" w:eastAsia="宋体" w:cs="宋体"/>
          <w:spacing w:val="-2"/>
          <w:sz w:val="52"/>
          <w:szCs w:val="52"/>
        </w:rPr>
        <w:t>：</w:t>
      </w:r>
      <w:bookmarkEnd w:id="4"/>
      <w:r>
        <w:rPr>
          <w:rFonts w:hint="eastAsia" w:ascii="宋体" w:hAnsi="宋体" w:eastAsia="宋体" w:cs="宋体"/>
          <w:spacing w:val="-2"/>
          <w:sz w:val="52"/>
          <w:szCs w:val="52"/>
          <w:lang w:val="en-US" w:eastAsia="zh-CN"/>
        </w:rPr>
        <w:t>HXZB2024123101</w:t>
      </w:r>
    </w:p>
    <w:p w14:paraId="7BB90D44">
      <w:pPr>
        <w:spacing w:line="248" w:lineRule="auto"/>
        <w:rPr>
          <w:rFonts w:hint="eastAsia" w:ascii="宋体" w:hAnsi="宋体" w:eastAsia="宋体" w:cs="宋体"/>
        </w:rPr>
      </w:pPr>
    </w:p>
    <w:p w14:paraId="72791A66">
      <w:pPr>
        <w:spacing w:line="248" w:lineRule="auto"/>
        <w:rPr>
          <w:rFonts w:hint="eastAsia" w:ascii="宋体" w:hAnsi="宋体" w:eastAsia="宋体" w:cs="宋体"/>
        </w:rPr>
      </w:pPr>
    </w:p>
    <w:p w14:paraId="25ADB838">
      <w:pPr>
        <w:spacing w:line="249" w:lineRule="auto"/>
        <w:rPr>
          <w:rFonts w:hint="eastAsia" w:ascii="宋体" w:hAnsi="宋体" w:eastAsia="宋体" w:cs="宋体"/>
        </w:rPr>
      </w:pPr>
    </w:p>
    <w:p w14:paraId="1DAB54E0">
      <w:pPr>
        <w:tabs>
          <w:tab w:val="left" w:pos="8063"/>
        </w:tabs>
        <w:spacing w:line="249" w:lineRule="auto"/>
        <w:rPr>
          <w:rFonts w:hint="eastAsia" w:ascii="宋体" w:hAnsi="宋体" w:eastAsia="宋体" w:cs="宋体"/>
          <w:lang w:eastAsia="zh-CN"/>
        </w:rPr>
      </w:pPr>
      <w:r>
        <w:rPr>
          <w:rFonts w:hint="eastAsia" w:ascii="宋体" w:hAnsi="宋体" w:eastAsia="宋体" w:cs="宋体"/>
          <w:lang w:eastAsia="zh-CN"/>
        </w:rPr>
        <w:tab/>
      </w:r>
    </w:p>
    <w:p w14:paraId="55B5DFB7">
      <w:pPr>
        <w:spacing w:before="274" w:line="185" w:lineRule="auto"/>
        <w:jc w:val="center"/>
        <w:outlineLvl w:val="0"/>
        <w:rPr>
          <w:rFonts w:hint="eastAsia" w:ascii="宋体" w:hAnsi="宋体" w:eastAsia="宋体" w:cs="宋体"/>
          <w:sz w:val="84"/>
          <w:szCs w:val="84"/>
        </w:rPr>
      </w:pPr>
      <w:bookmarkStart w:id="5" w:name="_Toc13557"/>
      <w:bookmarkStart w:id="6" w:name="_Toc7773"/>
      <w:r>
        <w:rPr>
          <w:rFonts w:hint="eastAsia" w:ascii="宋体" w:hAnsi="宋体" w:eastAsia="宋体" w:cs="宋体"/>
          <w:spacing w:val="-28"/>
          <w:sz w:val="84"/>
          <w:szCs w:val="84"/>
          <w14:textOutline w14:w="15240" w14:cap="flat" w14:cmpd="sng" w14:algn="ctr">
            <w14:solidFill>
              <w14:srgbClr w14:val="000000"/>
            </w14:solidFill>
            <w14:prstDash w14:val="solid"/>
            <w14:miter w14:val="0"/>
          </w14:textOutline>
        </w:rPr>
        <w:t>招标文件</w:t>
      </w:r>
      <w:bookmarkEnd w:id="5"/>
      <w:bookmarkEnd w:id="6"/>
    </w:p>
    <w:p w14:paraId="428AEA9A">
      <w:pPr>
        <w:spacing w:line="252" w:lineRule="auto"/>
        <w:rPr>
          <w:rFonts w:hint="eastAsia" w:ascii="宋体" w:hAnsi="宋体" w:eastAsia="宋体" w:cs="宋体"/>
        </w:rPr>
      </w:pPr>
    </w:p>
    <w:p w14:paraId="46909933">
      <w:pPr>
        <w:spacing w:line="252" w:lineRule="auto"/>
        <w:rPr>
          <w:rFonts w:hint="eastAsia" w:ascii="宋体" w:hAnsi="宋体" w:eastAsia="宋体" w:cs="宋体"/>
        </w:rPr>
      </w:pPr>
    </w:p>
    <w:p w14:paraId="0984F727">
      <w:pPr>
        <w:spacing w:line="252" w:lineRule="auto"/>
        <w:rPr>
          <w:rFonts w:hint="eastAsia" w:ascii="宋体" w:hAnsi="宋体" w:eastAsia="宋体" w:cs="宋体"/>
        </w:rPr>
      </w:pPr>
    </w:p>
    <w:p w14:paraId="4D0E4C2E">
      <w:pPr>
        <w:spacing w:line="252" w:lineRule="auto"/>
        <w:rPr>
          <w:rFonts w:hint="eastAsia" w:ascii="宋体" w:hAnsi="宋体" w:eastAsia="宋体" w:cs="宋体"/>
        </w:rPr>
      </w:pPr>
    </w:p>
    <w:p w14:paraId="22C73EC0">
      <w:pPr>
        <w:spacing w:line="253" w:lineRule="auto"/>
        <w:rPr>
          <w:rFonts w:hint="eastAsia" w:ascii="宋体" w:hAnsi="宋体" w:eastAsia="宋体" w:cs="宋体"/>
        </w:rPr>
      </w:pPr>
    </w:p>
    <w:p w14:paraId="6A54E3C5">
      <w:pPr>
        <w:spacing w:line="253" w:lineRule="auto"/>
        <w:rPr>
          <w:rFonts w:hint="eastAsia" w:ascii="宋体" w:hAnsi="宋体" w:eastAsia="宋体" w:cs="宋体"/>
        </w:rPr>
      </w:pPr>
    </w:p>
    <w:p w14:paraId="71832BB0">
      <w:pPr>
        <w:pStyle w:val="15"/>
        <w:rPr>
          <w:rFonts w:hint="eastAsia" w:ascii="宋体" w:hAnsi="宋体" w:eastAsia="宋体" w:cs="宋体"/>
        </w:rPr>
      </w:pPr>
    </w:p>
    <w:p w14:paraId="37CB4195">
      <w:pPr>
        <w:pStyle w:val="15"/>
        <w:rPr>
          <w:rFonts w:hint="eastAsia" w:ascii="宋体" w:hAnsi="宋体" w:eastAsia="宋体" w:cs="宋体"/>
        </w:rPr>
      </w:pPr>
    </w:p>
    <w:p w14:paraId="38E38A3D">
      <w:pPr>
        <w:pStyle w:val="15"/>
        <w:rPr>
          <w:rFonts w:hint="eastAsia" w:ascii="宋体" w:hAnsi="宋体" w:eastAsia="宋体" w:cs="宋体"/>
        </w:rPr>
      </w:pPr>
    </w:p>
    <w:p w14:paraId="13E66144">
      <w:pPr>
        <w:spacing w:line="253" w:lineRule="auto"/>
        <w:rPr>
          <w:rFonts w:hint="eastAsia" w:ascii="宋体" w:hAnsi="宋体" w:eastAsia="宋体" w:cs="宋体"/>
        </w:rPr>
      </w:pPr>
    </w:p>
    <w:p w14:paraId="18B311D6">
      <w:pPr>
        <w:spacing w:line="253" w:lineRule="auto"/>
        <w:rPr>
          <w:rFonts w:hint="eastAsia" w:ascii="宋体" w:hAnsi="宋体" w:eastAsia="宋体" w:cs="宋体"/>
        </w:rPr>
      </w:pPr>
    </w:p>
    <w:p w14:paraId="69B305C1">
      <w:pPr>
        <w:spacing w:before="104" w:line="188" w:lineRule="auto"/>
        <w:rPr>
          <w:rFonts w:hint="eastAsia" w:ascii="宋体" w:hAnsi="宋体" w:eastAsia="宋体" w:cs="宋体"/>
          <w:spacing w:val="-18"/>
          <w:sz w:val="32"/>
          <w:szCs w:val="32"/>
        </w:rPr>
      </w:pPr>
    </w:p>
    <w:p w14:paraId="41EBAFB6">
      <w:pPr>
        <w:spacing w:before="104" w:line="188" w:lineRule="auto"/>
        <w:jc w:val="center"/>
        <w:outlineLvl w:val="0"/>
        <w:rPr>
          <w:rFonts w:hint="eastAsia" w:ascii="宋体" w:hAnsi="宋体" w:eastAsia="宋体" w:cs="宋体"/>
          <w:sz w:val="32"/>
          <w:szCs w:val="32"/>
        </w:rPr>
      </w:pPr>
      <w:bookmarkStart w:id="7" w:name="_Toc28706"/>
      <w:bookmarkStart w:id="8" w:name="_Toc12968"/>
      <w:r>
        <w:rPr>
          <w:rFonts w:hint="eastAsia" w:ascii="宋体" w:hAnsi="宋体" w:eastAsia="宋体" w:cs="宋体"/>
          <w:sz w:val="32"/>
          <w:szCs w:val="32"/>
        </w:rPr>
        <w:t>招标人：中国机械总院集团海西（福建）分院有限公司</w:t>
      </w:r>
      <w:bookmarkEnd w:id="7"/>
      <w:bookmarkEnd w:id="8"/>
    </w:p>
    <w:p w14:paraId="4723C682">
      <w:pPr>
        <w:spacing w:line="409" w:lineRule="auto"/>
        <w:rPr>
          <w:rFonts w:hint="eastAsia" w:ascii="宋体" w:hAnsi="宋体" w:eastAsia="宋体" w:cs="宋体"/>
        </w:rPr>
      </w:pPr>
    </w:p>
    <w:p w14:paraId="5A11AA97">
      <w:pPr>
        <w:spacing w:before="104" w:line="188" w:lineRule="auto"/>
        <w:jc w:val="center"/>
        <w:outlineLvl w:val="0"/>
        <w:rPr>
          <w:rFonts w:hint="default" w:ascii="宋体" w:hAnsi="宋体" w:eastAsia="宋体" w:cs="宋体"/>
          <w:sz w:val="24"/>
          <w:szCs w:val="24"/>
          <w:lang w:val="en-US"/>
        </w:rPr>
        <w:sectPr>
          <w:headerReference r:id="rId3" w:type="default"/>
          <w:footerReference r:id="rId4" w:type="default"/>
          <w:pgSz w:w="11907" w:h="16839"/>
          <w:pgMar w:top="1432" w:right="1389" w:bottom="1201" w:left="1389" w:header="852" w:footer="1021" w:gutter="0"/>
          <w:pgBorders>
            <w:top w:val="none" w:sz="0" w:space="0"/>
            <w:left w:val="none" w:sz="0" w:space="0"/>
            <w:bottom w:val="none" w:sz="0" w:space="0"/>
            <w:right w:val="none" w:sz="0" w:space="0"/>
          </w:pgBorders>
          <w:pgNumType w:fmt="decimal"/>
          <w:cols w:space="720" w:num="1"/>
        </w:sectPr>
      </w:pPr>
      <w:bookmarkStart w:id="9" w:name="_Toc24157"/>
      <w:bookmarkStart w:id="10" w:name="_Toc18293"/>
      <w:r>
        <w:rPr>
          <w:rFonts w:hint="eastAsia" w:ascii="宋体" w:hAnsi="宋体" w:eastAsia="宋体" w:cs="宋体"/>
          <w:color w:val="auto"/>
          <w:sz w:val="32"/>
          <w:szCs w:val="32"/>
          <w:lang w:val="en-US" w:eastAsia="zh-CN"/>
        </w:rPr>
        <w:t>2024</w:t>
      </w:r>
      <w:r>
        <w:rPr>
          <w:rFonts w:hint="eastAsia" w:ascii="宋体" w:hAnsi="宋体" w:eastAsia="宋体" w:cs="宋体"/>
          <w:color w:val="auto"/>
          <w:sz w:val="32"/>
          <w:szCs w:val="32"/>
        </w:rPr>
        <w:t>年</w:t>
      </w:r>
      <w:r>
        <w:rPr>
          <w:rFonts w:hint="eastAsia" w:ascii="宋体" w:hAnsi="宋体" w:eastAsia="宋体" w:cs="宋体"/>
          <w:color w:val="auto"/>
          <w:sz w:val="32"/>
          <w:szCs w:val="32"/>
          <w:lang w:val="en-US" w:eastAsia="zh-CN"/>
        </w:rPr>
        <w:t>12</w:t>
      </w:r>
      <w:r>
        <w:rPr>
          <w:rFonts w:hint="eastAsia" w:ascii="宋体" w:hAnsi="宋体" w:eastAsia="宋体" w:cs="宋体"/>
          <w:color w:val="auto"/>
          <w:sz w:val="32"/>
          <w:szCs w:val="32"/>
        </w:rPr>
        <w:t>月</w:t>
      </w:r>
      <w:bookmarkEnd w:id="9"/>
      <w:r>
        <w:rPr>
          <w:rFonts w:hint="eastAsia" w:ascii="宋体" w:hAnsi="宋体" w:eastAsia="宋体" w:cs="宋体"/>
          <w:color w:val="auto"/>
          <w:sz w:val="32"/>
          <w:szCs w:val="32"/>
          <w:lang w:val="en-US" w:eastAsia="zh-CN"/>
        </w:rPr>
        <w:t>31日</w:t>
      </w:r>
      <w:bookmarkEnd w:id="10"/>
    </w:p>
    <w:sdt>
      <w:sdtPr>
        <w:rPr>
          <w:rFonts w:hint="eastAsia" w:ascii="宋体" w:hAnsi="宋体" w:eastAsia="宋体" w:cs="宋体"/>
          <w:b/>
          <w:bCs/>
          <w:snapToGrid w:val="0"/>
          <w:color w:val="000000"/>
          <w:sz w:val="28"/>
          <w:szCs w:val="28"/>
          <w:lang w:val="en-US" w:eastAsia="zh-CN" w:bidi="ar-SA"/>
        </w:rPr>
        <w:id w:val="147455576"/>
        <w15:color w:val="DBDBDB"/>
        <w:docPartObj>
          <w:docPartGallery w:val="Table of Contents"/>
          <w:docPartUnique/>
        </w:docPartObj>
      </w:sdtPr>
      <w:sdtEndPr>
        <w:rPr>
          <w:rFonts w:hint="eastAsia" w:ascii="宋体" w:hAnsi="宋体" w:eastAsia="宋体" w:cs="宋体"/>
          <w:b/>
          <w:bCs/>
          <w:snapToGrid w:val="0"/>
          <w:color w:val="000000"/>
          <w:sz w:val="28"/>
          <w:szCs w:val="28"/>
          <w:lang w:val="en-US" w:eastAsia="zh-CN" w:bidi="ar-SA"/>
        </w:rPr>
      </w:sdtEndPr>
      <w:sdtContent>
        <w:p w14:paraId="290AFB83">
          <w:pPr>
            <w:spacing w:before="0" w:beforeLines="0" w:after="0" w:afterLines="0" w:line="240" w:lineRule="auto"/>
            <w:ind w:left="0" w:leftChars="0" w:right="0" w:rightChars="0" w:firstLine="0" w:firstLineChars="0"/>
            <w:jc w:val="center"/>
            <w:rPr>
              <w:rFonts w:hint="eastAsia" w:ascii="宋体" w:hAnsi="宋体" w:eastAsia="宋体" w:cs="宋体"/>
              <w:b/>
              <w:bCs/>
              <w:sz w:val="28"/>
              <w:szCs w:val="28"/>
            </w:rPr>
          </w:pPr>
          <w:r>
            <w:rPr>
              <w:rFonts w:hint="eastAsia" w:ascii="宋体" w:hAnsi="宋体" w:eastAsia="宋体" w:cs="宋体"/>
              <w:b/>
              <w:bCs/>
              <w:sz w:val="28"/>
              <w:szCs w:val="28"/>
            </w:rPr>
            <w:t>目录</w:t>
          </w:r>
        </w:p>
        <w:p w14:paraId="3C08A681">
          <w:pPr>
            <w:pStyle w:val="12"/>
            <w:tabs>
              <w:tab w:val="right" w:leader="dot" w:pos="9183"/>
            </w:tabs>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"1-1" \h \u </w:instrText>
          </w:r>
          <w:r>
            <w:rPr>
              <w:rFonts w:hint="eastAsia" w:ascii="宋体" w:hAnsi="宋体" w:eastAsia="宋体" w:cs="宋体"/>
              <w:sz w:val="28"/>
              <w:szCs w:val="28"/>
            </w:rPr>
            <w:fldChar w:fldCharType="separate"/>
          </w:r>
        </w:p>
        <w:p w14:paraId="0470ACE7">
          <w:pPr>
            <w:pStyle w:val="12"/>
            <w:tabs>
              <w:tab w:val="right" w:leader="dot" w:pos="9183"/>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_Toc23495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一、</w:t>
          </w:r>
          <w:r>
            <w:rPr>
              <w:rFonts w:hint="eastAsia" w:ascii="宋体" w:hAnsi="宋体" w:eastAsia="宋体" w:cs="宋体"/>
              <w:spacing w:val="-3"/>
              <w:sz w:val="24"/>
              <w:szCs w:val="24"/>
              <w14:textOutline w14:w="6527" w14:cap="flat" w14:cmpd="sng" w14:algn="ctr">
                <w14:solidFill>
                  <w14:srgbClr w14:val="000000"/>
                </w14:solidFill>
                <w14:prstDash w14:val="solid"/>
                <w14:miter w14:val="0"/>
              </w14:textOutline>
            </w:rPr>
            <w:t>投标邀请书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_Toc23495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AAA6833">
          <w:pPr>
            <w:pStyle w:val="12"/>
            <w:tabs>
              <w:tab w:val="right" w:leader="dot" w:pos="9183"/>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_Toc25726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二、</w:t>
          </w:r>
          <w:r>
            <w:rPr>
              <w:rFonts w:hint="eastAsia" w:ascii="宋体" w:hAnsi="宋体" w:eastAsia="宋体" w:cs="宋体"/>
              <w:spacing w:val="-3"/>
              <w:sz w:val="24"/>
              <w:szCs w:val="24"/>
              <w14:textOutline w14:w="6527" w14:cap="flat" w14:cmpd="sng" w14:algn="ctr">
                <w14:solidFill>
                  <w14:srgbClr w14:val="000000"/>
                </w14:solidFill>
                <w14:prstDash w14:val="solid"/>
                <w14:miter w14:val="0"/>
              </w14:textOutline>
            </w:rPr>
            <w:t>投标人须知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_Toc25726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4179069">
          <w:pPr>
            <w:pStyle w:val="12"/>
            <w:tabs>
              <w:tab w:val="right" w:leader="dot" w:pos="9183"/>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_Toc14207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三、评标办法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_Toc14207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8FD9DAE">
          <w:pPr>
            <w:pStyle w:val="12"/>
            <w:tabs>
              <w:tab w:val="right" w:leader="dot" w:pos="9183"/>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_Toc14784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四、综合评标评分标准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_Toc14784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96C21F5">
          <w:pPr>
            <w:pStyle w:val="12"/>
            <w:tabs>
              <w:tab w:val="right" w:leader="dot" w:pos="9183"/>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_Toc7216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五、技术要求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_Toc7216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D619B59">
          <w:pPr>
            <w:pStyle w:val="12"/>
            <w:tabs>
              <w:tab w:val="right" w:leader="dot" w:pos="9183"/>
            </w:tabs>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_Toc30455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六、采购合同（模版）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_Toc30455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22856DA">
          <w:pPr>
            <w:spacing w:before="240" w:beforeLines="100" w:after="120" w:afterLines="50" w:line="360" w:lineRule="auto"/>
            <w:jc w:val="both"/>
            <w:outlineLvl w:val="0"/>
            <w:rPr>
              <w:rFonts w:hint="eastAsia" w:ascii="宋体" w:hAnsi="宋体" w:eastAsia="宋体" w:cs="宋体"/>
              <w:b/>
              <w:bCs/>
              <w:snapToGrid w:val="0"/>
              <w:color w:val="000000"/>
              <w:sz w:val="28"/>
              <w:szCs w:val="28"/>
              <w:lang w:val="en-US" w:eastAsia="zh-CN" w:bidi="ar-SA"/>
            </w:rPr>
          </w:pPr>
          <w:r>
            <w:rPr>
              <w:rFonts w:hint="eastAsia" w:ascii="宋体" w:hAnsi="宋体" w:eastAsia="宋体" w:cs="宋体"/>
              <w:szCs w:val="28"/>
            </w:rPr>
            <w:fldChar w:fldCharType="end"/>
          </w:r>
        </w:p>
      </w:sdtContent>
    </w:sdt>
    <w:p w14:paraId="3302422E">
      <w:pPr>
        <w:pStyle w:val="15"/>
        <w:rPr>
          <w:rFonts w:hint="eastAsia"/>
          <w:lang w:val="en-US" w:eastAsia="zh-CN"/>
        </w:rPr>
        <w:sectPr>
          <w:headerReference r:id="rId5" w:type="default"/>
          <w:footerReference r:id="rId6" w:type="default"/>
          <w:pgSz w:w="11907" w:h="16839"/>
          <w:pgMar w:top="1432" w:right="1335" w:bottom="1201" w:left="1389" w:header="852" w:footer="1021" w:gutter="0"/>
          <w:pgBorders>
            <w:top w:val="none" w:sz="0" w:space="0"/>
            <w:left w:val="none" w:sz="0" w:space="0"/>
            <w:bottom w:val="none" w:sz="0" w:space="0"/>
            <w:right w:val="none" w:sz="0" w:space="0"/>
          </w:pgBorders>
          <w:pgNumType w:fmt="decimal"/>
          <w:cols w:space="720" w:num="1"/>
        </w:sectPr>
      </w:pPr>
    </w:p>
    <w:p w14:paraId="5142C12E">
      <w:pPr>
        <w:spacing w:before="240" w:beforeLines="100" w:after="120" w:afterLines="50" w:line="360" w:lineRule="auto"/>
        <w:jc w:val="center"/>
        <w:outlineLvl w:val="0"/>
        <w:rPr>
          <w:rFonts w:hint="eastAsia" w:ascii="宋体" w:hAnsi="宋体" w:eastAsia="宋体" w:cs="宋体"/>
          <w:sz w:val="36"/>
          <w:szCs w:val="36"/>
        </w:rPr>
      </w:pPr>
      <w:bookmarkStart w:id="11" w:name="_Toc23495"/>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一、</w:t>
      </w:r>
      <w:r>
        <w:rPr>
          <w:rFonts w:hint="eastAsia" w:ascii="宋体" w:hAnsi="宋体" w:eastAsia="宋体" w:cs="宋体"/>
          <w:spacing w:val="-3"/>
          <w:sz w:val="36"/>
          <w:szCs w:val="36"/>
          <w14:textOutline w14:w="6527" w14:cap="flat" w14:cmpd="sng" w14:algn="ctr">
            <w14:solidFill>
              <w14:srgbClr w14:val="000000"/>
            </w14:solidFill>
            <w14:prstDash w14:val="solid"/>
            <w14:miter w14:val="0"/>
          </w14:textOutline>
        </w:rPr>
        <w:t>投标邀请书</w:t>
      </w:r>
      <w:bookmarkEnd w:id="0"/>
      <w:bookmarkEnd w:id="1"/>
      <w:bookmarkEnd w:id="11"/>
    </w:p>
    <w:p w14:paraId="79A1A50B">
      <w:pPr>
        <w:tabs>
          <w:tab w:val="left" w:pos="2648"/>
        </w:tabs>
        <w:spacing w:line="360" w:lineRule="auto"/>
        <w:jc w:val="both"/>
        <w:rPr>
          <w:rFonts w:hint="eastAsia" w:ascii="宋体" w:hAnsi="宋体" w:eastAsia="宋体" w:cs="宋体"/>
          <w:sz w:val="24"/>
          <w:szCs w:val="24"/>
        </w:rPr>
      </w:pPr>
      <w:bookmarkStart w:id="12" w:name="_Hlk121147898"/>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tbl>
      <w:tblPr>
        <w:tblStyle w:val="17"/>
        <w:tblpPr w:leftFromText="180" w:rightFromText="180" w:vertAnchor="text" w:tblpX="10626" w:tblpY="1047"/>
        <w:tblOverlap w:val="never"/>
        <w:tblW w:w="1284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842"/>
      </w:tblGrid>
      <w:tr w14:paraId="09439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 w:hRule="atLeast"/>
        </w:trPr>
        <w:tc>
          <w:tcPr>
            <w:tcW w:w="12842" w:type="dxa"/>
          </w:tcPr>
          <w:p w14:paraId="7F73C1B7">
            <w:pPr>
              <w:keepNext w:val="0"/>
              <w:keepLines w:val="0"/>
              <w:pageBreakBefore w:val="0"/>
              <w:widowControl/>
              <w:tabs>
                <w:tab w:val="left" w:pos="5882"/>
              </w:tabs>
              <w:kinsoku w:val="0"/>
              <w:wordWrap/>
              <w:overflowPunct/>
              <w:topLinePunct w:val="0"/>
              <w:autoSpaceDE w:val="0"/>
              <w:autoSpaceDN w:val="0"/>
              <w:bidi w:val="0"/>
              <w:adjustRightInd w:val="0"/>
              <w:snapToGrid w:val="0"/>
              <w:spacing w:before="169" w:line="360" w:lineRule="auto"/>
              <w:jc w:val="left"/>
              <w:textAlignment w:val="baseline"/>
              <w:outlineLvl w:val="0"/>
              <w:rPr>
                <w:rFonts w:hint="eastAsia" w:ascii="宋体" w:hAnsi="宋体" w:eastAsia="宋体" w:cs="宋体"/>
                <w:sz w:val="24"/>
                <w:szCs w:val="24"/>
                <w:vertAlign w:val="baseline"/>
                <w:lang w:val="en-US" w:eastAsia="zh-CN"/>
              </w:rPr>
            </w:pPr>
          </w:p>
        </w:tc>
      </w:tr>
    </w:tbl>
    <w:p w14:paraId="5F0E88B4">
      <w:pPr>
        <w:keepNext w:val="0"/>
        <w:keepLines w:val="0"/>
        <w:pageBreakBefore w:val="0"/>
        <w:widowControl/>
        <w:tabs>
          <w:tab w:val="left" w:pos="5882"/>
        </w:tabs>
        <w:kinsoku w:val="0"/>
        <w:wordWrap/>
        <w:overflowPunct/>
        <w:topLinePunct w:val="0"/>
        <w:autoSpaceDE w:val="0"/>
        <w:autoSpaceDN w:val="0"/>
        <w:bidi w:val="0"/>
        <w:adjustRightInd w:val="0"/>
        <w:snapToGrid w:val="0"/>
        <w:spacing w:before="169" w:line="360" w:lineRule="auto"/>
        <w:jc w:val="left"/>
        <w:textAlignment w:val="baseline"/>
        <w:outlineLvl w:val="0"/>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招标人中国机械总院集团海西（福建）分院有限公司根据生产所需，现决定通过招标方式采购</w:t>
      </w:r>
      <w:r>
        <w:rPr>
          <w:rFonts w:hint="eastAsia" w:ascii="宋体" w:hAnsi="宋体" w:eastAsia="宋体" w:cs="宋体"/>
          <w:sz w:val="24"/>
          <w:szCs w:val="24"/>
          <w:lang w:eastAsia="zh-CN"/>
        </w:rPr>
        <w:t>，</w:t>
      </w:r>
      <w:r>
        <w:rPr>
          <w:rFonts w:hint="eastAsia" w:ascii="宋体" w:hAnsi="宋体" w:eastAsia="宋体" w:cs="宋体"/>
          <w:sz w:val="24"/>
          <w:szCs w:val="24"/>
        </w:rPr>
        <w:t>招标编号：</w:t>
      </w:r>
      <w:r>
        <w:rPr>
          <w:rFonts w:hint="eastAsia" w:ascii="宋体" w:hAnsi="宋体" w:eastAsia="宋体" w:cs="宋体"/>
          <w:sz w:val="24"/>
          <w:szCs w:val="24"/>
          <w:u w:val="single"/>
          <w:lang w:val="en-US" w:eastAsia="zh-CN"/>
        </w:rPr>
        <w:t xml:space="preserve"> HXZB2024123101    </w:t>
      </w:r>
      <w:r>
        <w:rPr>
          <w:rFonts w:hint="eastAsia" w:ascii="宋体" w:hAnsi="宋体" w:eastAsia="宋体" w:cs="宋体"/>
          <w:sz w:val="24"/>
          <w:szCs w:val="24"/>
        </w:rPr>
        <w:t>，项目名称：</w:t>
      </w:r>
      <w:r>
        <w:rPr>
          <w:rFonts w:hint="eastAsia" w:ascii="宋体" w:hAnsi="宋体" w:eastAsia="宋体" w:cs="宋体"/>
          <w:sz w:val="24"/>
          <w:szCs w:val="24"/>
          <w:u w:val="single"/>
          <w:lang w:val="en-US" w:eastAsia="zh-CN"/>
        </w:rPr>
        <w:t>金属原材料板材</w:t>
      </w:r>
      <w:r>
        <w:rPr>
          <w:rFonts w:hint="eastAsia" w:ascii="宋体" w:hAnsi="宋体" w:eastAsia="宋体" w:cs="宋体"/>
          <w:b w:val="0"/>
          <w:bCs w:val="0"/>
          <w:spacing w:val="-3"/>
          <w:sz w:val="24"/>
          <w:szCs w:val="24"/>
          <w:u w:val="single"/>
        </w:rPr>
        <w:t>采购项目</w:t>
      </w:r>
      <w:r>
        <w:rPr>
          <w:rFonts w:hint="eastAsia" w:ascii="宋体" w:hAnsi="宋体" w:eastAsia="宋体" w:cs="宋体"/>
          <w:sz w:val="24"/>
          <w:szCs w:val="24"/>
        </w:rPr>
        <w:t>。</w:t>
      </w:r>
      <w:bookmarkEnd w:id="12"/>
      <w:r>
        <w:rPr>
          <w:rFonts w:hint="eastAsia" w:ascii="宋体" w:hAnsi="宋体" w:eastAsia="宋体" w:cs="宋体"/>
          <w:sz w:val="24"/>
          <w:szCs w:val="24"/>
        </w:rPr>
        <w:t>我们将通过招标方式，最后确定中标单位。</w:t>
      </w:r>
    </w:p>
    <w:p w14:paraId="1DB9BA9A">
      <w:pPr>
        <w:pStyle w:val="28"/>
        <w:numPr>
          <w:ilvl w:val="0"/>
          <w:numId w:val="1"/>
        </w:numPr>
        <w:kinsoku/>
        <w:spacing w:line="360" w:lineRule="auto"/>
        <w:ind w:left="0" w:firstLine="480"/>
        <w:outlineLvl w:val="0"/>
        <w:rPr>
          <w:rFonts w:hint="eastAsia" w:ascii="宋体" w:hAnsi="宋体" w:eastAsia="宋体" w:cs="宋体"/>
          <w:sz w:val="24"/>
          <w:szCs w:val="24"/>
        </w:rPr>
      </w:pPr>
      <w:bookmarkStart w:id="13" w:name="_Toc13304"/>
      <w:bookmarkStart w:id="14" w:name="_Toc23627"/>
      <w:bookmarkStart w:id="15" w:name="_Toc3942"/>
      <w:bookmarkStart w:id="16" w:name="_Toc30218"/>
      <w:bookmarkStart w:id="17" w:name="_Toc3520"/>
      <w:bookmarkStart w:id="18" w:name="_Toc30525"/>
      <w:r>
        <w:rPr>
          <w:rFonts w:hint="eastAsia" w:ascii="宋体" w:hAnsi="宋体" w:eastAsia="宋体" w:cs="宋体"/>
          <w:sz w:val="24"/>
          <w:szCs w:val="24"/>
        </w:rPr>
        <w:t>招标内容、型号规格（见下表）</w:t>
      </w:r>
      <w:bookmarkEnd w:id="13"/>
      <w:bookmarkEnd w:id="14"/>
      <w:bookmarkEnd w:id="15"/>
      <w:bookmarkEnd w:id="16"/>
      <w:bookmarkEnd w:id="17"/>
      <w:bookmarkEnd w:id="18"/>
    </w:p>
    <w:tbl>
      <w:tblPr>
        <w:tblStyle w:val="22"/>
        <w:tblpPr w:leftFromText="180" w:rightFromText="180" w:vertAnchor="text" w:horzAnchor="margin" w:tblpXSpec="center" w:tblpY="75"/>
        <w:tblOverlap w:val="never"/>
        <w:tblW w:w="877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53"/>
        <w:gridCol w:w="2"/>
        <w:gridCol w:w="1695"/>
        <w:gridCol w:w="5"/>
        <w:gridCol w:w="797"/>
        <w:gridCol w:w="2"/>
        <w:gridCol w:w="1"/>
        <w:gridCol w:w="1782"/>
        <w:gridCol w:w="2"/>
        <w:gridCol w:w="526"/>
        <w:gridCol w:w="822"/>
        <w:gridCol w:w="1065"/>
        <w:gridCol w:w="3"/>
        <w:gridCol w:w="815"/>
      </w:tblGrid>
      <w:tr w14:paraId="5B84E3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jc w:val="center"/>
        </w:trPr>
        <w:tc>
          <w:tcPr>
            <w:tcW w:w="1253" w:type="dxa"/>
            <w:vAlign w:val="center"/>
          </w:tcPr>
          <w:p w14:paraId="0AE6FE90">
            <w:pPr>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697" w:type="dxa"/>
            <w:gridSpan w:val="2"/>
            <w:vAlign w:val="center"/>
          </w:tcPr>
          <w:p w14:paraId="3F80CA00">
            <w:pPr>
              <w:jc w:val="center"/>
              <w:rPr>
                <w:rFonts w:hint="eastAsia" w:ascii="宋体" w:hAnsi="宋体" w:eastAsia="宋体" w:cs="宋体"/>
                <w:b/>
                <w:bCs/>
                <w:sz w:val="24"/>
                <w:szCs w:val="24"/>
              </w:rPr>
            </w:pPr>
            <w:r>
              <w:rPr>
                <w:rFonts w:hint="eastAsia" w:ascii="宋体" w:hAnsi="宋体" w:eastAsia="宋体" w:cs="宋体"/>
                <w:b/>
                <w:bCs/>
                <w:sz w:val="24"/>
                <w:szCs w:val="24"/>
              </w:rPr>
              <w:t>原料名称</w:t>
            </w:r>
          </w:p>
        </w:tc>
        <w:tc>
          <w:tcPr>
            <w:tcW w:w="802" w:type="dxa"/>
            <w:gridSpan w:val="2"/>
            <w:tcBorders>
              <w:left w:val="single" w:color="auto" w:sz="4" w:space="0"/>
              <w:right w:val="single" w:color="auto" w:sz="4" w:space="0"/>
            </w:tcBorders>
            <w:vAlign w:val="center"/>
          </w:tcPr>
          <w:p w14:paraId="22DC56E4">
            <w:pPr>
              <w:jc w:val="center"/>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材质</w:t>
            </w:r>
          </w:p>
        </w:tc>
        <w:tc>
          <w:tcPr>
            <w:tcW w:w="1785" w:type="dxa"/>
            <w:gridSpan w:val="3"/>
            <w:tcBorders>
              <w:left w:val="single" w:color="auto" w:sz="4" w:space="0"/>
              <w:right w:val="single" w:color="auto" w:sz="4" w:space="0"/>
            </w:tcBorders>
            <w:vAlign w:val="center"/>
          </w:tcPr>
          <w:p w14:paraId="0134F7D2">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厚度mm</w:t>
            </w:r>
          </w:p>
        </w:tc>
        <w:tc>
          <w:tcPr>
            <w:tcW w:w="528" w:type="dxa"/>
            <w:gridSpan w:val="2"/>
            <w:tcBorders>
              <w:left w:val="single" w:color="auto" w:sz="4" w:space="0"/>
            </w:tcBorders>
            <w:vAlign w:val="center"/>
          </w:tcPr>
          <w:p w14:paraId="41971338">
            <w:pPr>
              <w:jc w:val="center"/>
              <w:rPr>
                <w:rFonts w:hint="eastAsia" w:ascii="宋体" w:hAnsi="宋体" w:eastAsia="宋体" w:cs="宋体"/>
                <w:b/>
                <w:bCs/>
                <w:sz w:val="24"/>
                <w:szCs w:val="24"/>
              </w:rPr>
            </w:pPr>
            <w:r>
              <w:rPr>
                <w:rFonts w:hint="eastAsia" w:ascii="宋体" w:hAnsi="宋体" w:eastAsia="宋体" w:cs="宋体"/>
                <w:b/>
                <w:bCs/>
                <w:sz w:val="24"/>
                <w:szCs w:val="24"/>
              </w:rPr>
              <w:t>单位</w:t>
            </w:r>
          </w:p>
        </w:tc>
        <w:tc>
          <w:tcPr>
            <w:tcW w:w="822" w:type="dxa"/>
            <w:vAlign w:val="center"/>
          </w:tcPr>
          <w:p w14:paraId="71FA1076">
            <w:pPr>
              <w:jc w:val="center"/>
              <w:rPr>
                <w:rFonts w:hint="eastAsia" w:ascii="宋体" w:hAnsi="宋体" w:eastAsia="宋体" w:cs="宋体"/>
                <w:b/>
                <w:bCs/>
                <w:sz w:val="24"/>
                <w:szCs w:val="24"/>
              </w:rPr>
            </w:pPr>
            <w:r>
              <w:rPr>
                <w:rFonts w:hint="eastAsia" w:ascii="宋体" w:hAnsi="宋体" w:eastAsia="宋体" w:cs="宋体"/>
                <w:b/>
                <w:bCs/>
                <w:sz w:val="24"/>
                <w:szCs w:val="24"/>
              </w:rPr>
              <w:t>数量</w:t>
            </w:r>
          </w:p>
        </w:tc>
        <w:tc>
          <w:tcPr>
            <w:tcW w:w="1065" w:type="dxa"/>
            <w:vAlign w:val="center"/>
          </w:tcPr>
          <w:p w14:paraId="77E43368">
            <w:pPr>
              <w:jc w:val="center"/>
              <w:rPr>
                <w:rFonts w:hint="eastAsia" w:ascii="宋体" w:hAnsi="宋体" w:eastAsia="宋体" w:cs="宋体"/>
                <w:b/>
                <w:bCs/>
                <w:sz w:val="24"/>
                <w:szCs w:val="24"/>
              </w:rPr>
            </w:pPr>
            <w:r>
              <w:rPr>
                <w:rFonts w:hint="eastAsia" w:ascii="宋体" w:hAnsi="宋体" w:eastAsia="宋体" w:cs="宋体"/>
                <w:b/>
                <w:bCs/>
                <w:sz w:val="24"/>
                <w:szCs w:val="24"/>
              </w:rPr>
              <w:t>交货期</w:t>
            </w:r>
          </w:p>
        </w:tc>
        <w:tc>
          <w:tcPr>
            <w:tcW w:w="818" w:type="dxa"/>
            <w:gridSpan w:val="2"/>
            <w:vAlign w:val="center"/>
          </w:tcPr>
          <w:p w14:paraId="29AE27D8">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备注</w:t>
            </w:r>
          </w:p>
        </w:tc>
      </w:tr>
      <w:tr w14:paraId="3AEC4B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 w:hRule="atLeast"/>
          <w:jc w:val="center"/>
        </w:trPr>
        <w:tc>
          <w:tcPr>
            <w:tcW w:w="1253" w:type="dxa"/>
            <w:vMerge w:val="restart"/>
            <w:vAlign w:val="center"/>
          </w:tcPr>
          <w:p w14:paraId="11F46AA0">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697" w:type="dxa"/>
            <w:gridSpan w:val="2"/>
            <w:vMerge w:val="restart"/>
            <w:vAlign w:val="center"/>
          </w:tcPr>
          <w:p w14:paraId="3E16E7A0">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冷轧板</w:t>
            </w:r>
          </w:p>
        </w:tc>
        <w:tc>
          <w:tcPr>
            <w:tcW w:w="802" w:type="dxa"/>
            <w:gridSpan w:val="2"/>
            <w:vMerge w:val="restart"/>
            <w:tcBorders>
              <w:left w:val="single" w:color="auto" w:sz="4" w:space="0"/>
              <w:right w:val="single" w:color="auto" w:sz="4" w:space="0"/>
            </w:tcBorders>
            <w:vAlign w:val="center"/>
          </w:tcPr>
          <w:p w14:paraId="49B47B2F">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Q235</w:t>
            </w:r>
          </w:p>
          <w:p w14:paraId="04DFD1A3">
            <w:pPr>
              <w:keepNext w:val="0"/>
              <w:keepLines w:val="0"/>
              <w:widowControl/>
              <w:suppressLineNumbers w:val="0"/>
              <w:jc w:val="center"/>
              <w:textAlignment w:val="center"/>
              <w:rPr>
                <w:rFonts w:hint="eastAsia" w:ascii="宋体" w:hAnsi="宋体" w:eastAsia="宋体" w:cs="宋体"/>
                <w:sz w:val="21"/>
                <w:szCs w:val="21"/>
                <w:lang w:val="en-US" w:eastAsia="zh-CN"/>
              </w:rPr>
            </w:pPr>
          </w:p>
        </w:tc>
        <w:tc>
          <w:tcPr>
            <w:tcW w:w="1785" w:type="dxa"/>
            <w:gridSpan w:val="3"/>
            <w:tcBorders>
              <w:left w:val="single" w:color="auto" w:sz="4" w:space="0"/>
              <w:bottom w:val="single" w:color="auto" w:sz="4" w:space="0"/>
              <w:right w:val="single" w:color="auto" w:sz="4" w:space="0"/>
            </w:tcBorders>
            <w:vAlign w:val="center"/>
          </w:tcPr>
          <w:p w14:paraId="3E0F70A2">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≤0.5</w:t>
            </w:r>
          </w:p>
        </w:tc>
        <w:tc>
          <w:tcPr>
            <w:tcW w:w="528" w:type="dxa"/>
            <w:gridSpan w:val="2"/>
            <w:vMerge w:val="restart"/>
            <w:tcBorders>
              <w:left w:val="single" w:color="auto" w:sz="4" w:space="0"/>
            </w:tcBorders>
            <w:vAlign w:val="center"/>
          </w:tcPr>
          <w:p w14:paraId="2DA25B4C">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吨</w:t>
            </w:r>
          </w:p>
        </w:tc>
        <w:tc>
          <w:tcPr>
            <w:tcW w:w="822" w:type="dxa"/>
            <w:vMerge w:val="restart"/>
            <w:vAlign w:val="center"/>
          </w:tcPr>
          <w:p w14:paraId="40727656">
            <w:pPr>
              <w:jc w:val="center"/>
              <w:rPr>
                <w:rFonts w:hint="default" w:ascii="宋体" w:hAnsi="宋体" w:eastAsia="宋体" w:cs="宋体"/>
                <w:sz w:val="24"/>
                <w:szCs w:val="24"/>
                <w:lang w:val="en-US" w:eastAsia="zh-CN"/>
              </w:rPr>
            </w:pPr>
          </w:p>
        </w:tc>
        <w:tc>
          <w:tcPr>
            <w:tcW w:w="1065" w:type="dxa"/>
            <w:vMerge w:val="restart"/>
            <w:vAlign w:val="center"/>
          </w:tcPr>
          <w:p w14:paraId="5D8B9A8D">
            <w:pPr>
              <w:keepNext w:val="0"/>
              <w:keepLines w:val="0"/>
              <w:pageBreakBefore w:val="0"/>
              <w:wordWrap/>
              <w:overflowPunct/>
              <w:topLinePunct w:val="0"/>
              <w:bidi w:val="0"/>
              <w:jc w:val="center"/>
              <w:outlineLvl w:val="9"/>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按需方下单后3天内交货</w:t>
            </w:r>
          </w:p>
        </w:tc>
        <w:tc>
          <w:tcPr>
            <w:tcW w:w="818" w:type="dxa"/>
            <w:gridSpan w:val="2"/>
            <w:vMerge w:val="restart"/>
            <w:vAlign w:val="center"/>
          </w:tcPr>
          <w:p w14:paraId="3CCCBA1C">
            <w:pPr>
              <w:keepNext w:val="0"/>
              <w:keepLines w:val="0"/>
              <w:pageBreakBefore w:val="0"/>
              <w:wordWrap/>
              <w:overflowPunct/>
              <w:topLinePunct w:val="0"/>
              <w:bidi w:val="0"/>
              <w:jc w:val="center"/>
              <w:outlineLvl w:val="9"/>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每月按需方下订单数量供货</w:t>
            </w:r>
          </w:p>
        </w:tc>
      </w:tr>
      <w:tr w14:paraId="70A214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 w:hRule="atLeast"/>
          <w:jc w:val="center"/>
        </w:trPr>
        <w:tc>
          <w:tcPr>
            <w:tcW w:w="1253" w:type="dxa"/>
            <w:vMerge w:val="continue"/>
            <w:vAlign w:val="center"/>
          </w:tcPr>
          <w:p w14:paraId="5E64F71A">
            <w:pPr>
              <w:jc w:val="center"/>
              <w:rPr>
                <w:rFonts w:hint="eastAsia" w:ascii="宋体" w:hAnsi="宋体" w:eastAsia="宋体" w:cs="宋体"/>
                <w:sz w:val="24"/>
                <w:szCs w:val="24"/>
                <w:lang w:val="en-US" w:eastAsia="zh-CN"/>
              </w:rPr>
            </w:pPr>
          </w:p>
        </w:tc>
        <w:tc>
          <w:tcPr>
            <w:tcW w:w="1697" w:type="dxa"/>
            <w:gridSpan w:val="2"/>
            <w:vMerge w:val="continue"/>
            <w:vAlign w:val="center"/>
          </w:tcPr>
          <w:p w14:paraId="5242A850">
            <w:pPr>
              <w:jc w:val="center"/>
              <w:rPr>
                <w:rFonts w:hint="eastAsia" w:ascii="宋体" w:hAnsi="宋体" w:eastAsia="宋体" w:cs="宋体"/>
                <w:sz w:val="24"/>
                <w:szCs w:val="24"/>
                <w:lang w:val="en-US" w:eastAsia="zh-CN"/>
              </w:rPr>
            </w:pPr>
          </w:p>
        </w:tc>
        <w:tc>
          <w:tcPr>
            <w:tcW w:w="802" w:type="dxa"/>
            <w:gridSpan w:val="2"/>
            <w:vMerge w:val="continue"/>
            <w:tcBorders>
              <w:left w:val="single" w:color="auto" w:sz="4" w:space="0"/>
              <w:right w:val="single" w:color="auto" w:sz="4" w:space="0"/>
            </w:tcBorders>
            <w:vAlign w:val="center"/>
          </w:tcPr>
          <w:p w14:paraId="163577BA">
            <w:pPr>
              <w:keepNext w:val="0"/>
              <w:keepLines w:val="0"/>
              <w:widowControl/>
              <w:suppressLineNumbers w:val="0"/>
              <w:jc w:val="center"/>
              <w:textAlignment w:val="center"/>
              <w:rPr>
                <w:rFonts w:hint="eastAsia" w:ascii="宋体" w:hAnsi="宋体" w:eastAsia="宋体" w:cs="宋体"/>
                <w:sz w:val="21"/>
                <w:szCs w:val="21"/>
                <w:lang w:val="en-US" w:eastAsia="zh-CN"/>
              </w:rPr>
            </w:pPr>
          </w:p>
        </w:tc>
        <w:tc>
          <w:tcPr>
            <w:tcW w:w="1785" w:type="dxa"/>
            <w:gridSpan w:val="3"/>
            <w:tcBorders>
              <w:left w:val="single" w:color="auto" w:sz="4" w:space="0"/>
              <w:bottom w:val="single" w:color="auto" w:sz="4" w:space="0"/>
              <w:right w:val="single" w:color="auto" w:sz="4" w:space="0"/>
            </w:tcBorders>
            <w:vAlign w:val="center"/>
          </w:tcPr>
          <w:p w14:paraId="3EFB5B35">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＞0.5~1.0</w:t>
            </w:r>
          </w:p>
        </w:tc>
        <w:tc>
          <w:tcPr>
            <w:tcW w:w="528" w:type="dxa"/>
            <w:gridSpan w:val="2"/>
            <w:vMerge w:val="continue"/>
            <w:tcBorders>
              <w:left w:val="single" w:color="auto" w:sz="4" w:space="0"/>
            </w:tcBorders>
            <w:vAlign w:val="center"/>
          </w:tcPr>
          <w:p w14:paraId="015F120C">
            <w:pPr>
              <w:jc w:val="center"/>
              <w:rPr>
                <w:rFonts w:hint="eastAsia" w:ascii="宋体" w:hAnsi="宋体" w:eastAsia="宋体" w:cs="宋体"/>
                <w:sz w:val="24"/>
                <w:szCs w:val="24"/>
                <w:lang w:val="en-US" w:eastAsia="zh-CN"/>
              </w:rPr>
            </w:pPr>
          </w:p>
        </w:tc>
        <w:tc>
          <w:tcPr>
            <w:tcW w:w="822" w:type="dxa"/>
            <w:vMerge w:val="continue"/>
            <w:vAlign w:val="center"/>
          </w:tcPr>
          <w:p w14:paraId="01AD8146">
            <w:pPr>
              <w:jc w:val="center"/>
              <w:rPr>
                <w:rFonts w:hint="default" w:ascii="宋体" w:hAnsi="宋体" w:eastAsia="宋体" w:cs="宋体"/>
                <w:sz w:val="24"/>
                <w:szCs w:val="24"/>
                <w:lang w:val="en-US" w:eastAsia="zh-CN"/>
              </w:rPr>
            </w:pPr>
          </w:p>
        </w:tc>
        <w:tc>
          <w:tcPr>
            <w:tcW w:w="1065" w:type="dxa"/>
            <w:vMerge w:val="continue"/>
            <w:vAlign w:val="center"/>
          </w:tcPr>
          <w:p w14:paraId="48ABF26D">
            <w:pPr>
              <w:jc w:val="center"/>
              <w:rPr>
                <w:rFonts w:hint="eastAsia" w:ascii="宋体" w:hAnsi="宋体" w:eastAsia="宋体" w:cs="宋体"/>
                <w:sz w:val="24"/>
                <w:szCs w:val="24"/>
                <w:lang w:val="en-US" w:eastAsia="zh-CN"/>
              </w:rPr>
            </w:pPr>
          </w:p>
        </w:tc>
        <w:tc>
          <w:tcPr>
            <w:tcW w:w="818" w:type="dxa"/>
            <w:gridSpan w:val="2"/>
            <w:vMerge w:val="continue"/>
            <w:vAlign w:val="center"/>
          </w:tcPr>
          <w:p w14:paraId="030530A4">
            <w:pPr>
              <w:jc w:val="center"/>
              <w:rPr>
                <w:rFonts w:hint="eastAsia" w:ascii="宋体" w:hAnsi="宋体" w:eastAsia="宋体" w:cs="宋体"/>
                <w:sz w:val="24"/>
                <w:szCs w:val="24"/>
                <w:lang w:val="en-US" w:eastAsia="zh-CN"/>
              </w:rPr>
            </w:pPr>
          </w:p>
        </w:tc>
      </w:tr>
      <w:tr w14:paraId="6942E3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 w:hRule="atLeast"/>
          <w:jc w:val="center"/>
        </w:trPr>
        <w:tc>
          <w:tcPr>
            <w:tcW w:w="1253" w:type="dxa"/>
            <w:vMerge w:val="continue"/>
            <w:vAlign w:val="center"/>
          </w:tcPr>
          <w:p w14:paraId="7DFF6575">
            <w:pPr>
              <w:jc w:val="center"/>
              <w:rPr>
                <w:rFonts w:hint="eastAsia" w:ascii="宋体" w:hAnsi="宋体" w:eastAsia="宋体" w:cs="宋体"/>
                <w:sz w:val="24"/>
                <w:szCs w:val="24"/>
                <w:lang w:val="en-US" w:eastAsia="zh-CN"/>
              </w:rPr>
            </w:pPr>
          </w:p>
        </w:tc>
        <w:tc>
          <w:tcPr>
            <w:tcW w:w="1697" w:type="dxa"/>
            <w:gridSpan w:val="2"/>
            <w:vMerge w:val="continue"/>
            <w:vAlign w:val="center"/>
          </w:tcPr>
          <w:p w14:paraId="69B67983">
            <w:pPr>
              <w:jc w:val="center"/>
              <w:rPr>
                <w:rFonts w:hint="eastAsia" w:ascii="宋体" w:hAnsi="宋体" w:eastAsia="宋体" w:cs="宋体"/>
                <w:sz w:val="24"/>
                <w:szCs w:val="24"/>
                <w:lang w:val="en-US" w:eastAsia="zh-CN"/>
              </w:rPr>
            </w:pPr>
          </w:p>
        </w:tc>
        <w:tc>
          <w:tcPr>
            <w:tcW w:w="802" w:type="dxa"/>
            <w:gridSpan w:val="2"/>
            <w:vMerge w:val="continue"/>
            <w:tcBorders>
              <w:left w:val="single" w:color="auto" w:sz="4" w:space="0"/>
              <w:right w:val="single" w:color="auto" w:sz="4" w:space="0"/>
            </w:tcBorders>
            <w:vAlign w:val="center"/>
          </w:tcPr>
          <w:p w14:paraId="2F81E9B8">
            <w:pPr>
              <w:keepNext w:val="0"/>
              <w:keepLines w:val="0"/>
              <w:widowControl/>
              <w:suppressLineNumbers w:val="0"/>
              <w:jc w:val="center"/>
              <w:textAlignment w:val="center"/>
              <w:rPr>
                <w:rFonts w:hint="eastAsia" w:ascii="宋体" w:hAnsi="宋体" w:eastAsia="宋体" w:cs="宋体"/>
                <w:sz w:val="21"/>
                <w:szCs w:val="21"/>
                <w:lang w:val="en-US" w:eastAsia="zh-CN"/>
              </w:rPr>
            </w:pPr>
          </w:p>
        </w:tc>
        <w:tc>
          <w:tcPr>
            <w:tcW w:w="1785" w:type="dxa"/>
            <w:gridSpan w:val="3"/>
            <w:tcBorders>
              <w:left w:val="single" w:color="auto" w:sz="4" w:space="0"/>
              <w:bottom w:val="single" w:color="auto" w:sz="4" w:space="0"/>
              <w:right w:val="single" w:color="auto" w:sz="4" w:space="0"/>
            </w:tcBorders>
            <w:vAlign w:val="center"/>
          </w:tcPr>
          <w:p w14:paraId="2C9DB83C">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＞1.0~3.0</w:t>
            </w:r>
          </w:p>
        </w:tc>
        <w:tc>
          <w:tcPr>
            <w:tcW w:w="528" w:type="dxa"/>
            <w:gridSpan w:val="2"/>
            <w:vMerge w:val="continue"/>
            <w:tcBorders>
              <w:left w:val="single" w:color="auto" w:sz="4" w:space="0"/>
            </w:tcBorders>
            <w:vAlign w:val="center"/>
          </w:tcPr>
          <w:p w14:paraId="5CA7003C">
            <w:pPr>
              <w:jc w:val="center"/>
              <w:rPr>
                <w:rFonts w:hint="eastAsia" w:ascii="宋体" w:hAnsi="宋体" w:eastAsia="宋体" w:cs="宋体"/>
                <w:sz w:val="24"/>
                <w:szCs w:val="24"/>
                <w:lang w:val="en-US" w:eastAsia="zh-CN"/>
              </w:rPr>
            </w:pPr>
          </w:p>
        </w:tc>
        <w:tc>
          <w:tcPr>
            <w:tcW w:w="822" w:type="dxa"/>
            <w:vMerge w:val="continue"/>
            <w:vAlign w:val="center"/>
          </w:tcPr>
          <w:p w14:paraId="1BEA4F85">
            <w:pPr>
              <w:jc w:val="center"/>
              <w:rPr>
                <w:rFonts w:hint="default" w:ascii="宋体" w:hAnsi="宋体" w:eastAsia="宋体" w:cs="宋体"/>
                <w:sz w:val="24"/>
                <w:szCs w:val="24"/>
                <w:lang w:val="en-US" w:eastAsia="zh-CN"/>
              </w:rPr>
            </w:pPr>
          </w:p>
        </w:tc>
        <w:tc>
          <w:tcPr>
            <w:tcW w:w="1065" w:type="dxa"/>
            <w:vMerge w:val="continue"/>
            <w:vAlign w:val="center"/>
          </w:tcPr>
          <w:p w14:paraId="6DAA117F">
            <w:pPr>
              <w:jc w:val="center"/>
              <w:rPr>
                <w:rFonts w:hint="eastAsia" w:ascii="宋体" w:hAnsi="宋体" w:eastAsia="宋体" w:cs="宋体"/>
                <w:sz w:val="24"/>
                <w:szCs w:val="24"/>
                <w:lang w:val="en-US" w:eastAsia="zh-CN"/>
              </w:rPr>
            </w:pPr>
          </w:p>
        </w:tc>
        <w:tc>
          <w:tcPr>
            <w:tcW w:w="818" w:type="dxa"/>
            <w:gridSpan w:val="2"/>
            <w:vMerge w:val="continue"/>
            <w:vAlign w:val="center"/>
          </w:tcPr>
          <w:p w14:paraId="022AB92F">
            <w:pPr>
              <w:jc w:val="center"/>
              <w:rPr>
                <w:rFonts w:hint="eastAsia" w:ascii="宋体" w:hAnsi="宋体" w:eastAsia="宋体" w:cs="宋体"/>
                <w:sz w:val="24"/>
                <w:szCs w:val="24"/>
                <w:lang w:val="en-US" w:eastAsia="zh-CN"/>
              </w:rPr>
            </w:pPr>
          </w:p>
        </w:tc>
      </w:tr>
      <w:tr w14:paraId="7C2BC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 w:hRule="atLeast"/>
          <w:jc w:val="center"/>
        </w:trPr>
        <w:tc>
          <w:tcPr>
            <w:tcW w:w="1253" w:type="dxa"/>
            <w:vMerge w:val="continue"/>
            <w:vAlign w:val="center"/>
          </w:tcPr>
          <w:p w14:paraId="42697DE5">
            <w:pPr>
              <w:jc w:val="center"/>
              <w:rPr>
                <w:rFonts w:hint="eastAsia" w:ascii="宋体" w:hAnsi="宋体" w:eastAsia="宋体" w:cs="宋体"/>
                <w:sz w:val="24"/>
                <w:szCs w:val="24"/>
                <w:lang w:val="en-US" w:eastAsia="zh-CN"/>
              </w:rPr>
            </w:pPr>
          </w:p>
        </w:tc>
        <w:tc>
          <w:tcPr>
            <w:tcW w:w="1697" w:type="dxa"/>
            <w:gridSpan w:val="2"/>
            <w:vMerge w:val="continue"/>
            <w:vAlign w:val="center"/>
          </w:tcPr>
          <w:p w14:paraId="71215598">
            <w:pPr>
              <w:jc w:val="center"/>
              <w:rPr>
                <w:rFonts w:hint="eastAsia" w:ascii="宋体" w:hAnsi="宋体" w:eastAsia="宋体" w:cs="宋体"/>
                <w:sz w:val="24"/>
                <w:szCs w:val="24"/>
                <w:lang w:val="en-US" w:eastAsia="zh-CN"/>
              </w:rPr>
            </w:pPr>
          </w:p>
        </w:tc>
        <w:tc>
          <w:tcPr>
            <w:tcW w:w="802" w:type="dxa"/>
            <w:gridSpan w:val="2"/>
            <w:vMerge w:val="continue"/>
            <w:tcBorders>
              <w:left w:val="single" w:color="auto" w:sz="4" w:space="0"/>
              <w:bottom w:val="single" w:color="auto" w:sz="4" w:space="0"/>
              <w:right w:val="single" w:color="auto" w:sz="4" w:space="0"/>
            </w:tcBorders>
            <w:vAlign w:val="center"/>
          </w:tcPr>
          <w:p w14:paraId="534E5CE6">
            <w:pPr>
              <w:keepNext w:val="0"/>
              <w:keepLines w:val="0"/>
              <w:widowControl/>
              <w:suppressLineNumbers w:val="0"/>
              <w:jc w:val="center"/>
              <w:textAlignment w:val="center"/>
              <w:rPr>
                <w:rFonts w:hint="eastAsia" w:ascii="宋体" w:hAnsi="宋体" w:eastAsia="宋体" w:cs="宋体"/>
                <w:sz w:val="21"/>
                <w:szCs w:val="21"/>
                <w:lang w:val="en-US" w:eastAsia="zh-CN"/>
              </w:rPr>
            </w:pPr>
          </w:p>
        </w:tc>
        <w:tc>
          <w:tcPr>
            <w:tcW w:w="1785" w:type="dxa"/>
            <w:gridSpan w:val="3"/>
            <w:tcBorders>
              <w:left w:val="single" w:color="auto" w:sz="4" w:space="0"/>
              <w:bottom w:val="single" w:color="auto" w:sz="4" w:space="0"/>
              <w:right w:val="single" w:color="auto" w:sz="4" w:space="0"/>
            </w:tcBorders>
            <w:vAlign w:val="center"/>
          </w:tcPr>
          <w:p w14:paraId="27063BEE">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w:t>
            </w:r>
          </w:p>
        </w:tc>
        <w:tc>
          <w:tcPr>
            <w:tcW w:w="528" w:type="dxa"/>
            <w:gridSpan w:val="2"/>
            <w:vMerge w:val="continue"/>
            <w:tcBorders>
              <w:left w:val="single" w:color="auto" w:sz="4" w:space="0"/>
            </w:tcBorders>
            <w:vAlign w:val="center"/>
          </w:tcPr>
          <w:p w14:paraId="2A289CF0">
            <w:pPr>
              <w:jc w:val="center"/>
              <w:rPr>
                <w:rFonts w:hint="eastAsia" w:ascii="宋体" w:hAnsi="宋体" w:eastAsia="宋体" w:cs="宋体"/>
                <w:sz w:val="24"/>
                <w:szCs w:val="24"/>
                <w:lang w:val="en-US" w:eastAsia="zh-CN"/>
              </w:rPr>
            </w:pPr>
          </w:p>
        </w:tc>
        <w:tc>
          <w:tcPr>
            <w:tcW w:w="822" w:type="dxa"/>
            <w:vMerge w:val="continue"/>
            <w:vAlign w:val="center"/>
          </w:tcPr>
          <w:p w14:paraId="69DE7C9C">
            <w:pPr>
              <w:jc w:val="center"/>
              <w:rPr>
                <w:rFonts w:hint="default" w:ascii="宋体" w:hAnsi="宋体" w:eastAsia="宋体" w:cs="宋体"/>
                <w:sz w:val="24"/>
                <w:szCs w:val="24"/>
                <w:lang w:val="en-US" w:eastAsia="zh-CN"/>
              </w:rPr>
            </w:pPr>
          </w:p>
        </w:tc>
        <w:tc>
          <w:tcPr>
            <w:tcW w:w="1065" w:type="dxa"/>
            <w:vMerge w:val="continue"/>
            <w:vAlign w:val="center"/>
          </w:tcPr>
          <w:p w14:paraId="33DD6E67">
            <w:pPr>
              <w:jc w:val="center"/>
              <w:rPr>
                <w:rFonts w:hint="eastAsia" w:ascii="宋体" w:hAnsi="宋体" w:eastAsia="宋体" w:cs="宋体"/>
                <w:sz w:val="24"/>
                <w:szCs w:val="24"/>
                <w:lang w:val="en-US" w:eastAsia="zh-CN"/>
              </w:rPr>
            </w:pPr>
          </w:p>
        </w:tc>
        <w:tc>
          <w:tcPr>
            <w:tcW w:w="818" w:type="dxa"/>
            <w:gridSpan w:val="2"/>
            <w:vMerge w:val="continue"/>
            <w:vAlign w:val="center"/>
          </w:tcPr>
          <w:p w14:paraId="4B577B22">
            <w:pPr>
              <w:jc w:val="center"/>
              <w:rPr>
                <w:rFonts w:hint="eastAsia" w:ascii="宋体" w:hAnsi="宋体" w:eastAsia="宋体" w:cs="宋体"/>
                <w:sz w:val="24"/>
                <w:szCs w:val="24"/>
                <w:lang w:val="en-US" w:eastAsia="zh-CN"/>
              </w:rPr>
            </w:pPr>
          </w:p>
        </w:tc>
      </w:tr>
      <w:tr w14:paraId="3520E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 w:hRule="atLeast"/>
          <w:jc w:val="center"/>
        </w:trPr>
        <w:tc>
          <w:tcPr>
            <w:tcW w:w="1253" w:type="dxa"/>
            <w:vMerge w:val="restart"/>
            <w:shd w:val="clear" w:color="auto" w:fill="auto"/>
            <w:vAlign w:val="center"/>
          </w:tcPr>
          <w:p w14:paraId="069A09F6">
            <w:pPr>
              <w:jc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sz w:val="24"/>
                <w:szCs w:val="24"/>
                <w:lang w:val="en-US" w:eastAsia="zh-CN"/>
              </w:rPr>
              <w:t>2</w:t>
            </w:r>
          </w:p>
        </w:tc>
        <w:tc>
          <w:tcPr>
            <w:tcW w:w="1697" w:type="dxa"/>
            <w:gridSpan w:val="2"/>
            <w:vMerge w:val="restart"/>
            <w:shd w:val="clear" w:color="auto" w:fill="auto"/>
            <w:vAlign w:val="center"/>
          </w:tcPr>
          <w:p w14:paraId="163599A4">
            <w:pPr>
              <w:jc w:val="center"/>
              <w:rPr>
                <w:rFonts w:hint="default"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热轧板</w:t>
            </w:r>
            <w:r>
              <w:rPr>
                <w:rFonts w:hint="eastAsia" w:ascii="宋体" w:hAnsi="宋体" w:eastAsia="宋体" w:cs="宋体"/>
                <w:sz w:val="24"/>
                <w:szCs w:val="24"/>
                <w:lang w:val="en-US" w:eastAsia="zh-CN"/>
              </w:rPr>
              <w:t>（酸洗）</w:t>
            </w:r>
          </w:p>
        </w:tc>
        <w:tc>
          <w:tcPr>
            <w:tcW w:w="802" w:type="dxa"/>
            <w:gridSpan w:val="2"/>
            <w:vMerge w:val="restart"/>
            <w:tcBorders>
              <w:left w:val="single" w:color="auto" w:sz="4" w:space="0"/>
              <w:right w:val="single" w:color="auto" w:sz="4" w:space="0"/>
            </w:tcBorders>
            <w:shd w:val="clear" w:color="auto" w:fill="auto"/>
            <w:vAlign w:val="center"/>
          </w:tcPr>
          <w:p w14:paraId="12190661">
            <w:pPr>
              <w:keepNext w:val="0"/>
              <w:keepLines w:val="0"/>
              <w:widowControl/>
              <w:suppressLineNumbers w:val="0"/>
              <w:ind w:firstLine="210" w:firstLineChars="100"/>
              <w:jc w:val="both"/>
              <w:textAlignment w:val="center"/>
              <w:rPr>
                <w:rFonts w:hint="default" w:ascii="宋体" w:hAnsi="宋体" w:eastAsia="宋体" w:cs="宋体"/>
                <w:snapToGrid w:val="0"/>
                <w:color w:val="000000"/>
                <w:sz w:val="21"/>
                <w:szCs w:val="21"/>
                <w:lang w:val="en-US" w:eastAsia="zh-CN" w:bidi="ar-SA"/>
              </w:rPr>
            </w:pPr>
            <w:r>
              <w:rPr>
                <w:rFonts w:hint="eastAsia" w:ascii="宋体" w:hAnsi="宋体" w:eastAsia="宋体" w:cs="宋体"/>
                <w:sz w:val="21"/>
                <w:szCs w:val="21"/>
                <w:lang w:val="en-US" w:eastAsia="zh-CN"/>
              </w:rPr>
              <w:t>Q235</w:t>
            </w:r>
          </w:p>
        </w:tc>
        <w:tc>
          <w:tcPr>
            <w:tcW w:w="1785" w:type="dxa"/>
            <w:gridSpan w:val="3"/>
            <w:tcBorders>
              <w:left w:val="single" w:color="auto" w:sz="4" w:space="0"/>
              <w:bottom w:val="single" w:color="auto" w:sz="4" w:space="0"/>
              <w:right w:val="single" w:color="auto" w:sz="4" w:space="0"/>
            </w:tcBorders>
            <w:shd w:val="clear" w:color="auto" w:fill="auto"/>
            <w:vAlign w:val="center"/>
          </w:tcPr>
          <w:p w14:paraId="2D209079">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snapToGrid w:val="0"/>
                <w:color w:val="000000"/>
                <w:sz w:val="21"/>
                <w:szCs w:val="21"/>
                <w:lang w:val="en-US" w:eastAsia="zh-CN" w:bidi="ar-SA"/>
              </w:rPr>
              <w:t>2.0</w:t>
            </w:r>
          </w:p>
        </w:tc>
        <w:tc>
          <w:tcPr>
            <w:tcW w:w="528" w:type="dxa"/>
            <w:gridSpan w:val="2"/>
            <w:vMerge w:val="restart"/>
            <w:tcBorders>
              <w:left w:val="single" w:color="auto" w:sz="4" w:space="0"/>
            </w:tcBorders>
            <w:shd w:val="clear" w:color="auto" w:fill="auto"/>
            <w:vAlign w:val="center"/>
          </w:tcPr>
          <w:p w14:paraId="659EA9B4">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吨</w:t>
            </w:r>
          </w:p>
        </w:tc>
        <w:tc>
          <w:tcPr>
            <w:tcW w:w="822" w:type="dxa"/>
            <w:vMerge w:val="restart"/>
            <w:vAlign w:val="center"/>
          </w:tcPr>
          <w:p w14:paraId="16A29FD3">
            <w:pPr>
              <w:jc w:val="center"/>
              <w:rPr>
                <w:rFonts w:hint="default"/>
                <w:lang w:val="en-US" w:eastAsia="zh-CN"/>
              </w:rPr>
            </w:pPr>
          </w:p>
        </w:tc>
        <w:tc>
          <w:tcPr>
            <w:tcW w:w="1065" w:type="dxa"/>
            <w:vMerge w:val="continue"/>
            <w:vAlign w:val="center"/>
          </w:tcPr>
          <w:p w14:paraId="4D32308D">
            <w:pPr>
              <w:jc w:val="center"/>
              <w:rPr>
                <w:rFonts w:hint="eastAsia" w:ascii="宋体" w:hAnsi="宋体" w:eastAsia="宋体" w:cs="宋体"/>
                <w:sz w:val="24"/>
                <w:szCs w:val="24"/>
                <w:lang w:val="en-US" w:eastAsia="zh-CN"/>
              </w:rPr>
            </w:pPr>
          </w:p>
        </w:tc>
        <w:tc>
          <w:tcPr>
            <w:tcW w:w="818" w:type="dxa"/>
            <w:gridSpan w:val="2"/>
            <w:vMerge w:val="continue"/>
            <w:vAlign w:val="center"/>
          </w:tcPr>
          <w:p w14:paraId="146808F3">
            <w:pPr>
              <w:jc w:val="center"/>
              <w:rPr>
                <w:rFonts w:hint="eastAsia" w:ascii="宋体" w:hAnsi="宋体" w:eastAsia="宋体" w:cs="宋体"/>
                <w:sz w:val="24"/>
                <w:szCs w:val="24"/>
                <w:lang w:val="en-US" w:eastAsia="zh-CN"/>
              </w:rPr>
            </w:pPr>
          </w:p>
        </w:tc>
      </w:tr>
      <w:tr w14:paraId="4D1A59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 w:hRule="atLeast"/>
          <w:jc w:val="center"/>
        </w:trPr>
        <w:tc>
          <w:tcPr>
            <w:tcW w:w="1253" w:type="dxa"/>
            <w:vMerge w:val="continue"/>
            <w:shd w:val="clear" w:color="auto" w:fill="auto"/>
            <w:vAlign w:val="center"/>
          </w:tcPr>
          <w:p w14:paraId="1C49D010">
            <w:pPr>
              <w:jc w:val="center"/>
              <w:rPr>
                <w:rFonts w:hint="eastAsia" w:ascii="宋体" w:hAnsi="宋体" w:eastAsia="宋体" w:cs="宋体"/>
                <w:sz w:val="24"/>
                <w:szCs w:val="24"/>
                <w:lang w:val="en-US" w:eastAsia="zh-CN"/>
              </w:rPr>
            </w:pPr>
          </w:p>
        </w:tc>
        <w:tc>
          <w:tcPr>
            <w:tcW w:w="1697" w:type="dxa"/>
            <w:gridSpan w:val="2"/>
            <w:vMerge w:val="continue"/>
            <w:shd w:val="clear" w:color="auto" w:fill="auto"/>
            <w:vAlign w:val="center"/>
          </w:tcPr>
          <w:p w14:paraId="07136DA9">
            <w:pPr>
              <w:jc w:val="center"/>
              <w:rPr>
                <w:rFonts w:hint="eastAsia" w:ascii="宋体" w:hAnsi="宋体" w:eastAsia="宋体" w:cs="宋体"/>
                <w:sz w:val="24"/>
                <w:szCs w:val="24"/>
                <w:lang w:val="en-US" w:eastAsia="zh-CN"/>
              </w:rPr>
            </w:pPr>
          </w:p>
        </w:tc>
        <w:tc>
          <w:tcPr>
            <w:tcW w:w="802" w:type="dxa"/>
            <w:gridSpan w:val="2"/>
            <w:vMerge w:val="continue"/>
            <w:tcBorders>
              <w:left w:val="single" w:color="auto" w:sz="4" w:space="0"/>
              <w:right w:val="single" w:color="auto" w:sz="4" w:space="0"/>
            </w:tcBorders>
            <w:shd w:val="clear" w:color="auto" w:fill="auto"/>
            <w:vAlign w:val="center"/>
          </w:tcPr>
          <w:p w14:paraId="0FFA9723">
            <w:pPr>
              <w:keepNext w:val="0"/>
              <w:keepLines w:val="0"/>
              <w:widowControl/>
              <w:suppressLineNumbers w:val="0"/>
              <w:jc w:val="center"/>
              <w:textAlignment w:val="center"/>
              <w:rPr>
                <w:rFonts w:hint="default" w:ascii="宋体" w:hAnsi="宋体" w:eastAsia="宋体" w:cs="宋体"/>
                <w:snapToGrid w:val="0"/>
                <w:color w:val="000000"/>
                <w:sz w:val="21"/>
                <w:szCs w:val="21"/>
                <w:lang w:val="en-US" w:eastAsia="zh-CN" w:bidi="ar-SA"/>
              </w:rPr>
            </w:pPr>
          </w:p>
        </w:tc>
        <w:tc>
          <w:tcPr>
            <w:tcW w:w="178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57973B1">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2.5</w:t>
            </w:r>
          </w:p>
        </w:tc>
        <w:tc>
          <w:tcPr>
            <w:tcW w:w="528" w:type="dxa"/>
            <w:gridSpan w:val="2"/>
            <w:vMerge w:val="continue"/>
            <w:tcBorders>
              <w:left w:val="single" w:color="auto" w:sz="4" w:space="0"/>
            </w:tcBorders>
            <w:shd w:val="clear" w:color="auto" w:fill="auto"/>
            <w:vAlign w:val="center"/>
          </w:tcPr>
          <w:p w14:paraId="7151CE32">
            <w:pPr>
              <w:jc w:val="center"/>
              <w:rPr>
                <w:rFonts w:hint="eastAsia" w:ascii="宋体" w:hAnsi="宋体" w:eastAsia="宋体" w:cs="宋体"/>
                <w:sz w:val="24"/>
                <w:szCs w:val="24"/>
                <w:lang w:val="en-US" w:eastAsia="zh-CN"/>
              </w:rPr>
            </w:pPr>
          </w:p>
        </w:tc>
        <w:tc>
          <w:tcPr>
            <w:tcW w:w="822" w:type="dxa"/>
            <w:vMerge w:val="continue"/>
            <w:vAlign w:val="center"/>
          </w:tcPr>
          <w:p w14:paraId="5BA7E003">
            <w:pPr>
              <w:jc w:val="center"/>
              <w:rPr>
                <w:rFonts w:hint="eastAsia" w:ascii="宋体" w:hAnsi="宋体" w:eastAsia="宋体" w:cs="宋体"/>
                <w:sz w:val="24"/>
                <w:szCs w:val="24"/>
                <w:lang w:val="en-US" w:eastAsia="zh-CN"/>
              </w:rPr>
            </w:pPr>
          </w:p>
        </w:tc>
        <w:tc>
          <w:tcPr>
            <w:tcW w:w="1065" w:type="dxa"/>
            <w:vMerge w:val="continue"/>
            <w:vAlign w:val="center"/>
          </w:tcPr>
          <w:p w14:paraId="7B941E27">
            <w:pPr>
              <w:jc w:val="center"/>
              <w:rPr>
                <w:rFonts w:hint="eastAsia" w:ascii="宋体" w:hAnsi="宋体" w:eastAsia="宋体" w:cs="宋体"/>
                <w:sz w:val="24"/>
                <w:szCs w:val="24"/>
                <w:lang w:val="en-US" w:eastAsia="zh-CN"/>
              </w:rPr>
            </w:pPr>
          </w:p>
        </w:tc>
        <w:tc>
          <w:tcPr>
            <w:tcW w:w="818" w:type="dxa"/>
            <w:gridSpan w:val="2"/>
            <w:vMerge w:val="continue"/>
            <w:vAlign w:val="center"/>
          </w:tcPr>
          <w:p w14:paraId="1880CC36">
            <w:pPr>
              <w:jc w:val="center"/>
              <w:rPr>
                <w:rFonts w:hint="eastAsia" w:ascii="宋体" w:hAnsi="宋体" w:eastAsia="宋体" w:cs="宋体"/>
                <w:sz w:val="24"/>
                <w:szCs w:val="24"/>
                <w:lang w:val="en-US" w:eastAsia="zh-CN"/>
              </w:rPr>
            </w:pPr>
          </w:p>
        </w:tc>
      </w:tr>
      <w:tr w14:paraId="2C728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 w:hRule="atLeast"/>
          <w:jc w:val="center"/>
        </w:trPr>
        <w:tc>
          <w:tcPr>
            <w:tcW w:w="1253" w:type="dxa"/>
            <w:vMerge w:val="restart"/>
            <w:shd w:val="clear" w:color="auto" w:fill="auto"/>
            <w:vAlign w:val="center"/>
          </w:tcPr>
          <w:p w14:paraId="454AE484">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697" w:type="dxa"/>
            <w:gridSpan w:val="2"/>
            <w:vMerge w:val="restart"/>
            <w:shd w:val="clear" w:color="auto" w:fill="auto"/>
            <w:vAlign w:val="center"/>
          </w:tcPr>
          <w:p w14:paraId="65176212">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不锈钢冷板</w:t>
            </w:r>
          </w:p>
        </w:tc>
        <w:tc>
          <w:tcPr>
            <w:tcW w:w="80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4E166A6">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304</w:t>
            </w:r>
          </w:p>
        </w:tc>
        <w:tc>
          <w:tcPr>
            <w:tcW w:w="178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CD9CFAA">
            <w:pPr>
              <w:jc w:val="center"/>
              <w:rPr>
                <w:rFonts w:hint="default" w:ascii="宋体" w:hAnsi="宋体" w:eastAsia="宋体" w:cs="宋体"/>
                <w:sz w:val="21"/>
                <w:szCs w:val="21"/>
                <w:lang w:val="en-US" w:eastAsia="zh-CN"/>
              </w:rPr>
            </w:pPr>
            <w:r>
              <w:rPr>
                <w:rFonts w:hint="eastAsia" w:ascii="宋体" w:hAnsi="宋体" w:eastAsia="宋体" w:cs="宋体"/>
                <w:i w:val="0"/>
                <w:iCs w:val="0"/>
                <w:snapToGrid w:val="0"/>
                <w:color w:val="000000"/>
                <w:kern w:val="0"/>
                <w:sz w:val="22"/>
                <w:szCs w:val="22"/>
                <w:u w:val="none"/>
                <w:lang w:val="en-US" w:eastAsia="zh-CN" w:bidi="ar"/>
              </w:rPr>
              <w:t>≤</w:t>
            </w:r>
            <w:r>
              <w:rPr>
                <w:rFonts w:hint="eastAsia" w:ascii="宋体" w:hAnsi="宋体" w:eastAsia="宋体" w:cs="宋体"/>
                <w:sz w:val="21"/>
                <w:szCs w:val="21"/>
                <w:lang w:val="en-US" w:eastAsia="zh-CN"/>
              </w:rPr>
              <w:t>1.0</w:t>
            </w:r>
          </w:p>
        </w:tc>
        <w:tc>
          <w:tcPr>
            <w:tcW w:w="528" w:type="dxa"/>
            <w:gridSpan w:val="2"/>
            <w:vMerge w:val="restart"/>
            <w:tcBorders>
              <w:left w:val="single" w:color="auto" w:sz="4" w:space="0"/>
            </w:tcBorders>
            <w:shd w:val="clear" w:color="auto" w:fill="auto"/>
            <w:vAlign w:val="center"/>
          </w:tcPr>
          <w:p w14:paraId="12CF955C">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吨</w:t>
            </w:r>
          </w:p>
        </w:tc>
        <w:tc>
          <w:tcPr>
            <w:tcW w:w="822" w:type="dxa"/>
            <w:vMerge w:val="restart"/>
            <w:vAlign w:val="center"/>
          </w:tcPr>
          <w:p w14:paraId="11E3AAD1">
            <w:pPr>
              <w:jc w:val="center"/>
              <w:rPr>
                <w:rFonts w:hint="eastAsia" w:ascii="宋体" w:hAnsi="宋体" w:eastAsia="宋体" w:cs="宋体"/>
                <w:sz w:val="24"/>
                <w:szCs w:val="24"/>
                <w:lang w:val="en-US" w:eastAsia="zh-CN"/>
              </w:rPr>
            </w:pPr>
          </w:p>
        </w:tc>
        <w:tc>
          <w:tcPr>
            <w:tcW w:w="1065" w:type="dxa"/>
            <w:vMerge w:val="continue"/>
            <w:vAlign w:val="center"/>
          </w:tcPr>
          <w:p w14:paraId="22113F1C">
            <w:pPr>
              <w:jc w:val="center"/>
              <w:rPr>
                <w:rFonts w:hint="eastAsia" w:ascii="宋体" w:hAnsi="宋体" w:eastAsia="宋体" w:cs="宋体"/>
                <w:sz w:val="24"/>
                <w:szCs w:val="24"/>
                <w:lang w:val="en-US" w:eastAsia="zh-CN"/>
              </w:rPr>
            </w:pPr>
          </w:p>
        </w:tc>
        <w:tc>
          <w:tcPr>
            <w:tcW w:w="818" w:type="dxa"/>
            <w:gridSpan w:val="2"/>
            <w:vMerge w:val="continue"/>
            <w:vAlign w:val="center"/>
          </w:tcPr>
          <w:p w14:paraId="2E143101">
            <w:pPr>
              <w:jc w:val="center"/>
              <w:rPr>
                <w:rFonts w:hint="eastAsia" w:ascii="宋体" w:hAnsi="宋体" w:eastAsia="宋体" w:cs="宋体"/>
                <w:sz w:val="24"/>
                <w:szCs w:val="24"/>
                <w:lang w:val="en-US" w:eastAsia="zh-CN"/>
              </w:rPr>
            </w:pPr>
          </w:p>
        </w:tc>
      </w:tr>
      <w:tr w14:paraId="3CCB2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 w:hRule="atLeast"/>
          <w:jc w:val="center"/>
        </w:trPr>
        <w:tc>
          <w:tcPr>
            <w:tcW w:w="1253" w:type="dxa"/>
            <w:vMerge w:val="continue"/>
            <w:shd w:val="clear" w:color="auto" w:fill="auto"/>
            <w:vAlign w:val="center"/>
          </w:tcPr>
          <w:p w14:paraId="61B841DE">
            <w:pPr>
              <w:jc w:val="center"/>
              <w:rPr>
                <w:rFonts w:hint="eastAsia" w:ascii="宋体" w:hAnsi="宋体" w:eastAsia="宋体" w:cs="宋体"/>
                <w:sz w:val="24"/>
                <w:szCs w:val="24"/>
                <w:lang w:val="en-US" w:eastAsia="zh-CN"/>
              </w:rPr>
            </w:pPr>
          </w:p>
        </w:tc>
        <w:tc>
          <w:tcPr>
            <w:tcW w:w="1697" w:type="dxa"/>
            <w:gridSpan w:val="2"/>
            <w:vMerge w:val="continue"/>
            <w:shd w:val="clear" w:color="auto" w:fill="auto"/>
            <w:vAlign w:val="center"/>
          </w:tcPr>
          <w:p w14:paraId="66F2B108">
            <w:pPr>
              <w:jc w:val="center"/>
              <w:rPr>
                <w:rFonts w:hint="eastAsia" w:ascii="宋体" w:hAnsi="宋体" w:eastAsia="宋体" w:cs="宋体"/>
                <w:sz w:val="21"/>
                <w:szCs w:val="21"/>
                <w:lang w:val="en-US" w:eastAsia="zh-CN"/>
              </w:rPr>
            </w:pPr>
          </w:p>
        </w:tc>
        <w:tc>
          <w:tcPr>
            <w:tcW w:w="80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7E69D9C">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304</w:t>
            </w:r>
          </w:p>
        </w:tc>
        <w:tc>
          <w:tcPr>
            <w:tcW w:w="178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0D0D2C9">
            <w:pPr>
              <w:jc w:val="center"/>
              <w:rPr>
                <w:rFonts w:hint="default" w:ascii="宋体" w:hAnsi="宋体" w:eastAsia="宋体" w:cs="宋体"/>
                <w:sz w:val="21"/>
                <w:szCs w:val="21"/>
                <w:lang w:val="en-US" w:eastAsia="zh-CN"/>
              </w:rPr>
            </w:pPr>
            <w:r>
              <w:rPr>
                <w:rFonts w:hint="eastAsia" w:ascii="宋体" w:hAnsi="宋体" w:eastAsia="宋体" w:cs="宋体"/>
                <w:i w:val="0"/>
                <w:iCs w:val="0"/>
                <w:snapToGrid w:val="0"/>
                <w:color w:val="000000"/>
                <w:kern w:val="0"/>
                <w:sz w:val="22"/>
                <w:szCs w:val="22"/>
                <w:u w:val="none"/>
                <w:lang w:val="en-US" w:eastAsia="zh-CN" w:bidi="ar"/>
              </w:rPr>
              <w:t>＞</w:t>
            </w:r>
            <w:r>
              <w:rPr>
                <w:rFonts w:hint="eastAsia" w:ascii="宋体" w:hAnsi="宋体" w:eastAsia="宋体" w:cs="宋体"/>
                <w:sz w:val="21"/>
                <w:szCs w:val="21"/>
                <w:lang w:val="en-US" w:eastAsia="zh-CN"/>
              </w:rPr>
              <w:t>1.0~3.0</w:t>
            </w:r>
          </w:p>
        </w:tc>
        <w:tc>
          <w:tcPr>
            <w:tcW w:w="528" w:type="dxa"/>
            <w:gridSpan w:val="2"/>
            <w:vMerge w:val="continue"/>
            <w:tcBorders>
              <w:left w:val="single" w:color="auto" w:sz="4" w:space="0"/>
            </w:tcBorders>
            <w:shd w:val="clear" w:color="auto" w:fill="auto"/>
            <w:vAlign w:val="center"/>
          </w:tcPr>
          <w:p w14:paraId="47DCD55C">
            <w:pPr>
              <w:jc w:val="center"/>
              <w:rPr>
                <w:rFonts w:hint="eastAsia" w:ascii="宋体" w:hAnsi="宋体" w:eastAsia="宋体" w:cs="宋体"/>
                <w:sz w:val="24"/>
                <w:szCs w:val="24"/>
                <w:lang w:val="en-US" w:eastAsia="zh-CN"/>
              </w:rPr>
            </w:pPr>
          </w:p>
        </w:tc>
        <w:tc>
          <w:tcPr>
            <w:tcW w:w="822" w:type="dxa"/>
            <w:vMerge w:val="continue"/>
            <w:vAlign w:val="center"/>
          </w:tcPr>
          <w:p w14:paraId="3F6EE759">
            <w:pPr>
              <w:jc w:val="center"/>
              <w:rPr>
                <w:rFonts w:hint="eastAsia" w:ascii="宋体" w:hAnsi="宋体" w:eastAsia="宋体" w:cs="宋体"/>
                <w:sz w:val="24"/>
                <w:szCs w:val="24"/>
                <w:lang w:val="en-US" w:eastAsia="zh-CN"/>
              </w:rPr>
            </w:pPr>
          </w:p>
        </w:tc>
        <w:tc>
          <w:tcPr>
            <w:tcW w:w="1065" w:type="dxa"/>
            <w:vMerge w:val="continue"/>
            <w:vAlign w:val="center"/>
          </w:tcPr>
          <w:p w14:paraId="03738E84">
            <w:pPr>
              <w:jc w:val="center"/>
              <w:rPr>
                <w:rFonts w:hint="eastAsia" w:ascii="宋体" w:hAnsi="宋体" w:eastAsia="宋体" w:cs="宋体"/>
                <w:sz w:val="24"/>
                <w:szCs w:val="24"/>
                <w:lang w:val="en-US" w:eastAsia="zh-CN"/>
              </w:rPr>
            </w:pPr>
          </w:p>
        </w:tc>
        <w:tc>
          <w:tcPr>
            <w:tcW w:w="818" w:type="dxa"/>
            <w:gridSpan w:val="2"/>
            <w:vMerge w:val="continue"/>
            <w:vAlign w:val="center"/>
          </w:tcPr>
          <w:p w14:paraId="57D14EE7">
            <w:pPr>
              <w:jc w:val="center"/>
              <w:rPr>
                <w:rFonts w:hint="eastAsia" w:ascii="宋体" w:hAnsi="宋体" w:eastAsia="宋体" w:cs="宋体"/>
                <w:sz w:val="24"/>
                <w:szCs w:val="24"/>
                <w:lang w:val="en-US" w:eastAsia="zh-CN"/>
              </w:rPr>
            </w:pPr>
          </w:p>
        </w:tc>
      </w:tr>
      <w:tr w14:paraId="4A2DC5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 w:hRule="atLeast"/>
          <w:jc w:val="center"/>
        </w:trPr>
        <w:tc>
          <w:tcPr>
            <w:tcW w:w="1255" w:type="dxa"/>
            <w:gridSpan w:val="2"/>
            <w:vMerge w:val="restart"/>
            <w:tcBorders>
              <w:right w:val="single" w:color="000000" w:sz="4" w:space="0"/>
            </w:tcBorders>
            <w:shd w:val="clear" w:color="auto" w:fill="auto"/>
            <w:vAlign w:val="center"/>
          </w:tcPr>
          <w:p w14:paraId="22005E5D">
            <w:pPr>
              <w:jc w:val="left"/>
              <w:rPr>
                <w:rFonts w:hint="eastAsia" w:asciiTheme="minorEastAsia" w:hAnsiTheme="minorEastAsia" w:eastAsiaTheme="minorEastAsia"/>
                <w:b/>
                <w:bCs/>
                <w:color w:val="FF0000"/>
                <w:sz w:val="21"/>
                <w:szCs w:val="21"/>
                <w:lang w:val="en-US" w:eastAsia="zh-CN"/>
              </w:rPr>
            </w:pPr>
          </w:p>
          <w:p w14:paraId="71F84EEC">
            <w:pPr>
              <w:bidi w:val="0"/>
              <w:jc w:val="center"/>
              <w:rPr>
                <w:rFonts w:hint="default" w:ascii="Arial" w:hAnsi="Arial" w:eastAsia="Arial" w:cs="Arial"/>
                <w:snapToGrid w:val="0"/>
                <w:color w:val="000000"/>
                <w:sz w:val="21"/>
                <w:szCs w:val="21"/>
                <w:lang w:val="en-US" w:eastAsia="zh-CN" w:bidi="ar-SA"/>
              </w:rPr>
            </w:pPr>
            <w:r>
              <w:rPr>
                <w:rFonts w:hint="eastAsia" w:cs="Arial"/>
                <w:snapToGrid w:val="0"/>
                <w:color w:val="000000"/>
                <w:sz w:val="21"/>
                <w:szCs w:val="21"/>
                <w:lang w:val="en-US" w:eastAsia="zh-CN" w:bidi="ar-SA"/>
              </w:rPr>
              <w:t>4</w:t>
            </w:r>
          </w:p>
        </w:tc>
        <w:tc>
          <w:tcPr>
            <w:tcW w:w="1700" w:type="dxa"/>
            <w:gridSpan w:val="2"/>
            <w:vMerge w:val="restart"/>
            <w:tcBorders>
              <w:left w:val="single" w:color="000000" w:sz="4" w:space="0"/>
              <w:right w:val="single" w:color="000000" w:sz="4" w:space="0"/>
            </w:tcBorders>
            <w:shd w:val="clear" w:color="auto" w:fill="auto"/>
            <w:vAlign w:val="center"/>
          </w:tcPr>
          <w:p w14:paraId="1CF5D76F">
            <w:pPr>
              <w:jc w:val="center"/>
              <w:rPr>
                <w:rFonts w:hint="default" w:asciiTheme="minorEastAsia" w:hAnsiTheme="minorEastAsia" w:eastAsiaTheme="minorEastAsia"/>
                <w:b w:val="0"/>
                <w:bCs w:val="0"/>
                <w:color w:val="auto"/>
                <w:sz w:val="22"/>
                <w:szCs w:val="22"/>
                <w:lang w:val="en-US" w:eastAsia="zh-CN"/>
              </w:rPr>
            </w:pPr>
            <w:r>
              <w:rPr>
                <w:rFonts w:hint="eastAsia" w:asciiTheme="minorEastAsia" w:hAnsiTheme="minorEastAsia" w:eastAsiaTheme="minorEastAsia"/>
                <w:b w:val="0"/>
                <w:bCs w:val="0"/>
                <w:color w:val="auto"/>
                <w:sz w:val="22"/>
                <w:szCs w:val="22"/>
                <w:lang w:val="en-US" w:eastAsia="zh-CN"/>
              </w:rPr>
              <w:t>热轧板</w:t>
            </w:r>
          </w:p>
        </w:tc>
        <w:tc>
          <w:tcPr>
            <w:tcW w:w="800" w:type="dxa"/>
            <w:gridSpan w:val="3"/>
            <w:vMerge w:val="restart"/>
            <w:tcBorders>
              <w:left w:val="single" w:color="000000" w:sz="4" w:space="0"/>
              <w:right w:val="single" w:color="000000" w:sz="4" w:space="0"/>
            </w:tcBorders>
            <w:shd w:val="clear" w:color="auto" w:fill="auto"/>
            <w:vAlign w:val="center"/>
          </w:tcPr>
          <w:p w14:paraId="22861B57">
            <w:pPr>
              <w:jc w:val="center"/>
              <w:rPr>
                <w:rFonts w:hint="default" w:asciiTheme="minorEastAsia" w:hAnsiTheme="minorEastAsia" w:eastAsiaTheme="minorEastAsia"/>
                <w:b w:val="0"/>
                <w:bCs w:val="0"/>
                <w:color w:val="FF0000"/>
                <w:sz w:val="21"/>
                <w:szCs w:val="21"/>
                <w:lang w:val="en-US" w:eastAsia="zh-CN"/>
              </w:rPr>
            </w:pPr>
            <w:r>
              <w:rPr>
                <w:rFonts w:hint="eastAsia" w:asciiTheme="minorEastAsia" w:hAnsiTheme="minorEastAsia" w:eastAsiaTheme="minorEastAsia"/>
                <w:b w:val="0"/>
                <w:bCs w:val="0"/>
                <w:color w:val="auto"/>
                <w:sz w:val="21"/>
                <w:szCs w:val="21"/>
                <w:lang w:val="en-US" w:eastAsia="zh-CN"/>
              </w:rPr>
              <w:t>Q235</w:t>
            </w:r>
          </w:p>
        </w:tc>
        <w:tc>
          <w:tcPr>
            <w:tcW w:w="1784" w:type="dxa"/>
            <w:gridSpan w:val="2"/>
            <w:tcBorders>
              <w:left w:val="single" w:color="000000" w:sz="4" w:space="0"/>
              <w:right w:val="single" w:color="000000" w:sz="4" w:space="0"/>
            </w:tcBorders>
            <w:shd w:val="clear" w:color="auto" w:fill="auto"/>
            <w:vAlign w:val="center"/>
          </w:tcPr>
          <w:p w14:paraId="45F2BFDE">
            <w:pPr>
              <w:keepNext w:val="0"/>
              <w:keepLines w:val="0"/>
              <w:widowControl/>
              <w:suppressLineNumbers w:val="0"/>
              <w:jc w:val="center"/>
              <w:textAlignment w:val="center"/>
              <w:rPr>
                <w:rFonts w:hint="eastAsia" w:asciiTheme="minorEastAsia" w:hAnsiTheme="minorEastAsia" w:eastAsiaTheme="minorEastAsia"/>
                <w:b w:val="0"/>
                <w:bCs w:val="0"/>
                <w:color w:val="FF0000"/>
                <w:sz w:val="21"/>
                <w:szCs w:val="21"/>
                <w:lang w:val="en-US" w:eastAsia="zh-CN"/>
              </w:rPr>
            </w:pPr>
            <w:r>
              <w:rPr>
                <w:rFonts w:hint="eastAsia" w:ascii="宋体" w:hAnsi="宋体" w:eastAsia="宋体" w:cs="宋体"/>
                <w:snapToGrid w:val="0"/>
                <w:color w:val="000000"/>
                <w:sz w:val="21"/>
                <w:szCs w:val="21"/>
                <w:lang w:val="en-US" w:eastAsia="zh-CN" w:bidi="ar-SA"/>
              </w:rPr>
              <w:t>2.0</w:t>
            </w:r>
          </w:p>
        </w:tc>
        <w:tc>
          <w:tcPr>
            <w:tcW w:w="526" w:type="dxa"/>
            <w:vMerge w:val="restart"/>
            <w:tcBorders>
              <w:left w:val="single" w:color="000000" w:sz="4" w:space="0"/>
              <w:right w:val="single" w:color="000000" w:sz="4" w:space="0"/>
            </w:tcBorders>
            <w:shd w:val="clear" w:color="auto" w:fill="auto"/>
            <w:vAlign w:val="center"/>
          </w:tcPr>
          <w:p w14:paraId="0F7DDD54">
            <w:pPr>
              <w:jc w:val="center"/>
              <w:rPr>
                <w:rFonts w:hint="eastAsia" w:asciiTheme="minorEastAsia" w:hAnsiTheme="minorEastAsia" w:eastAsiaTheme="minorEastAsia"/>
                <w:b w:val="0"/>
                <w:bCs w:val="0"/>
                <w:color w:val="FF0000"/>
                <w:sz w:val="21"/>
                <w:szCs w:val="21"/>
                <w:lang w:val="en-US" w:eastAsia="zh-CN"/>
              </w:rPr>
            </w:pPr>
            <w:r>
              <w:rPr>
                <w:rFonts w:hint="eastAsia" w:ascii="宋体" w:hAnsi="宋体" w:eastAsia="宋体" w:cs="宋体"/>
                <w:sz w:val="24"/>
                <w:szCs w:val="24"/>
                <w:lang w:val="en-US" w:eastAsia="zh-CN"/>
              </w:rPr>
              <w:t>吨</w:t>
            </w:r>
          </w:p>
        </w:tc>
        <w:tc>
          <w:tcPr>
            <w:tcW w:w="822" w:type="dxa"/>
            <w:vMerge w:val="restart"/>
            <w:tcBorders>
              <w:left w:val="single" w:color="000000" w:sz="4" w:space="0"/>
              <w:right w:val="single" w:color="000000" w:sz="4" w:space="0"/>
            </w:tcBorders>
            <w:shd w:val="clear" w:color="auto" w:fill="auto"/>
            <w:vAlign w:val="center"/>
          </w:tcPr>
          <w:p w14:paraId="6B041A63">
            <w:pPr>
              <w:jc w:val="left"/>
              <w:rPr>
                <w:rFonts w:hint="eastAsia" w:asciiTheme="minorEastAsia" w:hAnsiTheme="minorEastAsia" w:eastAsiaTheme="minorEastAsia"/>
                <w:b w:val="0"/>
                <w:bCs w:val="0"/>
                <w:color w:val="FF0000"/>
                <w:sz w:val="21"/>
                <w:szCs w:val="21"/>
                <w:lang w:val="en-US" w:eastAsia="zh-CN"/>
              </w:rPr>
            </w:pPr>
          </w:p>
        </w:tc>
        <w:tc>
          <w:tcPr>
            <w:tcW w:w="1068" w:type="dxa"/>
            <w:gridSpan w:val="2"/>
            <w:vMerge w:val="continue"/>
            <w:shd w:val="clear" w:color="auto" w:fill="auto"/>
            <w:vAlign w:val="center"/>
          </w:tcPr>
          <w:p w14:paraId="5491222F">
            <w:pPr>
              <w:jc w:val="left"/>
              <w:rPr>
                <w:rFonts w:hint="eastAsia" w:asciiTheme="minorEastAsia" w:hAnsiTheme="minorEastAsia" w:eastAsiaTheme="minorEastAsia"/>
                <w:b w:val="0"/>
                <w:bCs w:val="0"/>
                <w:color w:val="FF0000"/>
                <w:sz w:val="21"/>
                <w:szCs w:val="21"/>
                <w:lang w:val="en-US" w:eastAsia="zh-CN"/>
              </w:rPr>
            </w:pPr>
          </w:p>
        </w:tc>
        <w:tc>
          <w:tcPr>
            <w:tcW w:w="815" w:type="dxa"/>
            <w:vMerge w:val="continue"/>
            <w:shd w:val="clear" w:color="auto" w:fill="auto"/>
            <w:vAlign w:val="center"/>
          </w:tcPr>
          <w:p w14:paraId="629E5846">
            <w:pPr>
              <w:jc w:val="left"/>
              <w:rPr>
                <w:rFonts w:hint="eastAsia" w:asciiTheme="minorEastAsia" w:hAnsiTheme="minorEastAsia" w:eastAsiaTheme="minorEastAsia"/>
                <w:b w:val="0"/>
                <w:bCs w:val="0"/>
                <w:color w:val="FF0000"/>
                <w:sz w:val="21"/>
                <w:szCs w:val="21"/>
                <w:lang w:val="en-US" w:eastAsia="zh-CN"/>
              </w:rPr>
            </w:pPr>
          </w:p>
        </w:tc>
      </w:tr>
      <w:tr w14:paraId="41A4F6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 w:hRule="atLeast"/>
          <w:jc w:val="center"/>
        </w:trPr>
        <w:tc>
          <w:tcPr>
            <w:tcW w:w="1255" w:type="dxa"/>
            <w:gridSpan w:val="2"/>
            <w:vMerge w:val="continue"/>
            <w:tcBorders>
              <w:right w:val="single" w:color="000000" w:sz="4" w:space="0"/>
            </w:tcBorders>
            <w:shd w:val="clear" w:color="auto" w:fill="auto"/>
            <w:vAlign w:val="center"/>
          </w:tcPr>
          <w:p w14:paraId="1AF76613">
            <w:pPr>
              <w:jc w:val="left"/>
              <w:rPr>
                <w:rFonts w:hint="eastAsia" w:asciiTheme="minorEastAsia" w:hAnsiTheme="minorEastAsia" w:eastAsiaTheme="minorEastAsia"/>
                <w:b/>
                <w:bCs/>
                <w:color w:val="FF0000"/>
                <w:sz w:val="21"/>
                <w:szCs w:val="21"/>
                <w:lang w:val="en-US" w:eastAsia="zh-CN"/>
              </w:rPr>
            </w:pPr>
          </w:p>
        </w:tc>
        <w:tc>
          <w:tcPr>
            <w:tcW w:w="1700" w:type="dxa"/>
            <w:gridSpan w:val="2"/>
            <w:vMerge w:val="continue"/>
            <w:tcBorders>
              <w:left w:val="single" w:color="000000" w:sz="4" w:space="0"/>
              <w:right w:val="single" w:color="000000" w:sz="4" w:space="0"/>
            </w:tcBorders>
            <w:shd w:val="clear" w:color="auto" w:fill="auto"/>
            <w:vAlign w:val="center"/>
          </w:tcPr>
          <w:p w14:paraId="5475BAFF">
            <w:pPr>
              <w:jc w:val="left"/>
              <w:rPr>
                <w:rFonts w:hint="eastAsia" w:asciiTheme="minorEastAsia" w:hAnsiTheme="minorEastAsia" w:eastAsiaTheme="minorEastAsia"/>
                <w:b/>
                <w:bCs/>
                <w:color w:val="FF0000"/>
                <w:sz w:val="21"/>
                <w:szCs w:val="21"/>
                <w:lang w:val="en-US" w:eastAsia="zh-CN"/>
              </w:rPr>
            </w:pPr>
          </w:p>
        </w:tc>
        <w:tc>
          <w:tcPr>
            <w:tcW w:w="800" w:type="dxa"/>
            <w:gridSpan w:val="3"/>
            <w:vMerge w:val="continue"/>
            <w:tcBorders>
              <w:left w:val="single" w:color="000000" w:sz="4" w:space="0"/>
              <w:right w:val="single" w:color="000000" w:sz="4" w:space="0"/>
            </w:tcBorders>
            <w:shd w:val="clear" w:color="auto" w:fill="auto"/>
            <w:vAlign w:val="center"/>
          </w:tcPr>
          <w:p w14:paraId="3CAF6BF9">
            <w:pPr>
              <w:jc w:val="left"/>
              <w:rPr>
                <w:rFonts w:hint="eastAsia" w:asciiTheme="minorEastAsia" w:hAnsiTheme="minorEastAsia" w:eastAsiaTheme="minorEastAsia"/>
                <w:b/>
                <w:bCs/>
                <w:color w:val="FF0000"/>
                <w:sz w:val="21"/>
                <w:szCs w:val="21"/>
                <w:lang w:val="en-US" w:eastAsia="zh-CN"/>
              </w:rPr>
            </w:pPr>
          </w:p>
        </w:tc>
        <w:tc>
          <w:tcPr>
            <w:tcW w:w="1784" w:type="dxa"/>
            <w:gridSpan w:val="2"/>
            <w:tcBorders>
              <w:left w:val="single" w:color="000000" w:sz="4" w:space="0"/>
              <w:right w:val="single" w:color="000000" w:sz="4" w:space="0"/>
            </w:tcBorders>
            <w:shd w:val="clear" w:color="auto" w:fill="auto"/>
            <w:vAlign w:val="center"/>
          </w:tcPr>
          <w:p w14:paraId="7869DF89">
            <w:pPr>
              <w:keepNext w:val="0"/>
              <w:keepLines w:val="0"/>
              <w:widowControl/>
              <w:suppressLineNumbers w:val="0"/>
              <w:jc w:val="center"/>
              <w:textAlignment w:val="center"/>
              <w:rPr>
                <w:rFonts w:hint="eastAsia" w:asciiTheme="minorEastAsia" w:hAnsiTheme="minorEastAsia" w:eastAsiaTheme="minorEastAsia"/>
                <w:b/>
                <w:bCs/>
                <w:color w:val="FF0000"/>
                <w:sz w:val="21"/>
                <w:szCs w:val="21"/>
                <w:lang w:val="en-US" w:eastAsia="zh-CN"/>
              </w:rPr>
            </w:pPr>
            <w:r>
              <w:rPr>
                <w:rFonts w:hint="eastAsia" w:ascii="宋体" w:hAnsi="宋体" w:eastAsia="宋体" w:cs="宋体"/>
                <w:i w:val="0"/>
                <w:iCs w:val="0"/>
                <w:snapToGrid w:val="0"/>
                <w:color w:val="000000"/>
                <w:kern w:val="0"/>
                <w:sz w:val="22"/>
                <w:szCs w:val="22"/>
                <w:u w:val="none"/>
                <w:lang w:val="en-US" w:eastAsia="zh-CN" w:bidi="ar"/>
              </w:rPr>
              <w:t>2.5</w:t>
            </w:r>
          </w:p>
        </w:tc>
        <w:tc>
          <w:tcPr>
            <w:tcW w:w="526" w:type="dxa"/>
            <w:vMerge w:val="continue"/>
            <w:tcBorders>
              <w:left w:val="single" w:color="000000" w:sz="4" w:space="0"/>
              <w:right w:val="single" w:color="000000" w:sz="4" w:space="0"/>
            </w:tcBorders>
            <w:shd w:val="clear" w:color="auto" w:fill="auto"/>
            <w:vAlign w:val="center"/>
          </w:tcPr>
          <w:p w14:paraId="2F061E09">
            <w:pPr>
              <w:jc w:val="left"/>
              <w:rPr>
                <w:rFonts w:hint="eastAsia" w:asciiTheme="minorEastAsia" w:hAnsiTheme="minorEastAsia" w:eastAsiaTheme="minorEastAsia"/>
                <w:b/>
                <w:bCs/>
                <w:color w:val="FF0000"/>
                <w:sz w:val="21"/>
                <w:szCs w:val="21"/>
                <w:lang w:val="en-US" w:eastAsia="zh-CN"/>
              </w:rPr>
            </w:pPr>
          </w:p>
        </w:tc>
        <w:tc>
          <w:tcPr>
            <w:tcW w:w="822" w:type="dxa"/>
            <w:vMerge w:val="continue"/>
            <w:tcBorders>
              <w:left w:val="single" w:color="000000" w:sz="4" w:space="0"/>
              <w:right w:val="single" w:color="000000" w:sz="4" w:space="0"/>
            </w:tcBorders>
            <w:shd w:val="clear" w:color="auto" w:fill="auto"/>
            <w:vAlign w:val="center"/>
          </w:tcPr>
          <w:p w14:paraId="42CA5F88">
            <w:pPr>
              <w:jc w:val="left"/>
              <w:rPr>
                <w:rFonts w:hint="eastAsia" w:asciiTheme="minorEastAsia" w:hAnsiTheme="minorEastAsia" w:eastAsiaTheme="minorEastAsia"/>
                <w:b/>
                <w:bCs/>
                <w:color w:val="FF0000"/>
                <w:sz w:val="21"/>
                <w:szCs w:val="21"/>
                <w:lang w:val="en-US" w:eastAsia="zh-CN"/>
              </w:rPr>
            </w:pPr>
          </w:p>
        </w:tc>
        <w:tc>
          <w:tcPr>
            <w:tcW w:w="1068" w:type="dxa"/>
            <w:gridSpan w:val="2"/>
            <w:vMerge w:val="continue"/>
            <w:shd w:val="clear" w:color="auto" w:fill="auto"/>
            <w:vAlign w:val="center"/>
          </w:tcPr>
          <w:p w14:paraId="0945183C">
            <w:pPr>
              <w:jc w:val="left"/>
              <w:rPr>
                <w:rFonts w:hint="eastAsia" w:asciiTheme="minorEastAsia" w:hAnsiTheme="minorEastAsia" w:eastAsiaTheme="minorEastAsia"/>
                <w:b/>
                <w:bCs/>
                <w:color w:val="FF0000"/>
                <w:sz w:val="21"/>
                <w:szCs w:val="21"/>
                <w:lang w:val="en-US" w:eastAsia="zh-CN"/>
              </w:rPr>
            </w:pPr>
          </w:p>
        </w:tc>
        <w:tc>
          <w:tcPr>
            <w:tcW w:w="815" w:type="dxa"/>
            <w:vMerge w:val="continue"/>
            <w:shd w:val="clear" w:color="auto" w:fill="auto"/>
            <w:vAlign w:val="center"/>
          </w:tcPr>
          <w:p w14:paraId="7ACF4C66">
            <w:pPr>
              <w:jc w:val="left"/>
              <w:rPr>
                <w:rFonts w:hint="eastAsia" w:asciiTheme="minorEastAsia" w:hAnsiTheme="minorEastAsia" w:eastAsiaTheme="minorEastAsia"/>
                <w:b/>
                <w:bCs/>
                <w:color w:val="FF0000"/>
                <w:sz w:val="21"/>
                <w:szCs w:val="21"/>
                <w:lang w:val="en-US" w:eastAsia="zh-CN"/>
              </w:rPr>
            </w:pPr>
          </w:p>
        </w:tc>
      </w:tr>
      <w:tr w14:paraId="1C89A9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 w:hRule="atLeast"/>
          <w:jc w:val="center"/>
        </w:trPr>
        <w:tc>
          <w:tcPr>
            <w:tcW w:w="1255" w:type="dxa"/>
            <w:gridSpan w:val="2"/>
            <w:vMerge w:val="continue"/>
            <w:tcBorders>
              <w:right w:val="single" w:color="000000" w:sz="4" w:space="0"/>
            </w:tcBorders>
            <w:shd w:val="clear" w:color="auto" w:fill="auto"/>
            <w:vAlign w:val="center"/>
          </w:tcPr>
          <w:p w14:paraId="5BFCB616">
            <w:pPr>
              <w:jc w:val="left"/>
              <w:rPr>
                <w:rFonts w:hint="eastAsia" w:asciiTheme="minorEastAsia" w:hAnsiTheme="minorEastAsia" w:eastAsiaTheme="minorEastAsia"/>
                <w:b/>
                <w:bCs/>
                <w:color w:val="FF0000"/>
                <w:sz w:val="21"/>
                <w:szCs w:val="21"/>
                <w:lang w:val="en-US" w:eastAsia="zh-CN"/>
              </w:rPr>
            </w:pPr>
          </w:p>
        </w:tc>
        <w:tc>
          <w:tcPr>
            <w:tcW w:w="1700" w:type="dxa"/>
            <w:gridSpan w:val="2"/>
            <w:vMerge w:val="continue"/>
            <w:tcBorders>
              <w:left w:val="single" w:color="000000" w:sz="4" w:space="0"/>
              <w:right w:val="single" w:color="000000" w:sz="4" w:space="0"/>
            </w:tcBorders>
            <w:shd w:val="clear" w:color="auto" w:fill="auto"/>
            <w:vAlign w:val="center"/>
          </w:tcPr>
          <w:p w14:paraId="39BCBEA7">
            <w:pPr>
              <w:jc w:val="left"/>
              <w:rPr>
                <w:rFonts w:hint="eastAsia" w:asciiTheme="minorEastAsia" w:hAnsiTheme="minorEastAsia" w:eastAsiaTheme="minorEastAsia"/>
                <w:b/>
                <w:bCs/>
                <w:color w:val="FF0000"/>
                <w:sz w:val="21"/>
                <w:szCs w:val="21"/>
                <w:lang w:val="en-US" w:eastAsia="zh-CN"/>
              </w:rPr>
            </w:pPr>
          </w:p>
        </w:tc>
        <w:tc>
          <w:tcPr>
            <w:tcW w:w="800" w:type="dxa"/>
            <w:gridSpan w:val="3"/>
            <w:vMerge w:val="continue"/>
            <w:tcBorders>
              <w:left w:val="single" w:color="000000" w:sz="4" w:space="0"/>
              <w:right w:val="single" w:color="000000" w:sz="4" w:space="0"/>
            </w:tcBorders>
            <w:shd w:val="clear" w:color="auto" w:fill="auto"/>
            <w:vAlign w:val="center"/>
          </w:tcPr>
          <w:p w14:paraId="71CE71A5">
            <w:pPr>
              <w:jc w:val="left"/>
              <w:rPr>
                <w:rFonts w:hint="eastAsia" w:asciiTheme="minorEastAsia" w:hAnsiTheme="minorEastAsia" w:eastAsiaTheme="minorEastAsia"/>
                <w:b/>
                <w:bCs/>
                <w:color w:val="FF0000"/>
                <w:sz w:val="21"/>
                <w:szCs w:val="21"/>
                <w:lang w:val="en-US" w:eastAsia="zh-CN"/>
              </w:rPr>
            </w:pPr>
          </w:p>
        </w:tc>
        <w:tc>
          <w:tcPr>
            <w:tcW w:w="1784" w:type="dxa"/>
            <w:gridSpan w:val="2"/>
            <w:tcBorders>
              <w:left w:val="single" w:color="000000" w:sz="4" w:space="0"/>
              <w:right w:val="single" w:color="000000" w:sz="4" w:space="0"/>
            </w:tcBorders>
            <w:shd w:val="clear" w:color="auto" w:fill="auto"/>
            <w:vAlign w:val="center"/>
          </w:tcPr>
          <w:p w14:paraId="7D45C135">
            <w:pPr>
              <w:keepNext w:val="0"/>
              <w:keepLines w:val="0"/>
              <w:widowControl/>
              <w:suppressLineNumbers w:val="0"/>
              <w:jc w:val="center"/>
              <w:textAlignment w:val="center"/>
              <w:rPr>
                <w:rFonts w:hint="eastAsia" w:asciiTheme="minorEastAsia" w:hAnsiTheme="minorEastAsia" w:eastAsiaTheme="minorEastAsia"/>
                <w:b/>
                <w:bCs/>
                <w:color w:val="FF0000"/>
                <w:sz w:val="21"/>
                <w:szCs w:val="21"/>
                <w:lang w:val="en-US" w:eastAsia="zh-CN"/>
              </w:rPr>
            </w:pPr>
            <w:r>
              <w:rPr>
                <w:rFonts w:hint="eastAsia" w:ascii="宋体" w:hAnsi="宋体" w:eastAsia="宋体" w:cs="宋体"/>
                <w:i w:val="0"/>
                <w:iCs w:val="0"/>
                <w:snapToGrid w:val="0"/>
                <w:color w:val="000000"/>
                <w:kern w:val="0"/>
                <w:sz w:val="22"/>
                <w:szCs w:val="22"/>
                <w:u w:val="none"/>
                <w:lang w:val="en-US" w:eastAsia="zh-CN" w:bidi="ar"/>
              </w:rPr>
              <w:t>3.0~5.0</w:t>
            </w:r>
          </w:p>
        </w:tc>
        <w:tc>
          <w:tcPr>
            <w:tcW w:w="526" w:type="dxa"/>
            <w:vMerge w:val="continue"/>
            <w:tcBorders>
              <w:left w:val="single" w:color="000000" w:sz="4" w:space="0"/>
              <w:right w:val="single" w:color="000000" w:sz="4" w:space="0"/>
            </w:tcBorders>
            <w:shd w:val="clear" w:color="auto" w:fill="auto"/>
            <w:vAlign w:val="center"/>
          </w:tcPr>
          <w:p w14:paraId="283361BB">
            <w:pPr>
              <w:jc w:val="left"/>
              <w:rPr>
                <w:rFonts w:hint="eastAsia" w:asciiTheme="minorEastAsia" w:hAnsiTheme="minorEastAsia" w:eastAsiaTheme="minorEastAsia"/>
                <w:b/>
                <w:bCs/>
                <w:color w:val="FF0000"/>
                <w:sz w:val="21"/>
                <w:szCs w:val="21"/>
                <w:lang w:val="en-US" w:eastAsia="zh-CN"/>
              </w:rPr>
            </w:pPr>
          </w:p>
        </w:tc>
        <w:tc>
          <w:tcPr>
            <w:tcW w:w="822" w:type="dxa"/>
            <w:vMerge w:val="continue"/>
            <w:tcBorders>
              <w:left w:val="single" w:color="000000" w:sz="4" w:space="0"/>
              <w:right w:val="single" w:color="000000" w:sz="4" w:space="0"/>
            </w:tcBorders>
            <w:shd w:val="clear" w:color="auto" w:fill="auto"/>
            <w:vAlign w:val="center"/>
          </w:tcPr>
          <w:p w14:paraId="05463240">
            <w:pPr>
              <w:jc w:val="left"/>
              <w:rPr>
                <w:rFonts w:hint="eastAsia" w:asciiTheme="minorEastAsia" w:hAnsiTheme="minorEastAsia" w:eastAsiaTheme="minorEastAsia"/>
                <w:b/>
                <w:bCs/>
                <w:color w:val="FF0000"/>
                <w:sz w:val="21"/>
                <w:szCs w:val="21"/>
                <w:lang w:val="en-US" w:eastAsia="zh-CN"/>
              </w:rPr>
            </w:pPr>
          </w:p>
        </w:tc>
        <w:tc>
          <w:tcPr>
            <w:tcW w:w="1068" w:type="dxa"/>
            <w:gridSpan w:val="2"/>
            <w:vMerge w:val="continue"/>
            <w:shd w:val="clear" w:color="auto" w:fill="auto"/>
            <w:vAlign w:val="center"/>
          </w:tcPr>
          <w:p w14:paraId="0A16591A">
            <w:pPr>
              <w:jc w:val="left"/>
              <w:rPr>
                <w:rFonts w:hint="eastAsia" w:asciiTheme="minorEastAsia" w:hAnsiTheme="minorEastAsia" w:eastAsiaTheme="minorEastAsia"/>
                <w:b/>
                <w:bCs/>
                <w:color w:val="FF0000"/>
                <w:sz w:val="21"/>
                <w:szCs w:val="21"/>
                <w:lang w:val="en-US" w:eastAsia="zh-CN"/>
              </w:rPr>
            </w:pPr>
          </w:p>
        </w:tc>
        <w:tc>
          <w:tcPr>
            <w:tcW w:w="815" w:type="dxa"/>
            <w:vMerge w:val="continue"/>
            <w:shd w:val="clear" w:color="auto" w:fill="auto"/>
            <w:vAlign w:val="center"/>
          </w:tcPr>
          <w:p w14:paraId="061A6CDC">
            <w:pPr>
              <w:jc w:val="left"/>
              <w:rPr>
                <w:rFonts w:hint="eastAsia" w:asciiTheme="minorEastAsia" w:hAnsiTheme="minorEastAsia" w:eastAsiaTheme="minorEastAsia"/>
                <w:b/>
                <w:bCs/>
                <w:color w:val="FF0000"/>
                <w:sz w:val="21"/>
                <w:szCs w:val="21"/>
                <w:lang w:val="en-US" w:eastAsia="zh-CN"/>
              </w:rPr>
            </w:pPr>
          </w:p>
        </w:tc>
      </w:tr>
      <w:tr w14:paraId="7FC62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 w:hRule="atLeast"/>
          <w:jc w:val="center"/>
        </w:trPr>
        <w:tc>
          <w:tcPr>
            <w:tcW w:w="1255" w:type="dxa"/>
            <w:gridSpan w:val="2"/>
            <w:vMerge w:val="continue"/>
            <w:tcBorders>
              <w:right w:val="single" w:color="000000" w:sz="4" w:space="0"/>
            </w:tcBorders>
            <w:shd w:val="clear" w:color="auto" w:fill="auto"/>
            <w:vAlign w:val="center"/>
          </w:tcPr>
          <w:p w14:paraId="0BC74028">
            <w:pPr>
              <w:jc w:val="left"/>
              <w:rPr>
                <w:rFonts w:hint="eastAsia" w:asciiTheme="minorEastAsia" w:hAnsiTheme="minorEastAsia" w:eastAsiaTheme="minorEastAsia"/>
                <w:b/>
                <w:bCs/>
                <w:color w:val="FF0000"/>
                <w:sz w:val="21"/>
                <w:szCs w:val="21"/>
                <w:lang w:val="en-US" w:eastAsia="zh-CN"/>
              </w:rPr>
            </w:pPr>
          </w:p>
        </w:tc>
        <w:tc>
          <w:tcPr>
            <w:tcW w:w="1700" w:type="dxa"/>
            <w:gridSpan w:val="2"/>
            <w:vMerge w:val="continue"/>
            <w:tcBorders>
              <w:left w:val="single" w:color="000000" w:sz="4" w:space="0"/>
              <w:right w:val="single" w:color="000000" w:sz="4" w:space="0"/>
            </w:tcBorders>
            <w:shd w:val="clear" w:color="auto" w:fill="auto"/>
            <w:vAlign w:val="center"/>
          </w:tcPr>
          <w:p w14:paraId="5C5D9B5F">
            <w:pPr>
              <w:jc w:val="left"/>
              <w:rPr>
                <w:rFonts w:hint="eastAsia" w:asciiTheme="minorEastAsia" w:hAnsiTheme="minorEastAsia" w:eastAsiaTheme="minorEastAsia"/>
                <w:b/>
                <w:bCs/>
                <w:color w:val="FF0000"/>
                <w:sz w:val="21"/>
                <w:szCs w:val="21"/>
                <w:lang w:val="en-US" w:eastAsia="zh-CN"/>
              </w:rPr>
            </w:pPr>
          </w:p>
        </w:tc>
        <w:tc>
          <w:tcPr>
            <w:tcW w:w="800" w:type="dxa"/>
            <w:gridSpan w:val="3"/>
            <w:vMerge w:val="continue"/>
            <w:tcBorders>
              <w:left w:val="single" w:color="000000" w:sz="4" w:space="0"/>
              <w:right w:val="single" w:color="000000" w:sz="4" w:space="0"/>
            </w:tcBorders>
            <w:shd w:val="clear" w:color="auto" w:fill="auto"/>
            <w:vAlign w:val="center"/>
          </w:tcPr>
          <w:p w14:paraId="75D294D8">
            <w:pPr>
              <w:jc w:val="left"/>
              <w:rPr>
                <w:rFonts w:hint="eastAsia" w:asciiTheme="minorEastAsia" w:hAnsiTheme="minorEastAsia" w:eastAsiaTheme="minorEastAsia"/>
                <w:b/>
                <w:bCs/>
                <w:color w:val="FF0000"/>
                <w:sz w:val="21"/>
                <w:szCs w:val="21"/>
                <w:lang w:val="en-US" w:eastAsia="zh-CN"/>
              </w:rPr>
            </w:pPr>
          </w:p>
        </w:tc>
        <w:tc>
          <w:tcPr>
            <w:tcW w:w="1784" w:type="dxa"/>
            <w:gridSpan w:val="2"/>
            <w:tcBorders>
              <w:left w:val="single" w:color="000000" w:sz="4" w:space="0"/>
              <w:right w:val="single" w:color="000000" w:sz="4" w:space="0"/>
            </w:tcBorders>
            <w:shd w:val="clear" w:color="auto" w:fill="auto"/>
            <w:vAlign w:val="center"/>
          </w:tcPr>
          <w:p w14:paraId="10B41511">
            <w:pPr>
              <w:keepNext w:val="0"/>
              <w:keepLines w:val="0"/>
              <w:widowControl/>
              <w:suppressLineNumbers w:val="0"/>
              <w:jc w:val="center"/>
              <w:textAlignment w:val="center"/>
              <w:rPr>
                <w:rFonts w:hint="eastAsia" w:asciiTheme="minorEastAsia" w:hAnsiTheme="minorEastAsia" w:eastAsiaTheme="minorEastAsia"/>
                <w:b/>
                <w:bCs/>
                <w:color w:val="FF0000"/>
                <w:sz w:val="21"/>
                <w:szCs w:val="21"/>
                <w:lang w:val="en-US" w:eastAsia="zh-CN"/>
              </w:rPr>
            </w:pPr>
            <w:r>
              <w:rPr>
                <w:rFonts w:hint="eastAsia" w:ascii="宋体" w:hAnsi="宋体" w:eastAsia="宋体" w:cs="宋体"/>
                <w:i w:val="0"/>
                <w:iCs w:val="0"/>
                <w:snapToGrid w:val="0"/>
                <w:color w:val="000000"/>
                <w:kern w:val="0"/>
                <w:sz w:val="22"/>
                <w:szCs w:val="22"/>
                <w:u w:val="none"/>
                <w:lang w:val="en-US" w:eastAsia="zh-CN" w:bidi="ar"/>
              </w:rPr>
              <w:t>5.0~8.0</w:t>
            </w:r>
          </w:p>
        </w:tc>
        <w:tc>
          <w:tcPr>
            <w:tcW w:w="526" w:type="dxa"/>
            <w:vMerge w:val="continue"/>
            <w:tcBorders>
              <w:left w:val="single" w:color="000000" w:sz="4" w:space="0"/>
              <w:right w:val="single" w:color="000000" w:sz="4" w:space="0"/>
            </w:tcBorders>
            <w:shd w:val="clear" w:color="auto" w:fill="auto"/>
            <w:vAlign w:val="center"/>
          </w:tcPr>
          <w:p w14:paraId="4B3CC311">
            <w:pPr>
              <w:jc w:val="left"/>
              <w:rPr>
                <w:rFonts w:hint="eastAsia" w:asciiTheme="minorEastAsia" w:hAnsiTheme="minorEastAsia" w:eastAsiaTheme="minorEastAsia"/>
                <w:b/>
                <w:bCs/>
                <w:color w:val="FF0000"/>
                <w:sz w:val="21"/>
                <w:szCs w:val="21"/>
                <w:lang w:val="en-US" w:eastAsia="zh-CN"/>
              </w:rPr>
            </w:pPr>
          </w:p>
        </w:tc>
        <w:tc>
          <w:tcPr>
            <w:tcW w:w="822" w:type="dxa"/>
            <w:vMerge w:val="continue"/>
            <w:tcBorders>
              <w:left w:val="single" w:color="000000" w:sz="4" w:space="0"/>
              <w:right w:val="single" w:color="000000" w:sz="4" w:space="0"/>
            </w:tcBorders>
            <w:shd w:val="clear" w:color="auto" w:fill="auto"/>
            <w:vAlign w:val="center"/>
          </w:tcPr>
          <w:p w14:paraId="3FAF06F5">
            <w:pPr>
              <w:jc w:val="left"/>
              <w:rPr>
                <w:rFonts w:hint="eastAsia" w:asciiTheme="minorEastAsia" w:hAnsiTheme="minorEastAsia" w:eastAsiaTheme="minorEastAsia"/>
                <w:b/>
                <w:bCs/>
                <w:color w:val="FF0000"/>
                <w:sz w:val="21"/>
                <w:szCs w:val="21"/>
                <w:lang w:val="en-US" w:eastAsia="zh-CN"/>
              </w:rPr>
            </w:pPr>
          </w:p>
        </w:tc>
        <w:tc>
          <w:tcPr>
            <w:tcW w:w="1068" w:type="dxa"/>
            <w:gridSpan w:val="2"/>
            <w:vMerge w:val="continue"/>
            <w:shd w:val="clear" w:color="auto" w:fill="auto"/>
            <w:vAlign w:val="center"/>
          </w:tcPr>
          <w:p w14:paraId="3CDA33B1">
            <w:pPr>
              <w:jc w:val="left"/>
              <w:rPr>
                <w:rFonts w:hint="eastAsia" w:asciiTheme="minorEastAsia" w:hAnsiTheme="minorEastAsia" w:eastAsiaTheme="minorEastAsia"/>
                <w:b/>
                <w:bCs/>
                <w:color w:val="FF0000"/>
                <w:sz w:val="21"/>
                <w:szCs w:val="21"/>
                <w:lang w:val="en-US" w:eastAsia="zh-CN"/>
              </w:rPr>
            </w:pPr>
          </w:p>
        </w:tc>
        <w:tc>
          <w:tcPr>
            <w:tcW w:w="815" w:type="dxa"/>
            <w:vMerge w:val="continue"/>
            <w:shd w:val="clear" w:color="auto" w:fill="auto"/>
            <w:vAlign w:val="center"/>
          </w:tcPr>
          <w:p w14:paraId="0A815D65">
            <w:pPr>
              <w:jc w:val="left"/>
              <w:rPr>
                <w:rFonts w:hint="eastAsia" w:asciiTheme="minorEastAsia" w:hAnsiTheme="minorEastAsia" w:eastAsiaTheme="minorEastAsia"/>
                <w:b/>
                <w:bCs/>
                <w:color w:val="FF0000"/>
                <w:sz w:val="21"/>
                <w:szCs w:val="21"/>
                <w:lang w:val="en-US" w:eastAsia="zh-CN"/>
              </w:rPr>
            </w:pPr>
          </w:p>
        </w:tc>
      </w:tr>
      <w:tr w14:paraId="1643E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 w:hRule="atLeast"/>
          <w:jc w:val="center"/>
        </w:trPr>
        <w:tc>
          <w:tcPr>
            <w:tcW w:w="1255" w:type="dxa"/>
            <w:gridSpan w:val="2"/>
            <w:vMerge w:val="continue"/>
            <w:tcBorders>
              <w:right w:val="single" w:color="000000" w:sz="4" w:space="0"/>
            </w:tcBorders>
            <w:shd w:val="clear" w:color="auto" w:fill="auto"/>
            <w:vAlign w:val="center"/>
          </w:tcPr>
          <w:p w14:paraId="20B7D9B2">
            <w:pPr>
              <w:jc w:val="left"/>
              <w:rPr>
                <w:rFonts w:hint="eastAsia" w:asciiTheme="minorEastAsia" w:hAnsiTheme="minorEastAsia" w:eastAsiaTheme="minorEastAsia"/>
                <w:b/>
                <w:bCs/>
                <w:color w:val="FF0000"/>
                <w:sz w:val="21"/>
                <w:szCs w:val="21"/>
                <w:lang w:val="en-US" w:eastAsia="zh-CN"/>
              </w:rPr>
            </w:pPr>
          </w:p>
        </w:tc>
        <w:tc>
          <w:tcPr>
            <w:tcW w:w="1700" w:type="dxa"/>
            <w:gridSpan w:val="2"/>
            <w:vMerge w:val="continue"/>
            <w:tcBorders>
              <w:left w:val="single" w:color="000000" w:sz="4" w:space="0"/>
              <w:right w:val="single" w:color="000000" w:sz="4" w:space="0"/>
            </w:tcBorders>
            <w:shd w:val="clear" w:color="auto" w:fill="auto"/>
            <w:vAlign w:val="center"/>
          </w:tcPr>
          <w:p w14:paraId="632D3D6D">
            <w:pPr>
              <w:jc w:val="left"/>
              <w:rPr>
                <w:rFonts w:hint="eastAsia" w:asciiTheme="minorEastAsia" w:hAnsiTheme="minorEastAsia" w:eastAsiaTheme="minorEastAsia"/>
                <w:b/>
                <w:bCs/>
                <w:color w:val="FF0000"/>
                <w:sz w:val="21"/>
                <w:szCs w:val="21"/>
                <w:lang w:val="en-US" w:eastAsia="zh-CN"/>
              </w:rPr>
            </w:pPr>
          </w:p>
        </w:tc>
        <w:tc>
          <w:tcPr>
            <w:tcW w:w="800" w:type="dxa"/>
            <w:gridSpan w:val="3"/>
            <w:vMerge w:val="continue"/>
            <w:tcBorders>
              <w:left w:val="single" w:color="000000" w:sz="4" w:space="0"/>
              <w:right w:val="single" w:color="000000" w:sz="4" w:space="0"/>
            </w:tcBorders>
            <w:shd w:val="clear" w:color="auto" w:fill="auto"/>
            <w:vAlign w:val="center"/>
          </w:tcPr>
          <w:p w14:paraId="08EDAB3E">
            <w:pPr>
              <w:jc w:val="left"/>
              <w:rPr>
                <w:rFonts w:hint="eastAsia" w:asciiTheme="minorEastAsia" w:hAnsiTheme="minorEastAsia" w:eastAsiaTheme="minorEastAsia"/>
                <w:b/>
                <w:bCs/>
                <w:color w:val="FF0000"/>
                <w:sz w:val="21"/>
                <w:szCs w:val="21"/>
                <w:lang w:val="en-US" w:eastAsia="zh-CN"/>
              </w:rPr>
            </w:pPr>
          </w:p>
        </w:tc>
        <w:tc>
          <w:tcPr>
            <w:tcW w:w="1784" w:type="dxa"/>
            <w:gridSpan w:val="2"/>
            <w:tcBorders>
              <w:left w:val="single" w:color="000000" w:sz="4" w:space="0"/>
              <w:right w:val="single" w:color="000000" w:sz="4" w:space="0"/>
            </w:tcBorders>
            <w:shd w:val="clear" w:color="auto" w:fill="auto"/>
            <w:vAlign w:val="center"/>
          </w:tcPr>
          <w:p w14:paraId="7F55CF76">
            <w:pPr>
              <w:keepNext w:val="0"/>
              <w:keepLines w:val="0"/>
              <w:widowControl/>
              <w:suppressLineNumbers w:val="0"/>
              <w:jc w:val="center"/>
              <w:textAlignment w:val="center"/>
              <w:rPr>
                <w:rFonts w:hint="eastAsia" w:asciiTheme="minorEastAsia" w:hAnsiTheme="minorEastAsia" w:eastAsiaTheme="minorEastAsia"/>
                <w:b/>
                <w:bCs/>
                <w:color w:val="FF0000"/>
                <w:sz w:val="21"/>
                <w:szCs w:val="21"/>
                <w:lang w:val="en-US" w:eastAsia="zh-CN"/>
              </w:rPr>
            </w:pPr>
            <w:r>
              <w:rPr>
                <w:rFonts w:hint="eastAsia" w:ascii="宋体" w:hAnsi="宋体" w:eastAsia="宋体" w:cs="宋体"/>
                <w:i w:val="0"/>
                <w:iCs w:val="0"/>
                <w:snapToGrid w:val="0"/>
                <w:color w:val="000000"/>
                <w:kern w:val="0"/>
                <w:sz w:val="22"/>
                <w:szCs w:val="22"/>
                <w:u w:val="none"/>
                <w:lang w:val="en-US" w:eastAsia="zh-CN" w:bidi="ar"/>
              </w:rPr>
              <w:t>8.0~15</w:t>
            </w:r>
          </w:p>
        </w:tc>
        <w:tc>
          <w:tcPr>
            <w:tcW w:w="526" w:type="dxa"/>
            <w:vMerge w:val="continue"/>
            <w:tcBorders>
              <w:left w:val="single" w:color="000000" w:sz="4" w:space="0"/>
              <w:right w:val="single" w:color="000000" w:sz="4" w:space="0"/>
            </w:tcBorders>
            <w:shd w:val="clear" w:color="auto" w:fill="auto"/>
            <w:vAlign w:val="center"/>
          </w:tcPr>
          <w:p w14:paraId="0C372D90">
            <w:pPr>
              <w:jc w:val="left"/>
              <w:rPr>
                <w:rFonts w:hint="eastAsia" w:asciiTheme="minorEastAsia" w:hAnsiTheme="minorEastAsia" w:eastAsiaTheme="minorEastAsia"/>
                <w:b/>
                <w:bCs/>
                <w:color w:val="FF0000"/>
                <w:sz w:val="21"/>
                <w:szCs w:val="21"/>
                <w:lang w:val="en-US" w:eastAsia="zh-CN"/>
              </w:rPr>
            </w:pPr>
          </w:p>
        </w:tc>
        <w:tc>
          <w:tcPr>
            <w:tcW w:w="822" w:type="dxa"/>
            <w:vMerge w:val="continue"/>
            <w:tcBorders>
              <w:left w:val="single" w:color="000000" w:sz="4" w:space="0"/>
              <w:right w:val="single" w:color="000000" w:sz="4" w:space="0"/>
            </w:tcBorders>
            <w:shd w:val="clear" w:color="auto" w:fill="auto"/>
            <w:vAlign w:val="center"/>
          </w:tcPr>
          <w:p w14:paraId="5B342CFA">
            <w:pPr>
              <w:jc w:val="left"/>
              <w:rPr>
                <w:rFonts w:hint="eastAsia" w:asciiTheme="minorEastAsia" w:hAnsiTheme="minorEastAsia" w:eastAsiaTheme="minorEastAsia"/>
                <w:b/>
                <w:bCs/>
                <w:color w:val="FF0000"/>
                <w:sz w:val="21"/>
                <w:szCs w:val="21"/>
                <w:lang w:val="en-US" w:eastAsia="zh-CN"/>
              </w:rPr>
            </w:pPr>
          </w:p>
        </w:tc>
        <w:tc>
          <w:tcPr>
            <w:tcW w:w="1068" w:type="dxa"/>
            <w:gridSpan w:val="2"/>
            <w:vMerge w:val="continue"/>
            <w:shd w:val="clear" w:color="auto" w:fill="auto"/>
            <w:vAlign w:val="center"/>
          </w:tcPr>
          <w:p w14:paraId="2EBA2407">
            <w:pPr>
              <w:jc w:val="left"/>
              <w:rPr>
                <w:rFonts w:hint="eastAsia" w:asciiTheme="minorEastAsia" w:hAnsiTheme="minorEastAsia" w:eastAsiaTheme="minorEastAsia"/>
                <w:b/>
                <w:bCs/>
                <w:color w:val="FF0000"/>
                <w:sz w:val="21"/>
                <w:szCs w:val="21"/>
                <w:lang w:val="en-US" w:eastAsia="zh-CN"/>
              </w:rPr>
            </w:pPr>
          </w:p>
        </w:tc>
        <w:tc>
          <w:tcPr>
            <w:tcW w:w="815" w:type="dxa"/>
            <w:vMerge w:val="continue"/>
            <w:shd w:val="clear" w:color="auto" w:fill="auto"/>
            <w:vAlign w:val="center"/>
          </w:tcPr>
          <w:p w14:paraId="579A29DA">
            <w:pPr>
              <w:jc w:val="left"/>
              <w:rPr>
                <w:rFonts w:hint="eastAsia" w:asciiTheme="minorEastAsia" w:hAnsiTheme="minorEastAsia" w:eastAsiaTheme="minorEastAsia"/>
                <w:b/>
                <w:bCs/>
                <w:color w:val="FF0000"/>
                <w:sz w:val="21"/>
                <w:szCs w:val="21"/>
                <w:lang w:val="en-US" w:eastAsia="zh-CN"/>
              </w:rPr>
            </w:pPr>
          </w:p>
        </w:tc>
      </w:tr>
      <w:tr w14:paraId="1A745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 w:hRule="atLeast"/>
          <w:jc w:val="center"/>
        </w:trPr>
        <w:tc>
          <w:tcPr>
            <w:tcW w:w="1255" w:type="dxa"/>
            <w:gridSpan w:val="2"/>
            <w:vMerge w:val="continue"/>
            <w:tcBorders>
              <w:right w:val="single" w:color="000000" w:sz="4" w:space="0"/>
            </w:tcBorders>
            <w:shd w:val="clear" w:color="auto" w:fill="auto"/>
            <w:vAlign w:val="center"/>
          </w:tcPr>
          <w:p w14:paraId="6DE49199">
            <w:pPr>
              <w:jc w:val="left"/>
              <w:rPr>
                <w:rFonts w:hint="eastAsia" w:asciiTheme="minorEastAsia" w:hAnsiTheme="minorEastAsia" w:eastAsiaTheme="minorEastAsia"/>
                <w:b/>
                <w:bCs/>
                <w:color w:val="FF0000"/>
                <w:sz w:val="21"/>
                <w:szCs w:val="21"/>
                <w:lang w:val="en-US" w:eastAsia="zh-CN"/>
              </w:rPr>
            </w:pPr>
          </w:p>
        </w:tc>
        <w:tc>
          <w:tcPr>
            <w:tcW w:w="1700" w:type="dxa"/>
            <w:gridSpan w:val="2"/>
            <w:vMerge w:val="continue"/>
            <w:tcBorders>
              <w:left w:val="single" w:color="000000" w:sz="4" w:space="0"/>
              <w:right w:val="single" w:color="000000" w:sz="4" w:space="0"/>
            </w:tcBorders>
            <w:shd w:val="clear" w:color="auto" w:fill="auto"/>
            <w:vAlign w:val="center"/>
          </w:tcPr>
          <w:p w14:paraId="2E8DAC6C">
            <w:pPr>
              <w:jc w:val="left"/>
              <w:rPr>
                <w:rFonts w:hint="eastAsia" w:asciiTheme="minorEastAsia" w:hAnsiTheme="minorEastAsia" w:eastAsiaTheme="minorEastAsia"/>
                <w:b/>
                <w:bCs/>
                <w:color w:val="FF0000"/>
                <w:sz w:val="21"/>
                <w:szCs w:val="21"/>
                <w:lang w:val="en-US" w:eastAsia="zh-CN"/>
              </w:rPr>
            </w:pPr>
          </w:p>
        </w:tc>
        <w:tc>
          <w:tcPr>
            <w:tcW w:w="800" w:type="dxa"/>
            <w:gridSpan w:val="3"/>
            <w:vMerge w:val="continue"/>
            <w:tcBorders>
              <w:left w:val="single" w:color="000000" w:sz="4" w:space="0"/>
              <w:right w:val="single" w:color="000000" w:sz="4" w:space="0"/>
            </w:tcBorders>
            <w:shd w:val="clear" w:color="auto" w:fill="auto"/>
            <w:vAlign w:val="center"/>
          </w:tcPr>
          <w:p w14:paraId="26BCB27E">
            <w:pPr>
              <w:jc w:val="left"/>
              <w:rPr>
                <w:rFonts w:hint="eastAsia" w:asciiTheme="minorEastAsia" w:hAnsiTheme="minorEastAsia" w:eastAsiaTheme="minorEastAsia"/>
                <w:b/>
                <w:bCs/>
                <w:color w:val="FF0000"/>
                <w:sz w:val="21"/>
                <w:szCs w:val="21"/>
                <w:lang w:val="en-US" w:eastAsia="zh-CN"/>
              </w:rPr>
            </w:pPr>
          </w:p>
        </w:tc>
        <w:tc>
          <w:tcPr>
            <w:tcW w:w="1784" w:type="dxa"/>
            <w:gridSpan w:val="2"/>
            <w:tcBorders>
              <w:left w:val="single" w:color="000000" w:sz="4" w:space="0"/>
              <w:right w:val="single" w:color="000000" w:sz="4" w:space="0"/>
            </w:tcBorders>
            <w:shd w:val="clear" w:color="auto" w:fill="auto"/>
            <w:vAlign w:val="center"/>
          </w:tcPr>
          <w:p w14:paraId="4EB0BD43">
            <w:pPr>
              <w:keepNext w:val="0"/>
              <w:keepLines w:val="0"/>
              <w:widowControl/>
              <w:suppressLineNumbers w:val="0"/>
              <w:jc w:val="center"/>
              <w:textAlignment w:val="center"/>
              <w:rPr>
                <w:rFonts w:hint="eastAsia" w:asciiTheme="minorEastAsia" w:hAnsiTheme="minorEastAsia" w:eastAsiaTheme="minorEastAsia"/>
                <w:b/>
                <w:bCs/>
                <w:color w:val="FF0000"/>
                <w:sz w:val="21"/>
                <w:szCs w:val="21"/>
                <w:lang w:val="en-US" w:eastAsia="zh-CN"/>
              </w:rPr>
            </w:pPr>
            <w:r>
              <w:rPr>
                <w:rFonts w:hint="eastAsia" w:ascii="宋体" w:hAnsi="宋体" w:eastAsia="宋体" w:cs="宋体"/>
                <w:i w:val="0"/>
                <w:iCs w:val="0"/>
                <w:snapToGrid w:val="0"/>
                <w:color w:val="000000"/>
                <w:kern w:val="0"/>
                <w:sz w:val="22"/>
                <w:szCs w:val="22"/>
                <w:u w:val="none"/>
                <w:lang w:val="en-US" w:eastAsia="zh-CN" w:bidi="ar"/>
              </w:rPr>
              <w:t>15~25</w:t>
            </w:r>
          </w:p>
        </w:tc>
        <w:tc>
          <w:tcPr>
            <w:tcW w:w="526" w:type="dxa"/>
            <w:vMerge w:val="continue"/>
            <w:tcBorders>
              <w:left w:val="single" w:color="000000" w:sz="4" w:space="0"/>
              <w:right w:val="single" w:color="000000" w:sz="4" w:space="0"/>
            </w:tcBorders>
            <w:shd w:val="clear" w:color="auto" w:fill="auto"/>
            <w:vAlign w:val="center"/>
          </w:tcPr>
          <w:p w14:paraId="3CB5C5CD">
            <w:pPr>
              <w:jc w:val="left"/>
              <w:rPr>
                <w:rFonts w:hint="eastAsia" w:asciiTheme="minorEastAsia" w:hAnsiTheme="minorEastAsia" w:eastAsiaTheme="minorEastAsia"/>
                <w:b/>
                <w:bCs/>
                <w:color w:val="FF0000"/>
                <w:sz w:val="21"/>
                <w:szCs w:val="21"/>
                <w:lang w:val="en-US" w:eastAsia="zh-CN"/>
              </w:rPr>
            </w:pPr>
          </w:p>
        </w:tc>
        <w:tc>
          <w:tcPr>
            <w:tcW w:w="822" w:type="dxa"/>
            <w:vMerge w:val="continue"/>
            <w:tcBorders>
              <w:left w:val="single" w:color="000000" w:sz="4" w:space="0"/>
              <w:right w:val="single" w:color="000000" w:sz="4" w:space="0"/>
            </w:tcBorders>
            <w:shd w:val="clear" w:color="auto" w:fill="auto"/>
            <w:vAlign w:val="center"/>
          </w:tcPr>
          <w:p w14:paraId="28B640ED">
            <w:pPr>
              <w:jc w:val="left"/>
              <w:rPr>
                <w:rFonts w:hint="eastAsia" w:asciiTheme="minorEastAsia" w:hAnsiTheme="minorEastAsia" w:eastAsiaTheme="minorEastAsia"/>
                <w:b/>
                <w:bCs/>
                <w:color w:val="FF0000"/>
                <w:sz w:val="21"/>
                <w:szCs w:val="21"/>
                <w:lang w:val="en-US" w:eastAsia="zh-CN"/>
              </w:rPr>
            </w:pPr>
          </w:p>
        </w:tc>
        <w:tc>
          <w:tcPr>
            <w:tcW w:w="1068" w:type="dxa"/>
            <w:gridSpan w:val="2"/>
            <w:vMerge w:val="continue"/>
            <w:shd w:val="clear" w:color="auto" w:fill="auto"/>
            <w:vAlign w:val="center"/>
          </w:tcPr>
          <w:p w14:paraId="1BAD1EB8">
            <w:pPr>
              <w:jc w:val="left"/>
              <w:rPr>
                <w:rFonts w:hint="eastAsia" w:asciiTheme="minorEastAsia" w:hAnsiTheme="minorEastAsia" w:eastAsiaTheme="minorEastAsia"/>
                <w:b/>
                <w:bCs/>
                <w:color w:val="FF0000"/>
                <w:sz w:val="21"/>
                <w:szCs w:val="21"/>
                <w:lang w:val="en-US" w:eastAsia="zh-CN"/>
              </w:rPr>
            </w:pPr>
          </w:p>
        </w:tc>
        <w:tc>
          <w:tcPr>
            <w:tcW w:w="815" w:type="dxa"/>
            <w:vMerge w:val="continue"/>
            <w:shd w:val="clear" w:color="auto" w:fill="auto"/>
            <w:vAlign w:val="center"/>
          </w:tcPr>
          <w:p w14:paraId="039135C7">
            <w:pPr>
              <w:jc w:val="left"/>
              <w:rPr>
                <w:rFonts w:hint="eastAsia" w:asciiTheme="minorEastAsia" w:hAnsiTheme="minorEastAsia" w:eastAsiaTheme="minorEastAsia"/>
                <w:b/>
                <w:bCs/>
                <w:color w:val="FF0000"/>
                <w:sz w:val="21"/>
                <w:szCs w:val="21"/>
                <w:lang w:val="en-US" w:eastAsia="zh-CN"/>
              </w:rPr>
            </w:pPr>
          </w:p>
        </w:tc>
      </w:tr>
      <w:tr w14:paraId="5E266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 w:hRule="atLeast"/>
          <w:jc w:val="center"/>
        </w:trPr>
        <w:tc>
          <w:tcPr>
            <w:tcW w:w="1255" w:type="dxa"/>
            <w:gridSpan w:val="2"/>
            <w:vMerge w:val="continue"/>
            <w:tcBorders>
              <w:right w:val="single" w:color="000000" w:sz="4" w:space="0"/>
            </w:tcBorders>
            <w:shd w:val="clear" w:color="auto" w:fill="auto"/>
            <w:vAlign w:val="center"/>
          </w:tcPr>
          <w:p w14:paraId="4A8D4F3E">
            <w:pPr>
              <w:jc w:val="left"/>
              <w:rPr>
                <w:rFonts w:hint="eastAsia" w:asciiTheme="minorEastAsia" w:hAnsiTheme="minorEastAsia" w:eastAsiaTheme="minorEastAsia"/>
                <w:b/>
                <w:bCs/>
                <w:color w:val="FF0000"/>
                <w:sz w:val="21"/>
                <w:szCs w:val="21"/>
                <w:lang w:val="en-US" w:eastAsia="zh-CN"/>
              </w:rPr>
            </w:pPr>
          </w:p>
        </w:tc>
        <w:tc>
          <w:tcPr>
            <w:tcW w:w="1700" w:type="dxa"/>
            <w:gridSpan w:val="2"/>
            <w:vMerge w:val="continue"/>
            <w:tcBorders>
              <w:left w:val="single" w:color="000000" w:sz="4" w:space="0"/>
              <w:right w:val="single" w:color="000000" w:sz="4" w:space="0"/>
            </w:tcBorders>
            <w:shd w:val="clear" w:color="auto" w:fill="auto"/>
            <w:vAlign w:val="center"/>
          </w:tcPr>
          <w:p w14:paraId="6D6D61C9">
            <w:pPr>
              <w:jc w:val="left"/>
              <w:rPr>
                <w:rFonts w:hint="eastAsia" w:asciiTheme="minorEastAsia" w:hAnsiTheme="minorEastAsia" w:eastAsiaTheme="minorEastAsia"/>
                <w:b/>
                <w:bCs/>
                <w:color w:val="FF0000"/>
                <w:sz w:val="21"/>
                <w:szCs w:val="21"/>
                <w:lang w:val="en-US" w:eastAsia="zh-CN"/>
              </w:rPr>
            </w:pPr>
          </w:p>
        </w:tc>
        <w:tc>
          <w:tcPr>
            <w:tcW w:w="800" w:type="dxa"/>
            <w:gridSpan w:val="3"/>
            <w:vMerge w:val="continue"/>
            <w:tcBorders>
              <w:left w:val="single" w:color="000000" w:sz="4" w:space="0"/>
              <w:right w:val="single" w:color="000000" w:sz="4" w:space="0"/>
            </w:tcBorders>
            <w:shd w:val="clear" w:color="auto" w:fill="auto"/>
            <w:vAlign w:val="center"/>
          </w:tcPr>
          <w:p w14:paraId="4E926FE7">
            <w:pPr>
              <w:jc w:val="left"/>
              <w:rPr>
                <w:rFonts w:hint="eastAsia" w:asciiTheme="minorEastAsia" w:hAnsiTheme="minorEastAsia" w:eastAsiaTheme="minorEastAsia"/>
                <w:b/>
                <w:bCs/>
                <w:color w:val="FF0000"/>
                <w:sz w:val="21"/>
                <w:szCs w:val="21"/>
                <w:lang w:val="en-US" w:eastAsia="zh-CN"/>
              </w:rPr>
            </w:pPr>
          </w:p>
        </w:tc>
        <w:tc>
          <w:tcPr>
            <w:tcW w:w="1784" w:type="dxa"/>
            <w:gridSpan w:val="2"/>
            <w:tcBorders>
              <w:left w:val="single" w:color="000000" w:sz="4" w:space="0"/>
              <w:right w:val="single" w:color="000000" w:sz="4" w:space="0"/>
            </w:tcBorders>
            <w:shd w:val="clear" w:color="auto" w:fill="auto"/>
            <w:vAlign w:val="center"/>
          </w:tcPr>
          <w:p w14:paraId="6C09E109">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25~40</w:t>
            </w:r>
          </w:p>
        </w:tc>
        <w:tc>
          <w:tcPr>
            <w:tcW w:w="526" w:type="dxa"/>
            <w:vMerge w:val="continue"/>
            <w:tcBorders>
              <w:left w:val="single" w:color="000000" w:sz="4" w:space="0"/>
              <w:right w:val="single" w:color="000000" w:sz="4" w:space="0"/>
            </w:tcBorders>
            <w:shd w:val="clear" w:color="auto" w:fill="auto"/>
            <w:vAlign w:val="center"/>
          </w:tcPr>
          <w:p w14:paraId="583713C7">
            <w:pPr>
              <w:jc w:val="left"/>
              <w:rPr>
                <w:rFonts w:hint="eastAsia" w:asciiTheme="minorEastAsia" w:hAnsiTheme="minorEastAsia" w:eastAsiaTheme="minorEastAsia"/>
                <w:b/>
                <w:bCs/>
                <w:color w:val="FF0000"/>
                <w:sz w:val="21"/>
                <w:szCs w:val="21"/>
                <w:lang w:val="en-US" w:eastAsia="zh-CN"/>
              </w:rPr>
            </w:pPr>
          </w:p>
        </w:tc>
        <w:tc>
          <w:tcPr>
            <w:tcW w:w="822" w:type="dxa"/>
            <w:vMerge w:val="continue"/>
            <w:tcBorders>
              <w:left w:val="single" w:color="000000" w:sz="4" w:space="0"/>
              <w:right w:val="single" w:color="000000" w:sz="4" w:space="0"/>
            </w:tcBorders>
            <w:shd w:val="clear" w:color="auto" w:fill="auto"/>
            <w:vAlign w:val="center"/>
          </w:tcPr>
          <w:p w14:paraId="0C75D4FB">
            <w:pPr>
              <w:jc w:val="left"/>
              <w:rPr>
                <w:rFonts w:hint="eastAsia" w:asciiTheme="minorEastAsia" w:hAnsiTheme="minorEastAsia" w:eastAsiaTheme="minorEastAsia"/>
                <w:b/>
                <w:bCs/>
                <w:color w:val="FF0000"/>
                <w:sz w:val="21"/>
                <w:szCs w:val="21"/>
                <w:lang w:val="en-US" w:eastAsia="zh-CN"/>
              </w:rPr>
            </w:pPr>
          </w:p>
        </w:tc>
        <w:tc>
          <w:tcPr>
            <w:tcW w:w="1068" w:type="dxa"/>
            <w:gridSpan w:val="2"/>
            <w:vMerge w:val="continue"/>
            <w:shd w:val="clear" w:color="auto" w:fill="auto"/>
            <w:vAlign w:val="center"/>
          </w:tcPr>
          <w:p w14:paraId="4EF14D0E">
            <w:pPr>
              <w:jc w:val="left"/>
              <w:rPr>
                <w:rFonts w:hint="eastAsia" w:asciiTheme="minorEastAsia" w:hAnsiTheme="minorEastAsia" w:eastAsiaTheme="minorEastAsia"/>
                <w:b/>
                <w:bCs/>
                <w:color w:val="FF0000"/>
                <w:sz w:val="21"/>
                <w:szCs w:val="21"/>
                <w:lang w:val="en-US" w:eastAsia="zh-CN"/>
              </w:rPr>
            </w:pPr>
          </w:p>
        </w:tc>
        <w:tc>
          <w:tcPr>
            <w:tcW w:w="815" w:type="dxa"/>
            <w:vMerge w:val="continue"/>
            <w:shd w:val="clear" w:color="auto" w:fill="auto"/>
            <w:vAlign w:val="center"/>
          </w:tcPr>
          <w:p w14:paraId="7AF4B6CD">
            <w:pPr>
              <w:jc w:val="left"/>
              <w:rPr>
                <w:rFonts w:hint="eastAsia" w:asciiTheme="minorEastAsia" w:hAnsiTheme="minorEastAsia" w:eastAsiaTheme="minorEastAsia"/>
                <w:b/>
                <w:bCs/>
                <w:color w:val="FF0000"/>
                <w:sz w:val="21"/>
                <w:szCs w:val="21"/>
                <w:lang w:val="en-US" w:eastAsia="zh-CN"/>
              </w:rPr>
            </w:pPr>
          </w:p>
        </w:tc>
      </w:tr>
      <w:tr w14:paraId="4E049F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 w:hRule="atLeast"/>
          <w:jc w:val="center"/>
        </w:trPr>
        <w:tc>
          <w:tcPr>
            <w:tcW w:w="8770" w:type="dxa"/>
            <w:gridSpan w:val="14"/>
            <w:shd w:val="clear" w:color="auto" w:fill="auto"/>
            <w:vAlign w:val="center"/>
          </w:tcPr>
          <w:p w14:paraId="04C7DFDD">
            <w:pPr>
              <w:jc w:val="left"/>
              <w:rPr>
                <w:rFonts w:hint="eastAsia" w:ascii="宋体" w:hAnsi="宋体" w:eastAsia="宋体" w:cs="宋体"/>
                <w:sz w:val="24"/>
                <w:szCs w:val="24"/>
                <w:lang w:val="en-US" w:eastAsia="zh-CN"/>
              </w:rPr>
            </w:pPr>
            <w:r>
              <w:rPr>
                <w:rFonts w:hint="eastAsia" w:asciiTheme="minorEastAsia" w:hAnsiTheme="minorEastAsia" w:eastAsiaTheme="minorEastAsia"/>
                <w:b/>
                <w:bCs/>
                <w:color w:val="FF0000"/>
                <w:sz w:val="21"/>
                <w:szCs w:val="21"/>
                <w:lang w:val="en-US" w:eastAsia="zh-CN"/>
              </w:rPr>
              <w:t>含13%税票和运费到厂价格，确定中标单位后，每次下订单仍按我的钢铁网，上海市场当日市场基准单价+固定幅度（以10元/吨为升降基准幅度，降幅最高或升幅最低）作为单次采购单价</w:t>
            </w:r>
          </w:p>
        </w:tc>
      </w:tr>
    </w:tbl>
    <w:p w14:paraId="01985D0A">
      <w:pPr>
        <w:pStyle w:val="28"/>
        <w:numPr>
          <w:ilvl w:val="0"/>
          <w:numId w:val="1"/>
        </w:numPr>
        <w:kinsoku/>
        <w:spacing w:line="360" w:lineRule="auto"/>
        <w:ind w:left="0" w:firstLine="480"/>
        <w:rPr>
          <w:rFonts w:hint="eastAsia" w:ascii="宋体" w:hAnsi="宋体" w:eastAsia="宋体" w:cs="宋体"/>
          <w:color w:val="auto"/>
          <w:sz w:val="24"/>
          <w:szCs w:val="24"/>
        </w:rPr>
      </w:pPr>
      <w:r>
        <w:rPr>
          <w:rFonts w:hint="eastAsia" w:ascii="宋体" w:hAnsi="宋体" w:eastAsia="宋体" w:cs="宋体"/>
          <w:sz w:val="24"/>
          <w:szCs w:val="24"/>
        </w:rPr>
        <w:t>(具体相关信息如技术参数、规格、质量标准、包装、运输费等要求请与我单位相关人员联系，联系人：</w:t>
      </w:r>
      <w:r>
        <w:rPr>
          <w:rFonts w:hint="eastAsia" w:ascii="宋体" w:hAnsi="宋体" w:eastAsia="宋体" w:cs="宋体"/>
          <w:sz w:val="24"/>
          <w:szCs w:val="24"/>
          <w:u w:val="single"/>
          <w:lang w:val="en-US" w:eastAsia="zh-CN"/>
        </w:rPr>
        <w:t xml:space="preserve">林婧楠 </w:t>
      </w:r>
      <w:r>
        <w:rPr>
          <w:rFonts w:hint="eastAsia" w:ascii="宋体" w:hAnsi="宋体" w:eastAsia="宋体" w:cs="宋体"/>
          <w:sz w:val="24"/>
          <w:szCs w:val="24"/>
        </w:rPr>
        <w:t>联系电话：</w:t>
      </w:r>
      <w:r>
        <w:rPr>
          <w:rFonts w:hint="eastAsia" w:ascii="宋体" w:hAnsi="宋体" w:eastAsia="宋体" w:cs="宋体"/>
          <w:sz w:val="24"/>
          <w:szCs w:val="24"/>
          <w:u w:val="single"/>
          <w:lang w:val="en-US" w:eastAsia="zh-CN"/>
        </w:rPr>
        <w:t>15159159199</w:t>
      </w:r>
      <w:r>
        <w:rPr>
          <w:rFonts w:hint="eastAsia" w:ascii="宋体" w:hAnsi="宋体" w:eastAsia="宋体" w:cs="宋体"/>
          <w:sz w:val="24"/>
          <w:szCs w:val="24"/>
        </w:rPr>
        <w:t>)</w:t>
      </w:r>
    </w:p>
    <w:p w14:paraId="0DA4197D">
      <w:pPr>
        <w:pStyle w:val="28"/>
        <w:numPr>
          <w:ilvl w:val="0"/>
          <w:numId w:val="1"/>
        </w:numPr>
        <w:kinsoku/>
        <w:spacing w:line="360" w:lineRule="auto"/>
        <w:ind w:left="0" w:firstLine="480"/>
        <w:rPr>
          <w:rFonts w:hint="eastAsia" w:ascii="宋体" w:hAnsi="宋体" w:eastAsia="宋体" w:cs="宋体"/>
          <w:color w:val="auto"/>
          <w:sz w:val="24"/>
          <w:szCs w:val="24"/>
        </w:rPr>
      </w:pPr>
      <w:r>
        <w:rPr>
          <w:rFonts w:hint="eastAsia" w:ascii="宋体" w:hAnsi="宋体" w:eastAsia="宋体" w:cs="宋体"/>
          <w:sz w:val="24"/>
          <w:szCs w:val="24"/>
          <w:lang w:val="en-US" w:eastAsia="zh-CN"/>
        </w:rPr>
        <w:t>执行标准：</w:t>
      </w:r>
    </w:p>
    <w:p w14:paraId="5824E4EE">
      <w:pPr>
        <w:pStyle w:val="28"/>
        <w:numPr>
          <w:ilvl w:val="0"/>
          <w:numId w:val="0"/>
        </w:numPr>
        <w:kinsoku/>
        <w:spacing w:line="360" w:lineRule="auto"/>
        <w:ind w:left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(1)包装、标志和质量证明书执行</w:t>
      </w:r>
      <w:r>
        <w:rPr>
          <w:rFonts w:hint="eastAsia" w:ascii="宋体" w:hAnsi="宋体" w:eastAsia="宋体" w:cs="宋体"/>
          <w:color w:val="auto"/>
          <w:sz w:val="24"/>
          <w:szCs w:val="24"/>
          <w:lang w:val="en-US" w:eastAsia="zh-CN"/>
        </w:rPr>
        <w:t>以下</w:t>
      </w:r>
      <w:r>
        <w:rPr>
          <w:rFonts w:hint="eastAsia" w:ascii="宋体" w:hAnsi="宋体" w:eastAsia="宋体" w:cs="宋体"/>
          <w:color w:val="auto"/>
          <w:sz w:val="24"/>
          <w:szCs w:val="24"/>
        </w:rPr>
        <w:t>标准</w:t>
      </w:r>
      <w:r>
        <w:rPr>
          <w:rFonts w:hint="eastAsia" w:ascii="宋体" w:hAnsi="宋体" w:eastAsia="宋体" w:cs="宋体"/>
          <w:color w:val="auto"/>
          <w:sz w:val="24"/>
          <w:szCs w:val="24"/>
          <w:lang w:eastAsia="zh-CN"/>
        </w:rPr>
        <w:t>。</w:t>
      </w:r>
    </w:p>
    <w:tbl>
      <w:tblPr>
        <w:tblStyle w:val="16"/>
        <w:tblW w:w="0" w:type="auto"/>
        <w:tblInd w:w="52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90"/>
        <w:gridCol w:w="5730"/>
      </w:tblGrid>
      <w:tr w14:paraId="7A03E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890" w:type="dxa"/>
            <w:tcBorders>
              <w:tl2br w:val="nil"/>
              <w:tr2bl w:val="nil"/>
            </w:tcBorders>
            <w:noWrap w:val="0"/>
            <w:vAlign w:val="top"/>
          </w:tcPr>
          <w:p w14:paraId="7541013C">
            <w:pPr>
              <w:spacing w:line="440" w:lineRule="exact"/>
              <w:rPr>
                <w:rFonts w:hint="default" w:ascii="宋体" w:hAnsi="宋体" w:eastAsia="宋体"/>
                <w:color w:val="000000"/>
                <w:szCs w:val="21"/>
                <w:lang w:val="en-US" w:eastAsia="zh-CN"/>
              </w:rPr>
            </w:pPr>
            <w:r>
              <w:rPr>
                <w:rFonts w:ascii="宋体" w:hAnsi="宋体"/>
                <w:color w:val="000000"/>
                <w:szCs w:val="21"/>
              </w:rPr>
              <w:t>GB/</w:t>
            </w:r>
            <w:r>
              <w:rPr>
                <w:rFonts w:hint="eastAsia" w:ascii="宋体" w:hAnsi="宋体"/>
                <w:color w:val="000000"/>
                <w:szCs w:val="21"/>
              </w:rPr>
              <w:t>T</w:t>
            </w:r>
            <w:r>
              <w:rPr>
                <w:rFonts w:ascii="宋体" w:hAnsi="宋体"/>
                <w:color w:val="000000"/>
                <w:szCs w:val="21"/>
              </w:rPr>
              <w:t xml:space="preserve"> </w:t>
            </w:r>
            <w:r>
              <w:rPr>
                <w:rFonts w:hint="eastAsia" w:ascii="宋体" w:hAnsi="宋体" w:eastAsia="宋体"/>
                <w:color w:val="000000"/>
                <w:szCs w:val="21"/>
                <w:lang w:val="en-US" w:eastAsia="zh-CN"/>
              </w:rPr>
              <w:t>247-2008</w:t>
            </w:r>
          </w:p>
        </w:tc>
        <w:tc>
          <w:tcPr>
            <w:tcW w:w="5730" w:type="dxa"/>
            <w:tcBorders>
              <w:tl2br w:val="nil"/>
              <w:tr2bl w:val="nil"/>
            </w:tcBorders>
            <w:noWrap w:val="0"/>
            <w:vAlign w:val="top"/>
          </w:tcPr>
          <w:p w14:paraId="3D9C6E8A">
            <w:pPr>
              <w:spacing w:line="440" w:lineRule="exact"/>
              <w:rPr>
                <w:rFonts w:hint="eastAsia" w:ascii="宋体" w:hAnsi="宋体"/>
                <w:color w:val="000000"/>
                <w:szCs w:val="21"/>
              </w:rPr>
            </w:pPr>
            <w:r>
              <w:rPr>
                <w:rFonts w:hint="eastAsia" w:ascii="宋体" w:hAnsi="宋体"/>
                <w:color w:val="000000"/>
                <w:szCs w:val="21"/>
              </w:rPr>
              <w:t>钢板和钢带包装、标志及质量证明书的一般规定</w:t>
            </w:r>
          </w:p>
        </w:tc>
      </w:tr>
    </w:tbl>
    <w:p w14:paraId="108A842B">
      <w:pPr>
        <w:pStyle w:val="28"/>
        <w:numPr>
          <w:ilvl w:val="0"/>
          <w:numId w:val="0"/>
        </w:numPr>
        <w:kinsoku/>
        <w:spacing w:line="360" w:lineRule="auto"/>
        <w:ind w:leftChars="200"/>
        <w:rPr>
          <w:rFonts w:hint="eastAsia" w:ascii="宋体" w:hAnsi="宋体" w:eastAsia="宋体" w:cs="宋体"/>
          <w:color w:val="auto"/>
          <w:sz w:val="24"/>
          <w:szCs w:val="24"/>
        </w:rPr>
      </w:pPr>
    </w:p>
    <w:p w14:paraId="37610B69">
      <w:pPr>
        <w:pStyle w:val="28"/>
        <w:numPr>
          <w:ilvl w:val="0"/>
          <w:numId w:val="0"/>
        </w:numPr>
        <w:kinsoku/>
        <w:spacing w:line="360" w:lineRule="auto"/>
        <w:ind w:leftChars="200"/>
        <w:rPr>
          <w:rFonts w:hint="eastAsia" w:ascii="宋体" w:hAnsi="宋体" w:eastAsia="宋体" w:cs="宋体"/>
          <w:color w:val="auto"/>
          <w:sz w:val="24"/>
          <w:szCs w:val="24"/>
        </w:rPr>
      </w:pPr>
      <w:r>
        <w:rPr>
          <w:rFonts w:hint="eastAsia" w:ascii="宋体" w:hAnsi="宋体" w:eastAsia="宋体" w:cs="宋体"/>
          <w:color w:val="auto"/>
          <w:sz w:val="24"/>
          <w:szCs w:val="24"/>
        </w:rPr>
        <w:t>(2)尺寸、外形、重量及允许偏差执行</w:t>
      </w:r>
      <w:r>
        <w:rPr>
          <w:rFonts w:hint="eastAsia" w:ascii="宋体" w:hAnsi="宋体" w:eastAsia="宋体" w:cs="宋体"/>
          <w:color w:val="auto"/>
          <w:sz w:val="24"/>
          <w:szCs w:val="24"/>
          <w:lang w:val="en-US" w:eastAsia="zh-CN"/>
        </w:rPr>
        <w:t>以下</w:t>
      </w:r>
      <w:r>
        <w:rPr>
          <w:rFonts w:hint="eastAsia" w:ascii="宋体" w:hAnsi="宋体" w:eastAsia="宋体" w:cs="宋体"/>
          <w:color w:val="auto"/>
          <w:sz w:val="24"/>
          <w:szCs w:val="24"/>
        </w:rPr>
        <w:t>国家标准。</w:t>
      </w:r>
    </w:p>
    <w:tbl>
      <w:tblPr>
        <w:tblStyle w:val="16"/>
        <w:tblW w:w="0" w:type="auto"/>
        <w:tblInd w:w="5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0"/>
        <w:gridCol w:w="5730"/>
      </w:tblGrid>
      <w:tr w14:paraId="05D0A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90" w:type="dxa"/>
            <w:tcBorders>
              <w:tl2br w:val="nil"/>
              <w:tr2bl w:val="nil"/>
            </w:tcBorders>
            <w:noWrap w:val="0"/>
            <w:vAlign w:val="top"/>
          </w:tcPr>
          <w:p w14:paraId="3E97005E">
            <w:pPr>
              <w:spacing w:line="440" w:lineRule="exact"/>
              <w:rPr>
                <w:rFonts w:hint="eastAsia" w:ascii="宋体" w:hAnsi="宋体"/>
                <w:color w:val="000000"/>
                <w:szCs w:val="21"/>
              </w:rPr>
            </w:pPr>
            <w:r>
              <w:rPr>
                <w:rFonts w:ascii="宋体" w:hAnsi="宋体"/>
                <w:color w:val="000000"/>
                <w:szCs w:val="21"/>
              </w:rPr>
              <w:t>GB/</w:t>
            </w:r>
            <w:r>
              <w:rPr>
                <w:rFonts w:hint="eastAsia" w:ascii="宋体" w:hAnsi="宋体"/>
                <w:color w:val="000000"/>
                <w:szCs w:val="21"/>
              </w:rPr>
              <w:t>T</w:t>
            </w:r>
            <w:r>
              <w:rPr>
                <w:rFonts w:ascii="宋体" w:hAnsi="宋体"/>
                <w:color w:val="000000"/>
                <w:szCs w:val="21"/>
              </w:rPr>
              <w:t xml:space="preserve"> 70</w:t>
            </w:r>
            <w:r>
              <w:rPr>
                <w:rFonts w:hint="eastAsia" w:ascii="宋体" w:hAnsi="宋体"/>
                <w:color w:val="000000"/>
                <w:szCs w:val="21"/>
              </w:rPr>
              <w:t>8</w:t>
            </w:r>
          </w:p>
        </w:tc>
        <w:tc>
          <w:tcPr>
            <w:tcW w:w="5730" w:type="dxa"/>
            <w:tcBorders>
              <w:tl2br w:val="nil"/>
              <w:tr2bl w:val="nil"/>
            </w:tcBorders>
            <w:noWrap w:val="0"/>
            <w:vAlign w:val="top"/>
          </w:tcPr>
          <w:p w14:paraId="34B025CE">
            <w:pPr>
              <w:spacing w:line="440" w:lineRule="exact"/>
              <w:rPr>
                <w:rFonts w:hint="eastAsia" w:ascii="宋体" w:hAnsi="宋体"/>
                <w:color w:val="000000"/>
                <w:szCs w:val="21"/>
              </w:rPr>
            </w:pPr>
            <w:r>
              <w:rPr>
                <w:rFonts w:hint="eastAsia" w:ascii="宋体" w:hAnsi="宋体"/>
                <w:color w:val="000000"/>
                <w:szCs w:val="21"/>
              </w:rPr>
              <w:t>冷轧钢板和钢带尺寸、外形、重量及允许偏差</w:t>
            </w:r>
          </w:p>
        </w:tc>
      </w:tr>
      <w:tr w14:paraId="22945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90" w:type="dxa"/>
            <w:tcBorders>
              <w:tl2br w:val="nil"/>
              <w:tr2bl w:val="nil"/>
            </w:tcBorders>
            <w:noWrap w:val="0"/>
            <w:vAlign w:val="top"/>
          </w:tcPr>
          <w:p w14:paraId="0363F0B3">
            <w:pPr>
              <w:spacing w:line="440" w:lineRule="exact"/>
              <w:rPr>
                <w:rFonts w:hint="eastAsia" w:ascii="宋体" w:hAnsi="宋体"/>
                <w:color w:val="000000"/>
                <w:szCs w:val="21"/>
              </w:rPr>
            </w:pPr>
            <w:r>
              <w:rPr>
                <w:rFonts w:ascii="宋体" w:hAnsi="宋体"/>
                <w:color w:val="000000"/>
                <w:szCs w:val="21"/>
              </w:rPr>
              <w:t>GB/</w:t>
            </w:r>
            <w:r>
              <w:rPr>
                <w:rFonts w:hint="eastAsia" w:ascii="宋体" w:hAnsi="宋体"/>
                <w:color w:val="000000"/>
                <w:szCs w:val="21"/>
              </w:rPr>
              <w:t>T</w:t>
            </w:r>
            <w:r>
              <w:rPr>
                <w:rFonts w:ascii="宋体" w:hAnsi="宋体"/>
                <w:color w:val="000000"/>
                <w:szCs w:val="21"/>
              </w:rPr>
              <w:t xml:space="preserve"> 709</w:t>
            </w:r>
          </w:p>
        </w:tc>
        <w:tc>
          <w:tcPr>
            <w:tcW w:w="5730" w:type="dxa"/>
            <w:tcBorders>
              <w:tl2br w:val="nil"/>
              <w:tr2bl w:val="nil"/>
            </w:tcBorders>
            <w:noWrap w:val="0"/>
            <w:vAlign w:val="top"/>
          </w:tcPr>
          <w:p w14:paraId="4EA96F57">
            <w:pPr>
              <w:spacing w:line="440" w:lineRule="exact"/>
              <w:rPr>
                <w:rFonts w:hint="eastAsia" w:ascii="宋体" w:hAnsi="宋体"/>
                <w:color w:val="000000"/>
                <w:szCs w:val="21"/>
              </w:rPr>
            </w:pPr>
            <w:r>
              <w:rPr>
                <w:rFonts w:hint="eastAsia" w:ascii="宋体" w:hAnsi="宋体"/>
                <w:color w:val="000000"/>
                <w:szCs w:val="21"/>
              </w:rPr>
              <w:t>热轧钢板和钢带尺寸、外形、重量及允许偏差</w:t>
            </w:r>
          </w:p>
        </w:tc>
      </w:tr>
      <w:tr w14:paraId="28E6C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90" w:type="dxa"/>
            <w:tcBorders>
              <w:tl2br w:val="nil"/>
              <w:tr2bl w:val="nil"/>
            </w:tcBorders>
            <w:noWrap w:val="0"/>
            <w:vAlign w:val="top"/>
          </w:tcPr>
          <w:p w14:paraId="1FC2446A">
            <w:pPr>
              <w:spacing w:line="440" w:lineRule="exact"/>
              <w:rPr>
                <w:rFonts w:hint="eastAsia" w:ascii="宋体" w:hAnsi="宋体"/>
                <w:color w:val="000000"/>
                <w:szCs w:val="21"/>
              </w:rPr>
            </w:pPr>
            <w:r>
              <w:rPr>
                <w:rFonts w:ascii="宋体" w:hAnsi="宋体"/>
                <w:color w:val="000000"/>
                <w:szCs w:val="21"/>
              </w:rPr>
              <w:t>GB/</w:t>
            </w:r>
            <w:r>
              <w:rPr>
                <w:rFonts w:hint="eastAsia" w:ascii="宋体" w:hAnsi="宋体"/>
                <w:color w:val="000000"/>
                <w:szCs w:val="21"/>
              </w:rPr>
              <w:t>T</w:t>
            </w:r>
            <w:r>
              <w:rPr>
                <w:rFonts w:ascii="宋体" w:hAnsi="宋体"/>
                <w:color w:val="000000"/>
                <w:szCs w:val="21"/>
              </w:rPr>
              <w:t xml:space="preserve"> 710</w:t>
            </w:r>
          </w:p>
        </w:tc>
        <w:tc>
          <w:tcPr>
            <w:tcW w:w="5730" w:type="dxa"/>
            <w:tcBorders>
              <w:tl2br w:val="nil"/>
              <w:tr2bl w:val="nil"/>
            </w:tcBorders>
            <w:noWrap w:val="0"/>
            <w:vAlign w:val="top"/>
          </w:tcPr>
          <w:p w14:paraId="2C68C34F">
            <w:pPr>
              <w:spacing w:line="440" w:lineRule="exact"/>
              <w:rPr>
                <w:rFonts w:hint="eastAsia" w:ascii="宋体" w:hAnsi="宋体"/>
                <w:color w:val="000000"/>
                <w:szCs w:val="21"/>
              </w:rPr>
            </w:pPr>
            <w:r>
              <w:rPr>
                <w:rFonts w:hint="eastAsia" w:ascii="宋体" w:hAnsi="宋体"/>
                <w:color w:val="000000"/>
                <w:szCs w:val="21"/>
              </w:rPr>
              <w:t>优质碳素结构钢热轧薄钢板和钢带</w:t>
            </w:r>
          </w:p>
        </w:tc>
      </w:tr>
      <w:tr w14:paraId="50C44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90" w:type="dxa"/>
            <w:tcBorders>
              <w:tl2br w:val="nil"/>
              <w:tr2bl w:val="nil"/>
            </w:tcBorders>
            <w:noWrap w:val="0"/>
            <w:vAlign w:val="top"/>
          </w:tcPr>
          <w:p w14:paraId="447582ED">
            <w:pPr>
              <w:spacing w:line="440" w:lineRule="exact"/>
              <w:rPr>
                <w:rFonts w:hint="eastAsia" w:ascii="宋体" w:hAnsi="宋体"/>
                <w:color w:val="000000"/>
                <w:szCs w:val="21"/>
              </w:rPr>
            </w:pPr>
            <w:r>
              <w:rPr>
                <w:rFonts w:ascii="宋体" w:hAnsi="宋体"/>
                <w:color w:val="000000"/>
                <w:szCs w:val="21"/>
              </w:rPr>
              <w:t>GB/</w:t>
            </w:r>
            <w:r>
              <w:rPr>
                <w:rFonts w:hint="eastAsia" w:ascii="宋体" w:hAnsi="宋体"/>
                <w:color w:val="000000"/>
                <w:szCs w:val="21"/>
              </w:rPr>
              <w:t>T</w:t>
            </w:r>
            <w:r>
              <w:rPr>
                <w:rFonts w:ascii="宋体" w:hAnsi="宋体"/>
                <w:color w:val="000000"/>
                <w:szCs w:val="21"/>
              </w:rPr>
              <w:t xml:space="preserve"> 71</w:t>
            </w:r>
            <w:r>
              <w:rPr>
                <w:rFonts w:hint="eastAsia" w:ascii="宋体" w:hAnsi="宋体"/>
                <w:color w:val="000000"/>
                <w:szCs w:val="21"/>
              </w:rPr>
              <w:t>1</w:t>
            </w:r>
          </w:p>
        </w:tc>
        <w:tc>
          <w:tcPr>
            <w:tcW w:w="5730" w:type="dxa"/>
            <w:tcBorders>
              <w:tl2br w:val="nil"/>
              <w:tr2bl w:val="nil"/>
            </w:tcBorders>
            <w:noWrap w:val="0"/>
            <w:vAlign w:val="top"/>
          </w:tcPr>
          <w:p w14:paraId="3C591BDC">
            <w:pPr>
              <w:spacing w:line="440" w:lineRule="exact"/>
              <w:rPr>
                <w:rFonts w:hint="eastAsia" w:ascii="宋体" w:hAnsi="宋体"/>
                <w:color w:val="000000"/>
                <w:szCs w:val="21"/>
              </w:rPr>
            </w:pPr>
            <w:r>
              <w:rPr>
                <w:rFonts w:hint="eastAsia" w:ascii="宋体" w:hAnsi="宋体"/>
                <w:color w:val="000000"/>
                <w:szCs w:val="21"/>
              </w:rPr>
              <w:t>优质碳素结构钢热轧厚钢板和宽钢带</w:t>
            </w:r>
          </w:p>
        </w:tc>
      </w:tr>
      <w:tr w14:paraId="0D7A4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90" w:type="dxa"/>
            <w:tcBorders>
              <w:tl2br w:val="nil"/>
              <w:tr2bl w:val="nil"/>
            </w:tcBorders>
            <w:noWrap w:val="0"/>
            <w:vAlign w:val="top"/>
          </w:tcPr>
          <w:p w14:paraId="4DB1F0AF">
            <w:pPr>
              <w:spacing w:line="440" w:lineRule="exact"/>
              <w:rPr>
                <w:rFonts w:ascii="宋体" w:hAnsi="宋体"/>
                <w:color w:val="000000"/>
                <w:szCs w:val="21"/>
              </w:rPr>
            </w:pPr>
            <w:r>
              <w:rPr>
                <w:rFonts w:hint="eastAsia" w:ascii="宋体" w:hAnsi="宋体"/>
                <w:color w:val="000000"/>
                <w:szCs w:val="21"/>
              </w:rPr>
              <w:t>GB/T 3280-2015</w:t>
            </w:r>
          </w:p>
        </w:tc>
        <w:tc>
          <w:tcPr>
            <w:tcW w:w="5730" w:type="dxa"/>
            <w:tcBorders>
              <w:tl2br w:val="nil"/>
              <w:tr2bl w:val="nil"/>
            </w:tcBorders>
            <w:noWrap w:val="0"/>
            <w:vAlign w:val="top"/>
          </w:tcPr>
          <w:p w14:paraId="142FC6D4">
            <w:pPr>
              <w:spacing w:line="440" w:lineRule="exact"/>
              <w:rPr>
                <w:rFonts w:hint="eastAsia" w:ascii="宋体" w:hAnsi="宋体"/>
                <w:color w:val="000000"/>
                <w:szCs w:val="21"/>
              </w:rPr>
            </w:pPr>
            <w:r>
              <w:rPr>
                <w:rFonts w:hint="eastAsia" w:ascii="宋体" w:hAnsi="宋体"/>
                <w:color w:val="000000"/>
                <w:szCs w:val="21"/>
              </w:rPr>
              <w:t>不锈钢冷轧钢板和钢带</w:t>
            </w:r>
          </w:p>
        </w:tc>
      </w:tr>
    </w:tbl>
    <w:p w14:paraId="56684D4C">
      <w:pPr>
        <w:widowControl w:val="0"/>
        <w:kinsoku/>
        <w:spacing w:line="360" w:lineRule="auto"/>
        <w:rPr>
          <w:rFonts w:hint="eastAsia" w:ascii="宋体" w:hAnsi="宋体" w:eastAsia="宋体" w:cs="宋体"/>
          <w:sz w:val="24"/>
          <w:szCs w:val="24"/>
          <w:lang w:eastAsia="zh-CN"/>
        </w:rPr>
      </w:pPr>
    </w:p>
    <w:p w14:paraId="21724E7A">
      <w:pPr>
        <w:widowControl w:val="0"/>
        <w:numPr>
          <w:ilvl w:val="0"/>
          <w:numId w:val="1"/>
        </w:numPr>
        <w:kinsoku/>
        <w:spacing w:line="360" w:lineRule="auto"/>
        <w:ind w:left="0" w:leftChars="0" w:firstLine="480" w:firstLineChars="200"/>
        <w:rPr>
          <w:rFonts w:hint="eastAsia" w:ascii="宋体" w:hAnsi="宋体" w:eastAsia="宋体" w:cs="宋体"/>
          <w:color w:val="auto"/>
          <w:sz w:val="24"/>
          <w:szCs w:val="24"/>
        </w:rPr>
      </w:pPr>
      <w:r>
        <w:rPr>
          <w:rFonts w:hint="default" w:ascii="宋体" w:hAnsi="宋体" w:eastAsia="宋体" w:cs="宋体"/>
          <w:sz w:val="24"/>
          <w:szCs w:val="24"/>
          <w:lang w:val="en-US" w:eastAsia="zh-CN"/>
        </w:rPr>
        <w:t>本次采购物资计划供货开始时间为</w:t>
      </w:r>
      <w:r>
        <w:rPr>
          <w:rFonts w:hint="eastAsia" w:ascii="宋体" w:hAnsi="宋体" w:eastAsia="宋体" w:cs="宋体"/>
          <w:sz w:val="24"/>
          <w:szCs w:val="24"/>
          <w:lang w:val="en-US" w:eastAsia="zh-CN"/>
        </w:rPr>
        <w:t>2025</w:t>
      </w:r>
      <w:r>
        <w:rPr>
          <w:rFonts w:hint="default" w:ascii="宋体" w:hAnsi="宋体" w:eastAsia="宋体" w:cs="宋体"/>
          <w:sz w:val="24"/>
          <w:szCs w:val="24"/>
          <w:lang w:val="en-US" w:eastAsia="zh-CN"/>
        </w:rPr>
        <w:t>年</w:t>
      </w:r>
      <w:r>
        <w:rPr>
          <w:rFonts w:hint="eastAsia" w:ascii="宋体" w:hAnsi="宋体" w:eastAsia="宋体" w:cs="宋体"/>
          <w:sz w:val="24"/>
          <w:szCs w:val="24"/>
          <w:lang w:val="en-US" w:eastAsia="zh-CN"/>
        </w:rPr>
        <w:t>2</w:t>
      </w:r>
      <w:r>
        <w:rPr>
          <w:rFonts w:hint="default" w:ascii="宋体" w:hAnsi="宋体" w:eastAsia="宋体" w:cs="宋体"/>
          <w:sz w:val="24"/>
          <w:szCs w:val="24"/>
          <w:lang w:val="en-US" w:eastAsia="zh-CN"/>
        </w:rPr>
        <w:t>月</w:t>
      </w:r>
      <w:r>
        <w:rPr>
          <w:rFonts w:hint="eastAsia" w:ascii="宋体" w:hAnsi="宋体" w:eastAsia="宋体" w:cs="宋体"/>
          <w:sz w:val="24"/>
          <w:szCs w:val="24"/>
          <w:lang w:val="en-US" w:eastAsia="zh-CN"/>
        </w:rPr>
        <w:t>1</w:t>
      </w:r>
      <w:r>
        <w:rPr>
          <w:rFonts w:hint="default" w:ascii="宋体" w:hAnsi="宋体" w:eastAsia="宋体" w:cs="宋体"/>
          <w:sz w:val="24"/>
          <w:szCs w:val="24"/>
          <w:lang w:val="en-US" w:eastAsia="zh-CN"/>
        </w:rPr>
        <w:t>日，计划供货结束时间为202</w:t>
      </w:r>
      <w:r>
        <w:rPr>
          <w:rFonts w:hint="eastAsia" w:ascii="宋体" w:hAnsi="宋体" w:eastAsia="宋体" w:cs="宋体"/>
          <w:sz w:val="24"/>
          <w:szCs w:val="24"/>
          <w:lang w:val="en-US" w:eastAsia="zh-CN"/>
        </w:rPr>
        <w:t>6</w:t>
      </w:r>
      <w:r>
        <w:rPr>
          <w:rFonts w:hint="default" w:ascii="宋体" w:hAnsi="宋体" w:eastAsia="宋体" w:cs="宋体"/>
          <w:sz w:val="24"/>
          <w:szCs w:val="24"/>
          <w:lang w:val="en-US" w:eastAsia="zh-CN"/>
        </w:rPr>
        <w:t>年</w:t>
      </w:r>
      <w:r>
        <w:rPr>
          <w:rFonts w:hint="eastAsia" w:ascii="宋体" w:hAnsi="宋体" w:eastAsia="宋体" w:cs="宋体"/>
          <w:sz w:val="24"/>
          <w:szCs w:val="24"/>
          <w:lang w:val="en-US" w:eastAsia="zh-CN"/>
        </w:rPr>
        <w:t>2</w:t>
      </w:r>
      <w:r>
        <w:rPr>
          <w:rFonts w:hint="default" w:ascii="宋体" w:hAnsi="宋体" w:eastAsia="宋体" w:cs="宋体"/>
          <w:sz w:val="24"/>
          <w:szCs w:val="24"/>
          <w:lang w:val="en-US" w:eastAsia="zh-CN"/>
        </w:rPr>
        <w:t>月</w:t>
      </w:r>
      <w:r>
        <w:rPr>
          <w:rFonts w:hint="eastAsia" w:ascii="宋体" w:hAnsi="宋体" w:eastAsia="宋体" w:cs="宋体"/>
          <w:sz w:val="24"/>
          <w:szCs w:val="24"/>
          <w:lang w:val="en-US" w:eastAsia="zh-CN"/>
        </w:rPr>
        <w:t>1</w:t>
      </w:r>
      <w:r>
        <w:rPr>
          <w:rFonts w:hint="default" w:ascii="宋体" w:hAnsi="宋体" w:eastAsia="宋体" w:cs="宋体"/>
          <w:sz w:val="24"/>
          <w:szCs w:val="24"/>
          <w:lang w:val="en-US" w:eastAsia="zh-CN"/>
        </w:rPr>
        <w:t>日</w:t>
      </w:r>
    </w:p>
    <w:p w14:paraId="4E46E10D">
      <w:pPr>
        <w:widowControl w:val="0"/>
        <w:numPr>
          <w:ilvl w:val="0"/>
          <w:numId w:val="1"/>
        </w:numPr>
        <w:kinsoku/>
        <w:spacing w:line="36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参考品牌：新钢、萍钢、湘钢、韶钢、柳钢、涟钢、鞍钢</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宝钢</w:t>
      </w:r>
      <w:r>
        <w:rPr>
          <w:rFonts w:hint="eastAsia" w:ascii="宋体" w:hAnsi="宋体" w:eastAsia="宋体" w:cs="宋体"/>
          <w:color w:val="auto"/>
          <w:sz w:val="24"/>
          <w:szCs w:val="24"/>
        </w:rPr>
        <w:t>或相当于以上的品牌</w:t>
      </w:r>
    </w:p>
    <w:p w14:paraId="15708376">
      <w:pPr>
        <w:widowControl w:val="0"/>
        <w:numPr>
          <w:ilvl w:val="0"/>
          <w:numId w:val="1"/>
        </w:numPr>
        <w:kinsoku/>
        <w:spacing w:line="36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sz w:val="24"/>
          <w:szCs w:val="24"/>
        </w:rPr>
        <w:t>交货地</w:t>
      </w:r>
      <w:r>
        <w:rPr>
          <w:rFonts w:hint="eastAsia" w:ascii="宋体" w:hAnsi="宋体" w:eastAsia="宋体" w:cs="宋体"/>
          <w:color w:val="auto"/>
          <w:sz w:val="24"/>
          <w:szCs w:val="24"/>
        </w:rPr>
        <w:t>点：中国机械总院集团海西（福建）分院有限公司指定地点。</w:t>
      </w:r>
      <w:bookmarkStart w:id="19" w:name="_Toc5828"/>
    </w:p>
    <w:p w14:paraId="1F66257B">
      <w:pPr>
        <w:widowControl w:val="0"/>
        <w:numPr>
          <w:ilvl w:val="0"/>
          <w:numId w:val="1"/>
        </w:numPr>
        <w:kinsoku/>
        <w:spacing w:line="36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投标截止时间：</w:t>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月</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rPr>
        <w:t>日</w:t>
      </w:r>
      <w:bookmarkEnd w:id="19"/>
    </w:p>
    <w:p w14:paraId="3303C7FE">
      <w:pPr>
        <w:widowControl w:val="0"/>
        <w:numPr>
          <w:ilvl w:val="0"/>
          <w:numId w:val="1"/>
        </w:numPr>
        <w:kinsoku/>
        <w:spacing w:line="36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投标文件的递交：拟参加本次投标的单位请于投标截止时间之前，将密封并加盖公章的文件袋，用特快专递方式邮寄到我单位（投标文件正本一份，副本四份），原则上不接受当面递送。</w:t>
      </w:r>
    </w:p>
    <w:p w14:paraId="4C226329">
      <w:pPr>
        <w:widowControl w:val="0"/>
        <w:numPr>
          <w:ilvl w:val="0"/>
          <w:numId w:val="1"/>
        </w:numPr>
        <w:kinsoku/>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color w:val="auto"/>
          <w:sz w:val="24"/>
          <w:szCs w:val="24"/>
        </w:rPr>
        <w:t>开标时间</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月</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rPr>
        <w:t>日</w:t>
      </w:r>
      <w:bookmarkStart w:id="20" w:name="_Toc654"/>
      <w:bookmarkStart w:id="21" w:name="_Toc27635"/>
      <w:bookmarkStart w:id="22" w:name="_Toc24591"/>
      <w:bookmarkStart w:id="23" w:name="_Toc7018"/>
      <w:bookmarkStart w:id="24" w:name="_Toc30159"/>
      <w:bookmarkStart w:id="25" w:name="_Toc9339"/>
    </w:p>
    <w:p w14:paraId="45738703">
      <w:pPr>
        <w:widowControl w:val="0"/>
        <w:numPr>
          <w:ilvl w:val="0"/>
          <w:numId w:val="1"/>
        </w:numPr>
        <w:kinsoku/>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相关要求：</w:t>
      </w:r>
      <w:bookmarkEnd w:id="20"/>
      <w:bookmarkEnd w:id="21"/>
      <w:bookmarkEnd w:id="22"/>
      <w:bookmarkEnd w:id="23"/>
      <w:bookmarkEnd w:id="24"/>
      <w:bookmarkEnd w:id="25"/>
    </w:p>
    <w:p w14:paraId="0D9BD387">
      <w:pPr>
        <w:widowControl w:val="0"/>
        <w:kinsoku/>
        <w:spacing w:line="360" w:lineRule="auto"/>
        <w:ind w:firstLine="420" w:firstLineChars="200"/>
        <w:rPr>
          <w:rFonts w:hint="eastAsia" w:ascii="宋体" w:hAnsi="宋体" w:eastAsia="宋体" w:cs="宋体"/>
          <w:sz w:val="24"/>
          <w:szCs w:val="24"/>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fldChar w:fldCharType="begin"/>
      </w:r>
      <w:r>
        <w:rPr>
          <w:rFonts w:hint="eastAsia" w:ascii="宋体" w:hAnsi="宋体" w:eastAsia="宋体" w:cs="宋体"/>
        </w:rPr>
        <w:instrText xml:space="preserve"> HYPERLINK "http://www.haosou.com/s?q=%E6%8A%A5%E4%BB%B7%E5%8D%95&amp;ie=utf-8&amp;src=wenda_link" </w:instrText>
      </w:r>
      <w:r>
        <w:rPr>
          <w:rFonts w:hint="eastAsia" w:ascii="宋体" w:hAnsi="宋体" w:eastAsia="宋体" w:cs="宋体"/>
        </w:rPr>
        <w:fldChar w:fldCharType="separate"/>
      </w:r>
      <w:r>
        <w:rPr>
          <w:rFonts w:hint="eastAsia" w:ascii="宋体" w:hAnsi="宋体" w:eastAsia="宋体" w:cs="宋体"/>
          <w:sz w:val="24"/>
          <w:szCs w:val="24"/>
        </w:rPr>
        <w:t>投标报价单需按照我公司提供的样表填写，</w:t>
      </w:r>
      <w:r>
        <w:rPr>
          <w:rFonts w:hint="eastAsia" w:ascii="宋体" w:hAnsi="宋体" w:eastAsia="宋体" w:cs="宋体"/>
          <w:sz w:val="24"/>
          <w:szCs w:val="24"/>
        </w:rPr>
        <w:fldChar w:fldCharType="end"/>
      </w:r>
      <w:r>
        <w:rPr>
          <w:rFonts w:hint="eastAsia" w:ascii="宋体" w:hAnsi="宋体" w:eastAsia="宋体" w:cs="宋体"/>
          <w:sz w:val="24"/>
          <w:szCs w:val="24"/>
        </w:rPr>
        <w:t>特殊情况可稍作调整，内容必须填写完整、真实和准确。除投标报价表外，不得对文件格式和内容进行修改，如发现投标文件未按我公司提供的招标文件格式填写，将视为废标。</w:t>
      </w:r>
    </w:p>
    <w:p w14:paraId="6D6619CF">
      <w:pPr>
        <w:widowControl w:val="0"/>
        <w:kinsoku/>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密封文件袋上必须标注项目名称和投标单位名称,并注明“正式开标前，不得开启”字样。投标人投标时应提供加盖单位公章的项目技术方案、供货业绩及营业执照副本、资质证书、</w:t>
      </w:r>
      <w:r>
        <w:rPr>
          <w:rFonts w:hint="eastAsia" w:ascii="宋体" w:hAnsi="宋体" w:eastAsia="宋体" w:cs="宋体"/>
        </w:rPr>
        <w:fldChar w:fldCharType="begin"/>
      </w:r>
      <w:r>
        <w:rPr>
          <w:rFonts w:hint="eastAsia" w:ascii="宋体" w:hAnsi="宋体" w:eastAsia="宋体" w:cs="宋体"/>
        </w:rPr>
        <w:instrText xml:space="preserve"> HYPERLINK "https://baike.baidu.com/item/%E5%AE%89%E5%85%A8%E7%94%9F%E4%BA%A7%E8%AE%B8%E5%8F%AF%E8%AF%81" </w:instrText>
      </w:r>
      <w:r>
        <w:rPr>
          <w:rFonts w:hint="eastAsia" w:ascii="宋体" w:hAnsi="宋体" w:eastAsia="宋体" w:cs="宋体"/>
        </w:rPr>
        <w:fldChar w:fldCharType="separate"/>
      </w:r>
      <w:r>
        <w:rPr>
          <w:rFonts w:hint="eastAsia" w:ascii="宋体" w:hAnsi="宋体" w:eastAsia="宋体" w:cs="宋体"/>
          <w:sz w:val="24"/>
          <w:szCs w:val="24"/>
        </w:rPr>
        <w:t>安全生产许可证等</w:t>
      </w:r>
      <w:r>
        <w:rPr>
          <w:rFonts w:hint="eastAsia" w:ascii="宋体" w:hAnsi="宋体" w:eastAsia="宋体" w:cs="宋体"/>
          <w:sz w:val="24"/>
          <w:szCs w:val="24"/>
        </w:rPr>
        <w:fldChar w:fldCharType="end"/>
      </w:r>
      <w:r>
        <w:rPr>
          <w:rFonts w:hint="eastAsia" w:ascii="宋体" w:hAnsi="宋体" w:eastAsia="宋体" w:cs="宋体"/>
          <w:sz w:val="24"/>
          <w:szCs w:val="24"/>
        </w:rPr>
        <w:t>证书复印件。</w:t>
      </w:r>
    </w:p>
    <w:p w14:paraId="54DCB0EC">
      <w:pPr>
        <w:widowControl w:val="0"/>
        <w:kinsoku/>
        <w:spacing w:line="360" w:lineRule="auto"/>
        <w:ind w:firstLine="480" w:firstLineChars="200"/>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（3）本次招标报价税率为13%。</w:t>
      </w:r>
    </w:p>
    <w:p w14:paraId="76B8F163">
      <w:pPr>
        <w:pStyle w:val="15"/>
        <w:ind w:left="0" w:leftChars="0" w:firstLine="480" w:firstLineChars="0"/>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（4）营业执照</w:t>
      </w:r>
    </w:p>
    <w:p w14:paraId="59F5F29E">
      <w:pPr>
        <w:pStyle w:val="15"/>
        <w:ind w:left="0" w:leftChars="0" w:firstLine="480" w:firstLineChars="0"/>
        <w:rPr>
          <w:rFonts w:hint="eastAsia" w:ascii="宋体" w:hAnsi="宋体" w:eastAsia="宋体" w:cs="宋体"/>
          <w:color w:val="auto"/>
          <w:sz w:val="24"/>
          <w:szCs w:val="24"/>
          <w:lang w:eastAsia="zh-CN"/>
        </w:rPr>
      </w:pPr>
      <w:r>
        <w:rPr>
          <w:rFonts w:hint="eastAsia" w:ascii="宋体" w:hAnsi="宋体" w:eastAsia="宋体" w:cs="宋体"/>
          <w:snapToGrid w:val="0"/>
          <w:color w:val="000000"/>
          <w:sz w:val="24"/>
          <w:szCs w:val="24"/>
          <w:lang w:val="en-US" w:eastAsia="zh-CN" w:bidi="ar-SA"/>
        </w:rPr>
        <w:t>（5）</w:t>
      </w:r>
      <w:r>
        <w:rPr>
          <w:rFonts w:hint="eastAsia" w:ascii="宋体" w:hAnsi="宋体" w:eastAsia="宋体" w:cs="宋体"/>
          <w:color w:val="auto"/>
          <w:sz w:val="24"/>
          <w:szCs w:val="24"/>
        </w:rPr>
        <w:t>相关体系认证（质量、环境、职业健康安全</w:t>
      </w:r>
      <w:r>
        <w:rPr>
          <w:rFonts w:hint="eastAsia" w:ascii="宋体" w:hAnsi="宋体" w:eastAsia="宋体" w:cs="宋体"/>
          <w:color w:val="auto"/>
          <w:sz w:val="24"/>
          <w:szCs w:val="24"/>
          <w:lang w:eastAsia="zh-CN"/>
        </w:rPr>
        <w:t>）</w:t>
      </w:r>
    </w:p>
    <w:p w14:paraId="7416AD2C">
      <w:pPr>
        <w:pStyle w:val="15"/>
        <w:ind w:left="0" w:leftChars="0" w:firstLine="480" w:firstLineChars="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投标人近三年来承接过合同金额</w:t>
      </w:r>
      <w:r>
        <w:rPr>
          <w:rFonts w:hint="eastAsia" w:ascii="宋体" w:hAnsi="宋体" w:eastAsia="宋体" w:cs="宋体"/>
          <w:color w:val="auto"/>
          <w:sz w:val="24"/>
          <w:szCs w:val="24"/>
          <w:lang w:val="en-US" w:eastAsia="zh-CN"/>
        </w:rPr>
        <w:t>100</w:t>
      </w:r>
      <w:r>
        <w:rPr>
          <w:rFonts w:hint="eastAsia" w:ascii="宋体" w:hAnsi="宋体" w:eastAsia="宋体" w:cs="宋体"/>
          <w:color w:val="auto"/>
          <w:sz w:val="24"/>
          <w:szCs w:val="24"/>
        </w:rPr>
        <w:t>万元及以上类似业绩且验收合格</w:t>
      </w:r>
      <w:r>
        <w:rPr>
          <w:rFonts w:hint="eastAsia" w:ascii="宋体" w:hAnsi="宋体" w:eastAsia="宋体" w:cs="宋体"/>
          <w:color w:val="auto"/>
          <w:sz w:val="24"/>
          <w:szCs w:val="24"/>
          <w:lang w:val="en-US" w:eastAsia="zh-CN"/>
        </w:rPr>
        <w:t>类似业绩（</w:t>
      </w:r>
      <w:r>
        <w:rPr>
          <w:rFonts w:hint="eastAsia" w:ascii="宋体" w:hAnsi="宋体" w:eastAsia="宋体" w:cs="宋体"/>
          <w:color w:val="auto"/>
          <w:sz w:val="24"/>
          <w:szCs w:val="24"/>
        </w:rPr>
        <w:t>投标人应当提供合同、验收证明复印件（须加盖验收方公章）等证明材料</w:t>
      </w:r>
      <w:r>
        <w:rPr>
          <w:rFonts w:hint="eastAsia" w:ascii="宋体" w:hAnsi="宋体" w:eastAsia="宋体" w:cs="宋体"/>
          <w:color w:val="auto"/>
          <w:sz w:val="24"/>
          <w:szCs w:val="24"/>
          <w:lang w:eastAsia="zh-CN"/>
        </w:rPr>
        <w:t>）</w:t>
      </w:r>
    </w:p>
    <w:p w14:paraId="7FE306B5">
      <w:pPr>
        <w:widowControl w:val="0"/>
        <w:kinsoku/>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7）货到票到付款。需方收到供方货物、检测报告，验收合格后7日内需方将相应合同货款转到供方指定账号，供方收到货款后提供相应发票，电汇或银承。</w:t>
      </w:r>
    </w:p>
    <w:p w14:paraId="0B489DFE">
      <w:pPr>
        <w:widowControl w:val="0"/>
        <w:kinsoku/>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投标人须对所售出的产品实行三包:即产品在正常使用情况下发生质量问题时，投标人应按使用方的要求，负责对产品实行包修、包换、包退。</w:t>
      </w:r>
    </w:p>
    <w:p w14:paraId="49B1B400">
      <w:pPr>
        <w:widowControl w:val="0"/>
        <w:kinsoku/>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凡对本次招标的有关事项需要咨询或有异议时，请</w:t>
      </w:r>
      <w:r>
        <w:rPr>
          <w:rFonts w:hint="eastAsia" w:ascii="宋体" w:hAnsi="宋体" w:eastAsia="宋体" w:cs="宋体"/>
          <w:color w:val="auto"/>
          <w:sz w:val="24"/>
          <w:szCs w:val="24"/>
        </w:rPr>
        <w:t>在</w:t>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月</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rPr>
        <w:t>日前</w:t>
      </w:r>
      <w:r>
        <w:rPr>
          <w:rFonts w:hint="eastAsia" w:ascii="宋体" w:hAnsi="宋体" w:eastAsia="宋体" w:cs="宋体"/>
          <w:sz w:val="24"/>
          <w:szCs w:val="24"/>
        </w:rPr>
        <w:t>与相关负责人联系。关于评标结果，我们将会在评标结束之后第一时间告知。</w:t>
      </w:r>
    </w:p>
    <w:p w14:paraId="0661A7BC">
      <w:pPr>
        <w:pStyle w:val="28"/>
        <w:numPr>
          <w:ilvl w:val="0"/>
          <w:numId w:val="0"/>
        </w:numPr>
        <w:kinsoku/>
        <w:spacing w:line="360" w:lineRule="auto"/>
        <w:ind w:leftChars="200"/>
        <w:outlineLvl w:val="0"/>
        <w:rPr>
          <w:rFonts w:hint="eastAsia" w:ascii="宋体" w:hAnsi="宋体" w:eastAsia="宋体" w:cs="宋体"/>
          <w:sz w:val="24"/>
          <w:szCs w:val="24"/>
        </w:rPr>
      </w:pPr>
      <w:bookmarkStart w:id="26" w:name="_Toc30078"/>
      <w:bookmarkStart w:id="27" w:name="_Toc19941"/>
      <w:bookmarkStart w:id="28" w:name="_Toc20083"/>
      <w:bookmarkStart w:id="29" w:name="_Toc4182"/>
      <w:bookmarkStart w:id="30" w:name="_Toc21113"/>
      <w:bookmarkStart w:id="31" w:name="_Toc21790"/>
      <w:r>
        <w:rPr>
          <w:rFonts w:hint="eastAsia" w:ascii="宋体" w:hAnsi="宋体" w:eastAsia="宋体" w:cs="宋体"/>
          <w:sz w:val="24"/>
          <w:szCs w:val="24"/>
          <w:lang w:val="en-US" w:eastAsia="zh-CN"/>
        </w:rPr>
        <w:t>11.</w:t>
      </w:r>
      <w:r>
        <w:rPr>
          <w:rFonts w:hint="eastAsia" w:ascii="宋体" w:hAnsi="宋体" w:eastAsia="宋体" w:cs="宋体"/>
          <w:sz w:val="24"/>
          <w:szCs w:val="24"/>
        </w:rPr>
        <w:t>联系方式</w:t>
      </w:r>
      <w:bookmarkEnd w:id="26"/>
      <w:bookmarkEnd w:id="27"/>
      <w:bookmarkEnd w:id="28"/>
      <w:bookmarkEnd w:id="29"/>
      <w:bookmarkEnd w:id="30"/>
      <w:bookmarkEnd w:id="31"/>
    </w:p>
    <w:p w14:paraId="4CE0CCD1">
      <w:pPr>
        <w:tabs>
          <w:tab w:val="left" w:pos="1446"/>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招标人：中国机械总院集团海西（福建）分院有限公司</w:t>
      </w:r>
    </w:p>
    <w:p w14:paraId="189177DB">
      <w:pPr>
        <w:tabs>
          <w:tab w:val="left" w:pos="1446"/>
        </w:tabs>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联系人：</w:t>
      </w:r>
      <w:r>
        <w:rPr>
          <w:rFonts w:hint="eastAsia" w:ascii="宋体" w:hAnsi="宋体" w:eastAsia="宋体" w:cs="宋体"/>
          <w:sz w:val="24"/>
          <w:szCs w:val="24"/>
          <w:lang w:eastAsia="zh-CN"/>
        </w:rPr>
        <w:t>李浩东</w:t>
      </w:r>
    </w:p>
    <w:p w14:paraId="58D6F16E">
      <w:pPr>
        <w:tabs>
          <w:tab w:val="left" w:pos="1446"/>
        </w:tabs>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联系电话：0598-8050808、</w:t>
      </w:r>
      <w:r>
        <w:rPr>
          <w:rFonts w:hint="eastAsia" w:ascii="宋体" w:hAnsi="宋体" w:eastAsia="宋体" w:cs="宋体"/>
          <w:sz w:val="24"/>
          <w:szCs w:val="24"/>
          <w:lang w:val="en-US" w:eastAsia="zh-CN"/>
        </w:rPr>
        <w:t>18707194032</w:t>
      </w:r>
    </w:p>
    <w:p w14:paraId="30C30382">
      <w:pPr>
        <w:tabs>
          <w:tab w:val="left" w:pos="1446"/>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纪检监督电话：0598-8050668</w:t>
      </w:r>
    </w:p>
    <w:p w14:paraId="0A1E6DAE">
      <w:pPr>
        <w:tabs>
          <w:tab w:val="left" w:pos="1446"/>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地址：福建省三明市沙县区金沙园开发区创新东路413号</w:t>
      </w:r>
    </w:p>
    <w:p w14:paraId="34227CA9">
      <w:pPr>
        <w:spacing w:line="270" w:lineRule="auto"/>
        <w:rPr>
          <w:rFonts w:hint="eastAsia" w:ascii="宋体" w:hAnsi="宋体" w:eastAsia="宋体" w:cs="宋体"/>
        </w:rPr>
      </w:pPr>
    </w:p>
    <w:p w14:paraId="7DC70607">
      <w:pPr>
        <w:spacing w:line="360" w:lineRule="auto"/>
        <w:rPr>
          <w:rFonts w:hint="eastAsia" w:ascii="宋体" w:hAnsi="宋体" w:eastAsia="宋体" w:cs="宋体"/>
        </w:rPr>
      </w:pPr>
    </w:p>
    <w:p w14:paraId="0F90590B">
      <w:pPr>
        <w:spacing w:line="360" w:lineRule="auto"/>
        <w:ind w:firstLine="459"/>
        <w:jc w:val="right"/>
        <w:outlineLvl w:val="0"/>
        <w:rPr>
          <w:rFonts w:hint="eastAsia" w:ascii="宋体" w:hAnsi="宋体" w:eastAsia="宋体" w:cs="宋体"/>
          <w:sz w:val="24"/>
          <w:szCs w:val="24"/>
          <w:lang w:eastAsia="zh-CN"/>
        </w:rPr>
      </w:pPr>
      <w:bookmarkStart w:id="32" w:name="_Toc19147"/>
      <w:bookmarkStart w:id="33" w:name="_Toc322"/>
      <w:bookmarkStart w:id="34" w:name="_Toc20059"/>
      <w:bookmarkStart w:id="35" w:name="_Toc23207"/>
      <w:r>
        <w:rPr>
          <w:rFonts w:hint="eastAsia" w:ascii="宋体" w:hAnsi="宋体" w:eastAsia="宋体" w:cs="宋体"/>
          <w:sz w:val="24"/>
          <w:szCs w:val="24"/>
        </w:rPr>
        <w:t>中国机械总院集团海西（福建）分院有限公司</w:t>
      </w:r>
      <w:bookmarkEnd w:id="32"/>
      <w:bookmarkEnd w:id="33"/>
      <w:bookmarkEnd w:id="34"/>
      <w:bookmarkEnd w:id="35"/>
    </w:p>
    <w:p w14:paraId="09442243">
      <w:pPr>
        <w:spacing w:line="360" w:lineRule="auto"/>
        <w:ind w:firstLine="459"/>
        <w:jc w:val="center"/>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招标委员会办公室</w:t>
      </w:r>
    </w:p>
    <w:p w14:paraId="7BBEF32A">
      <w:pPr>
        <w:spacing w:line="360" w:lineRule="auto"/>
        <w:ind w:firstLine="6480" w:firstLineChars="2700"/>
        <w:rPr>
          <w:rFonts w:hint="eastAsia" w:ascii="宋体" w:hAnsi="宋体" w:eastAsia="宋体" w:cs="宋体"/>
          <w:sz w:val="24"/>
          <w:szCs w:val="24"/>
        </w:rPr>
      </w:pPr>
      <w:r>
        <w:rPr>
          <w:rFonts w:hint="eastAsia" w:ascii="宋体" w:hAnsi="宋体" w:eastAsia="宋体" w:cs="宋体"/>
          <w:sz w:val="24"/>
          <w:szCs w:val="24"/>
          <w:lang w:val="en-US" w:eastAsia="zh-CN"/>
        </w:rPr>
        <w:t>2024</w:t>
      </w:r>
      <w:r>
        <w:rPr>
          <w:rFonts w:hint="eastAsia" w:ascii="宋体" w:hAnsi="宋体" w:eastAsia="宋体" w:cs="宋体"/>
          <w:sz w:val="24"/>
          <w:szCs w:val="24"/>
        </w:rPr>
        <w:t>年</w:t>
      </w:r>
      <w:r>
        <w:rPr>
          <w:rFonts w:hint="eastAsia" w:ascii="宋体" w:hAnsi="宋体" w:eastAsia="宋体" w:cs="宋体"/>
          <w:sz w:val="24"/>
          <w:szCs w:val="24"/>
          <w:lang w:val="en-US" w:eastAsia="zh-CN"/>
        </w:rPr>
        <w:t>12</w:t>
      </w:r>
      <w:r>
        <w:rPr>
          <w:rFonts w:hint="eastAsia" w:ascii="宋体" w:hAnsi="宋体" w:eastAsia="宋体" w:cs="宋体"/>
          <w:sz w:val="24"/>
          <w:szCs w:val="24"/>
        </w:rPr>
        <w:t>月</w:t>
      </w:r>
      <w:r>
        <w:rPr>
          <w:rFonts w:hint="eastAsia" w:ascii="宋体" w:hAnsi="宋体" w:eastAsia="宋体" w:cs="宋体"/>
          <w:sz w:val="24"/>
          <w:szCs w:val="24"/>
          <w:lang w:val="en-US" w:eastAsia="zh-CN"/>
        </w:rPr>
        <w:t>31</w:t>
      </w:r>
      <w:r>
        <w:rPr>
          <w:rFonts w:hint="eastAsia" w:ascii="宋体" w:hAnsi="宋体" w:eastAsia="宋体" w:cs="宋体"/>
          <w:sz w:val="24"/>
          <w:szCs w:val="24"/>
        </w:rPr>
        <w:t>日</w:t>
      </w:r>
    </w:p>
    <w:p w14:paraId="666018ED">
      <w:pPr>
        <w:kinsoku/>
        <w:autoSpaceDE/>
        <w:autoSpaceDN/>
        <w:adjustRightInd/>
        <w:snapToGrid/>
        <w:textAlignment w:val="auto"/>
        <w:rPr>
          <w:rFonts w:hint="eastAsia" w:ascii="宋体" w:hAnsi="宋体" w:eastAsia="宋体" w:cs="宋体"/>
          <w:sz w:val="24"/>
          <w:szCs w:val="24"/>
        </w:rPr>
      </w:pPr>
      <w:r>
        <w:rPr>
          <w:rFonts w:hint="eastAsia" w:ascii="宋体" w:hAnsi="宋体" w:eastAsia="宋体" w:cs="宋体"/>
          <w:sz w:val="24"/>
          <w:szCs w:val="24"/>
        </w:rPr>
        <w:br w:type="page"/>
      </w:r>
    </w:p>
    <w:p w14:paraId="7DFE86DD">
      <w:pPr>
        <w:spacing w:before="240" w:beforeLines="100" w:after="120" w:afterLines="50" w:line="360" w:lineRule="auto"/>
        <w:jc w:val="center"/>
        <w:outlineLvl w:val="0"/>
        <w:rPr>
          <w:rFonts w:hint="eastAsia" w:ascii="宋体" w:hAnsi="宋体" w:eastAsia="宋体" w:cs="宋体"/>
          <w:spacing w:val="-3"/>
          <w:sz w:val="36"/>
          <w:szCs w:val="36"/>
          <w14:textOutline w14:w="6527" w14:cap="flat" w14:cmpd="sng" w14:algn="ctr">
            <w14:solidFill>
              <w14:srgbClr w14:val="000000"/>
            </w14:solidFill>
            <w14:prstDash w14:val="solid"/>
            <w14:miter w14:val="0"/>
          </w14:textOutline>
        </w:rPr>
      </w:pPr>
      <w:bookmarkStart w:id="36" w:name="_Toc10599"/>
      <w:bookmarkStart w:id="37" w:name="_Toc18439"/>
      <w:bookmarkStart w:id="38" w:name="_Toc25726"/>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二、</w:t>
      </w:r>
      <w:r>
        <w:rPr>
          <w:rFonts w:hint="eastAsia" w:ascii="宋体" w:hAnsi="宋体" w:eastAsia="宋体" w:cs="宋体"/>
          <w:spacing w:val="-3"/>
          <w:sz w:val="36"/>
          <w:szCs w:val="36"/>
          <w14:textOutline w14:w="6527" w14:cap="flat" w14:cmpd="sng" w14:algn="ctr">
            <w14:solidFill>
              <w14:srgbClr w14:val="000000"/>
            </w14:solidFill>
            <w14:prstDash w14:val="solid"/>
            <w14:miter w14:val="0"/>
          </w14:textOutline>
        </w:rPr>
        <w:t>投标人须知</w:t>
      </w:r>
      <w:bookmarkEnd w:id="36"/>
      <w:bookmarkEnd w:id="37"/>
      <w:bookmarkEnd w:id="38"/>
    </w:p>
    <w:p w14:paraId="4E742DF5">
      <w:pPr>
        <w:kinsoku/>
        <w:spacing w:line="360" w:lineRule="auto"/>
        <w:ind w:firstLine="439" w:firstLineChars="182"/>
        <w:rPr>
          <w:rFonts w:hint="eastAsia" w:ascii="宋体" w:hAnsi="宋体" w:eastAsia="宋体" w:cs="宋体"/>
          <w:b/>
          <w:bCs/>
          <w:sz w:val="24"/>
          <w:szCs w:val="24"/>
        </w:rPr>
      </w:pPr>
      <w:r>
        <w:rPr>
          <w:rFonts w:hint="eastAsia" w:ascii="宋体" w:hAnsi="宋体" w:eastAsia="宋体" w:cs="宋体"/>
          <w:b/>
          <w:bCs/>
          <w:sz w:val="24"/>
          <w:szCs w:val="24"/>
        </w:rPr>
        <w:t>一、投标要求</w:t>
      </w:r>
    </w:p>
    <w:p w14:paraId="14DF5E03">
      <w:pPr>
        <w:pStyle w:val="28"/>
        <w:numPr>
          <w:ilvl w:val="0"/>
          <w:numId w:val="2"/>
        </w:numPr>
        <w:kinsoku/>
        <w:spacing w:line="360" w:lineRule="auto"/>
        <w:ind w:left="0" w:firstLine="436" w:firstLineChars="182"/>
        <w:rPr>
          <w:rFonts w:hint="eastAsia" w:ascii="宋体" w:hAnsi="宋体" w:eastAsia="宋体" w:cs="宋体"/>
          <w:sz w:val="24"/>
          <w:szCs w:val="24"/>
        </w:rPr>
      </w:pPr>
      <w:r>
        <w:rPr>
          <w:rFonts w:hint="eastAsia" w:ascii="宋体" w:hAnsi="宋体" w:eastAsia="宋体" w:cs="宋体"/>
          <w:sz w:val="24"/>
          <w:szCs w:val="24"/>
        </w:rPr>
        <w:t>投标人应遵守国家有关招标投标法律、法规、部门规章和规范性文件。</w:t>
      </w:r>
    </w:p>
    <w:p w14:paraId="273D8D61">
      <w:pPr>
        <w:pStyle w:val="28"/>
        <w:numPr>
          <w:ilvl w:val="0"/>
          <w:numId w:val="2"/>
        </w:numPr>
        <w:kinsoku/>
        <w:spacing w:line="360" w:lineRule="auto"/>
        <w:ind w:left="0" w:firstLine="424" w:firstLineChars="177"/>
        <w:outlineLvl w:val="0"/>
        <w:rPr>
          <w:rFonts w:hint="eastAsia" w:ascii="宋体" w:hAnsi="宋体" w:eastAsia="宋体" w:cs="宋体"/>
          <w:sz w:val="24"/>
          <w:szCs w:val="24"/>
        </w:rPr>
      </w:pPr>
      <w:bookmarkStart w:id="39" w:name="_Toc9822"/>
      <w:bookmarkStart w:id="40" w:name="_Toc24156"/>
      <w:bookmarkStart w:id="41" w:name="_Toc15722"/>
      <w:bookmarkStart w:id="42" w:name="_Toc14879"/>
      <w:bookmarkStart w:id="43" w:name="_Toc21532"/>
      <w:bookmarkStart w:id="44" w:name="_Toc5448"/>
      <w:r>
        <w:rPr>
          <w:rFonts w:hint="eastAsia" w:ascii="宋体" w:hAnsi="宋体" w:eastAsia="宋体" w:cs="宋体"/>
          <w:sz w:val="24"/>
          <w:szCs w:val="24"/>
        </w:rPr>
        <w:t>投标资格（包括但不限于）：</w:t>
      </w:r>
      <w:bookmarkEnd w:id="39"/>
      <w:bookmarkEnd w:id="40"/>
      <w:bookmarkEnd w:id="41"/>
      <w:bookmarkEnd w:id="42"/>
      <w:bookmarkEnd w:id="43"/>
      <w:bookmarkEnd w:id="44"/>
    </w:p>
    <w:p w14:paraId="42113DFD">
      <w:pPr>
        <w:numPr>
          <w:ilvl w:val="0"/>
          <w:numId w:val="3"/>
        </w:numPr>
        <w:kinsoku/>
        <w:spacing w:line="360" w:lineRule="auto"/>
        <w:ind w:left="0" w:firstLine="480" w:firstLineChars="200"/>
        <w:rPr>
          <w:rFonts w:hint="eastAsia" w:ascii="宋体" w:hAnsi="宋体" w:eastAsia="宋体" w:cs="宋体"/>
          <w:color w:val="auto"/>
          <w:position w:val="5"/>
          <w:sz w:val="24"/>
          <w:szCs w:val="24"/>
        </w:rPr>
      </w:pPr>
      <w:r>
        <w:rPr>
          <w:rFonts w:hint="eastAsia" w:ascii="宋体" w:hAnsi="宋体" w:eastAsia="宋体" w:cs="宋体"/>
          <w:color w:val="auto"/>
          <w:position w:val="5"/>
          <w:sz w:val="24"/>
          <w:szCs w:val="24"/>
        </w:rPr>
        <w:t>投标人投标时应提供加盖其单位公章的营业执照副本、资质证书</w:t>
      </w:r>
      <w:r>
        <w:rPr>
          <w:rFonts w:hint="eastAsia" w:ascii="宋体" w:hAnsi="宋体" w:eastAsia="宋体" w:cs="宋体"/>
        </w:rPr>
        <w:fldChar w:fldCharType="begin"/>
      </w:r>
      <w:r>
        <w:rPr>
          <w:rFonts w:hint="eastAsia" w:ascii="宋体" w:hAnsi="宋体" w:eastAsia="宋体" w:cs="宋体"/>
        </w:rPr>
        <w:instrText xml:space="preserve"> HYPERLINK "https://baike.baidu.com/item/%E5%AE%89%E5%85%A8%E7%94%9F%E4%BA%A7%E8%AE%B8%E5%8F%AF%E8%AF%81" </w:instrText>
      </w:r>
      <w:r>
        <w:rPr>
          <w:rFonts w:hint="eastAsia" w:ascii="宋体" w:hAnsi="宋体" w:eastAsia="宋体" w:cs="宋体"/>
        </w:rPr>
        <w:fldChar w:fldCharType="separate"/>
      </w:r>
      <w:r>
        <w:rPr>
          <w:rFonts w:hint="eastAsia" w:ascii="宋体" w:hAnsi="宋体" w:eastAsia="宋体" w:cs="宋体"/>
          <w:color w:val="auto"/>
          <w:position w:val="5"/>
          <w:sz w:val="24"/>
          <w:szCs w:val="24"/>
        </w:rPr>
        <w:t>等证书复印件</w:t>
      </w:r>
      <w:r>
        <w:rPr>
          <w:rFonts w:hint="eastAsia" w:ascii="宋体" w:hAnsi="宋体" w:eastAsia="宋体" w:cs="宋体"/>
          <w:color w:val="auto"/>
          <w:position w:val="5"/>
          <w:sz w:val="24"/>
          <w:szCs w:val="24"/>
        </w:rPr>
        <w:fldChar w:fldCharType="end"/>
      </w:r>
      <w:r>
        <w:rPr>
          <w:rFonts w:hint="eastAsia" w:ascii="宋体" w:hAnsi="宋体" w:eastAsia="宋体" w:cs="宋体"/>
          <w:color w:val="auto"/>
          <w:position w:val="5"/>
          <w:sz w:val="24"/>
          <w:szCs w:val="24"/>
          <w:lang w:eastAsia="zh-CN"/>
        </w:rPr>
        <w:t>，</w:t>
      </w:r>
      <w:r>
        <w:rPr>
          <w:rFonts w:hint="eastAsia" w:ascii="宋体" w:hAnsi="宋体" w:eastAsia="宋体" w:cs="宋体"/>
          <w:color w:val="auto"/>
          <w:position w:val="5"/>
          <w:sz w:val="24"/>
          <w:szCs w:val="24"/>
        </w:rPr>
        <w:t>报价人必须在中国境内依法注册，具有法人资格、县备采购物资生产供应经验的生产商或代理商，并目均具有经过年审的法人营业执照</w:t>
      </w:r>
    </w:p>
    <w:p w14:paraId="10C0D7FD">
      <w:pPr>
        <w:numPr>
          <w:ilvl w:val="0"/>
          <w:numId w:val="3"/>
        </w:numPr>
        <w:tabs>
          <w:tab w:val="left" w:pos="620"/>
        </w:tabs>
        <w:kinsoku/>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报价人必须在中国境内依法注册，具有法人资格、县备采购物资生产供应经验的生产商或代理商，并目均具有经过年审的法人营业执照</w:t>
      </w:r>
    </w:p>
    <w:p w14:paraId="59159788">
      <w:pPr>
        <w:numPr>
          <w:ilvl w:val="0"/>
          <w:numId w:val="3"/>
        </w:numPr>
        <w:tabs>
          <w:tab w:val="left" w:pos="620"/>
        </w:tabs>
        <w:kinsoku/>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供货业绩</w:t>
      </w:r>
    </w:p>
    <w:p w14:paraId="5CD4CFAA">
      <w:pPr>
        <w:numPr>
          <w:ilvl w:val="0"/>
          <w:numId w:val="3"/>
        </w:numPr>
        <w:tabs>
          <w:tab w:val="left" w:pos="620"/>
        </w:tabs>
        <w:kinsoku/>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具有一定规模和良好的资金财务状况</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报价人注册资金不低于100万元(含)人民币。</w:t>
      </w:r>
    </w:p>
    <w:p w14:paraId="3A72AF06">
      <w:pPr>
        <w:numPr>
          <w:ilvl w:val="0"/>
          <w:numId w:val="3"/>
        </w:numPr>
        <w:tabs>
          <w:tab w:val="left" w:pos="620"/>
        </w:tabs>
        <w:kinsoku/>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履约信用要求:报价人必须具有良好的社会信营，最近三年内没有与骗取合同有关的犯罪或严重违法行为而引起的诉讼和仲裁</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近三年不曾在合同中严重违约;财产被接管或企业未处于禁止或取消投标状态。</w:t>
      </w:r>
    </w:p>
    <w:p w14:paraId="00AB5BD6">
      <w:pPr>
        <w:kinsoku/>
        <w:spacing w:line="360" w:lineRule="auto"/>
        <w:ind w:left="1" w:right="64" w:firstLine="424" w:firstLineChars="177"/>
        <w:rPr>
          <w:rFonts w:hint="eastAsia" w:ascii="宋体" w:hAnsi="宋体" w:eastAsia="宋体" w:cs="宋体"/>
          <w:sz w:val="24"/>
          <w:szCs w:val="24"/>
        </w:rPr>
      </w:pPr>
      <w:r>
        <w:rPr>
          <w:rFonts w:hint="eastAsia" w:ascii="宋体" w:hAnsi="宋体" w:eastAsia="宋体" w:cs="宋体"/>
          <w:sz w:val="24"/>
          <w:szCs w:val="24"/>
        </w:rPr>
        <w:t>3.投标费用：投标人应承担投标过程中所涉及的一切费用，不管投标结果如何，招标人对上述费用不负任何责任。</w:t>
      </w:r>
    </w:p>
    <w:p w14:paraId="37DCA467">
      <w:pPr>
        <w:kinsoku/>
        <w:spacing w:line="360" w:lineRule="auto"/>
        <w:ind w:firstLine="482" w:firstLineChars="200"/>
        <w:outlineLvl w:val="0"/>
        <w:rPr>
          <w:rFonts w:hint="eastAsia" w:ascii="宋体" w:hAnsi="宋体" w:eastAsia="宋体" w:cs="宋体"/>
          <w:b/>
          <w:bCs/>
          <w:sz w:val="24"/>
          <w:szCs w:val="24"/>
        </w:rPr>
      </w:pPr>
      <w:bookmarkStart w:id="45" w:name="_Toc9930"/>
      <w:bookmarkStart w:id="46" w:name="_Toc23688"/>
      <w:bookmarkStart w:id="47" w:name="_Toc15847"/>
      <w:bookmarkStart w:id="48" w:name="_Toc16770"/>
      <w:bookmarkStart w:id="49" w:name="_Toc12309"/>
      <w:r>
        <w:rPr>
          <w:rFonts w:hint="eastAsia" w:ascii="宋体" w:hAnsi="宋体" w:eastAsia="宋体" w:cs="宋体"/>
          <w:b/>
          <w:bCs/>
          <w:sz w:val="24"/>
          <w:szCs w:val="24"/>
        </w:rPr>
        <w:t>二、投标报价</w:t>
      </w:r>
      <w:bookmarkEnd w:id="45"/>
      <w:bookmarkEnd w:id="46"/>
      <w:bookmarkEnd w:id="47"/>
      <w:bookmarkEnd w:id="48"/>
      <w:bookmarkEnd w:id="49"/>
    </w:p>
    <w:p w14:paraId="4C168E00">
      <w:pPr>
        <w:pStyle w:val="28"/>
        <w:numPr>
          <w:ilvl w:val="0"/>
          <w:numId w:val="4"/>
        </w:numPr>
        <w:kinsoku/>
        <w:spacing w:line="360" w:lineRule="auto"/>
        <w:ind w:left="0" w:firstLine="424" w:firstLineChars="177"/>
        <w:rPr>
          <w:rFonts w:hint="eastAsia" w:ascii="宋体" w:hAnsi="宋体" w:eastAsia="宋体" w:cs="宋体"/>
          <w:sz w:val="24"/>
          <w:szCs w:val="24"/>
        </w:rPr>
      </w:pPr>
      <w:r>
        <w:rPr>
          <w:rFonts w:hint="eastAsia" w:ascii="宋体" w:hAnsi="宋体" w:eastAsia="宋体" w:cs="宋体"/>
          <w:sz w:val="24"/>
          <w:szCs w:val="24"/>
        </w:rPr>
        <w:t>投标报价要求按招标文件要求报价，并按招标文件中所附《投标函》《投标报价表》格式填写。</w:t>
      </w:r>
      <w:bookmarkStart w:id="50" w:name="_Toc4816"/>
    </w:p>
    <w:p w14:paraId="48888CF1">
      <w:pPr>
        <w:pStyle w:val="28"/>
        <w:numPr>
          <w:ilvl w:val="0"/>
          <w:numId w:val="4"/>
        </w:numPr>
        <w:kinsoku/>
        <w:spacing w:line="360" w:lineRule="auto"/>
        <w:ind w:left="0" w:firstLine="439" w:firstLineChars="183"/>
        <w:rPr>
          <w:rFonts w:hint="eastAsia" w:ascii="宋体" w:hAnsi="宋体" w:eastAsia="宋体" w:cs="宋体"/>
          <w:sz w:val="24"/>
          <w:szCs w:val="24"/>
        </w:rPr>
      </w:pPr>
      <w:r>
        <w:rPr>
          <w:rFonts w:hint="eastAsia" w:ascii="宋体" w:hAnsi="宋体" w:eastAsia="宋体" w:cs="宋体"/>
          <w:sz w:val="24"/>
          <w:szCs w:val="24"/>
        </w:rPr>
        <w:t>所有投标均以人民币报价。</w:t>
      </w:r>
      <w:bookmarkEnd w:id="50"/>
    </w:p>
    <w:p w14:paraId="7C07BA43">
      <w:pPr>
        <w:pStyle w:val="28"/>
        <w:numPr>
          <w:ilvl w:val="0"/>
          <w:numId w:val="4"/>
        </w:numPr>
        <w:kinsoku/>
        <w:spacing w:line="360" w:lineRule="auto"/>
        <w:ind w:left="0" w:firstLine="424" w:firstLineChars="177"/>
        <w:rPr>
          <w:rFonts w:hint="eastAsia" w:ascii="宋体" w:hAnsi="宋体" w:eastAsia="宋体" w:cs="宋体"/>
          <w:sz w:val="24"/>
          <w:szCs w:val="24"/>
        </w:rPr>
      </w:pPr>
      <w:r>
        <w:rPr>
          <w:rFonts w:hint="eastAsia" w:ascii="宋体" w:hAnsi="宋体" w:eastAsia="宋体" w:cs="宋体"/>
          <w:sz w:val="24"/>
          <w:szCs w:val="24"/>
        </w:rPr>
        <w:t>投标人所报单价在本招标文件项下的合同履行期间不能因市场变化因素而变动。</w:t>
      </w:r>
    </w:p>
    <w:p w14:paraId="159B2FC1">
      <w:pPr>
        <w:pStyle w:val="28"/>
        <w:numPr>
          <w:ilvl w:val="0"/>
          <w:numId w:val="4"/>
        </w:numPr>
        <w:kinsoku/>
        <w:spacing w:line="360" w:lineRule="auto"/>
        <w:ind w:left="0" w:firstLine="424" w:firstLineChars="177"/>
        <w:rPr>
          <w:rFonts w:hint="eastAsia" w:ascii="宋体" w:hAnsi="宋体" w:eastAsia="宋体" w:cs="宋体"/>
          <w:sz w:val="24"/>
          <w:szCs w:val="24"/>
        </w:rPr>
      </w:pPr>
      <w:r>
        <w:rPr>
          <w:rFonts w:hint="eastAsia" w:ascii="宋体" w:hAnsi="宋体" w:eastAsia="宋体" w:cs="宋体"/>
          <w:sz w:val="24"/>
          <w:szCs w:val="24"/>
        </w:rPr>
        <w:t>投标人所报的各种价格均为含税到招标人指定地点交货价（包含产品</w:t>
      </w:r>
      <w:r>
        <w:rPr>
          <w:rFonts w:hint="eastAsia" w:ascii="宋体" w:hAnsi="宋体" w:eastAsia="宋体" w:cs="宋体"/>
          <w:sz w:val="24"/>
          <w:szCs w:val="24"/>
          <w:lang w:val="en-US" w:eastAsia="zh-CN"/>
        </w:rPr>
        <w:t>裁切、</w:t>
      </w:r>
      <w:r>
        <w:rPr>
          <w:rFonts w:hint="eastAsia" w:ascii="宋体" w:hAnsi="宋体" w:eastAsia="宋体" w:cs="宋体"/>
          <w:sz w:val="24"/>
          <w:szCs w:val="24"/>
        </w:rPr>
        <w:t>包装、运输、装卸等相关费用）；投标报价以元为单位，精确到小数点后两位数，超出两位按四舍五入计；包装物投标人不回收，费用由投标人负担。</w:t>
      </w:r>
    </w:p>
    <w:p w14:paraId="74E9DE3D">
      <w:pPr>
        <w:pStyle w:val="28"/>
        <w:numPr>
          <w:ilvl w:val="0"/>
          <w:numId w:val="4"/>
        </w:numPr>
        <w:kinsoku/>
        <w:topLinePunct/>
        <w:autoSpaceDN/>
        <w:spacing w:line="360" w:lineRule="auto"/>
        <w:ind w:left="0" w:firstLine="424" w:firstLineChars="177"/>
        <w:rPr>
          <w:rFonts w:hint="eastAsia" w:ascii="宋体" w:hAnsi="宋体" w:eastAsia="宋体" w:cs="宋体"/>
          <w:sz w:val="24"/>
          <w:szCs w:val="24"/>
        </w:rPr>
      </w:pPr>
      <w:r>
        <w:rPr>
          <w:rFonts w:hint="eastAsia" w:ascii="宋体" w:hAnsi="宋体" w:eastAsia="宋体" w:cs="宋体"/>
          <w:sz w:val="24"/>
          <w:szCs w:val="24"/>
        </w:rPr>
        <w:t>招标人有权重视各投标人全部报价的合理性。所有投标人不能相互串通、哄抬报价，若有发现，招标人有权宣布其投标无效。</w:t>
      </w:r>
    </w:p>
    <w:p w14:paraId="3C23245B">
      <w:pPr>
        <w:pStyle w:val="28"/>
        <w:numPr>
          <w:ilvl w:val="0"/>
          <w:numId w:val="4"/>
        </w:numPr>
        <w:kinsoku/>
        <w:topLinePunct/>
        <w:autoSpaceDN/>
        <w:spacing w:line="360" w:lineRule="auto"/>
        <w:ind w:left="0" w:firstLine="424" w:firstLineChars="177"/>
        <w:rPr>
          <w:rFonts w:hint="eastAsia" w:ascii="宋体" w:hAnsi="宋体" w:eastAsia="宋体" w:cs="宋体"/>
          <w:sz w:val="24"/>
          <w:szCs w:val="24"/>
        </w:rPr>
      </w:pPr>
      <w:r>
        <w:rPr>
          <w:rFonts w:hint="eastAsia" w:ascii="宋体" w:hAnsi="宋体" w:eastAsia="宋体" w:cs="宋体"/>
          <w:sz w:val="24"/>
          <w:szCs w:val="24"/>
        </w:rPr>
        <w:t>计量单位和计量方法:</w:t>
      </w:r>
    </w:p>
    <w:p w14:paraId="2504397D">
      <w:pPr>
        <w:pStyle w:val="28"/>
        <w:numPr>
          <w:ilvl w:val="0"/>
          <w:numId w:val="0"/>
        </w:numPr>
        <w:kinsoku/>
        <w:topLinePunct/>
        <w:autoSpaceDN/>
        <w:spacing w:line="360" w:lineRule="auto"/>
        <w:ind w:leftChars="177"/>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计量单位采用国际计量单位“吨”</w:t>
      </w:r>
    </w:p>
    <w:p w14:paraId="1607D841">
      <w:pPr>
        <w:pStyle w:val="28"/>
        <w:numPr>
          <w:ilvl w:val="0"/>
          <w:numId w:val="0"/>
        </w:numPr>
        <w:kinsoku/>
        <w:topLinePunct/>
        <w:autoSpaceDN/>
        <w:spacing w:line="360" w:lineRule="auto"/>
        <w:ind w:leftChars="177"/>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计量方法:过磅称量，数量以实际进场验收合格数量为准，甲、乙双方经办人签字的现场验收入库单据作为数量结算依据，乙方指定专人与甲方进行单据核对，并按合同进场批次确定无误后甲方出具结算单，双方签字盖章后作为付款依据。</w:t>
      </w:r>
    </w:p>
    <w:p w14:paraId="76E6EFCF">
      <w:pPr>
        <w:pStyle w:val="28"/>
        <w:numPr>
          <w:ilvl w:val="0"/>
          <w:numId w:val="4"/>
        </w:numPr>
        <w:kinsoku/>
        <w:topLinePunct/>
        <w:autoSpaceDN/>
        <w:spacing w:line="360" w:lineRule="auto"/>
        <w:ind w:left="0" w:firstLine="424" w:firstLineChars="177"/>
        <w:rPr>
          <w:rFonts w:hint="eastAsia" w:ascii="宋体" w:hAnsi="宋体" w:eastAsia="宋体" w:cs="宋体"/>
          <w:sz w:val="24"/>
          <w:szCs w:val="24"/>
        </w:rPr>
      </w:pPr>
      <w:r>
        <w:rPr>
          <w:rFonts w:hint="eastAsia" w:ascii="宋体" w:hAnsi="宋体" w:eastAsia="宋体" w:cs="宋体"/>
          <w:sz w:val="24"/>
          <w:szCs w:val="24"/>
        </w:rPr>
        <w:t>单价约定:结算方式及结算价格:钢材单价采用浮动价格结算，结算货款=结算数量x综合单价。综合单价=比较价(订货当日“我的钢铁网”(</w:t>
      </w:r>
      <w:r>
        <w:rPr>
          <w:rFonts w:hint="eastAsia" w:ascii="宋体" w:hAnsi="宋体" w:eastAsia="宋体" w:cs="宋体"/>
          <w:sz w:val="24"/>
          <w:szCs w:val="24"/>
          <w:lang w:val="en-US" w:eastAsia="zh-CN"/>
        </w:rPr>
        <w:t>上海</w:t>
      </w:r>
      <w:r>
        <w:rPr>
          <w:rFonts w:hint="eastAsia" w:ascii="宋体" w:hAnsi="宋体" w:eastAsia="宋体" w:cs="宋体"/>
          <w:sz w:val="24"/>
          <w:szCs w:val="24"/>
        </w:rPr>
        <w:t>市)首次公布的相对应品牌的指导价)+固定差额，交货日为国家法定节假日的(包括周末)，则采取前序工作日信息价确认</w:t>
      </w:r>
      <w:r>
        <w:rPr>
          <w:rFonts w:hint="eastAsia" w:ascii="宋体" w:hAnsi="宋体" w:eastAsia="宋体" w:cs="宋体"/>
          <w:sz w:val="24"/>
          <w:szCs w:val="24"/>
          <w:lang w:val="en-US" w:eastAsia="zh-CN"/>
        </w:rPr>
        <w:t>单</w:t>
      </w:r>
      <w:r>
        <w:rPr>
          <w:rFonts w:hint="eastAsia" w:ascii="宋体" w:hAnsi="宋体" w:eastAsia="宋体" w:cs="宋体"/>
          <w:sz w:val="24"/>
          <w:szCs w:val="24"/>
        </w:rPr>
        <w:t>价。</w:t>
      </w:r>
    </w:p>
    <w:p w14:paraId="00D56075">
      <w:pPr>
        <w:pStyle w:val="28"/>
        <w:numPr>
          <w:ilvl w:val="0"/>
          <w:numId w:val="4"/>
        </w:numPr>
        <w:kinsoku/>
        <w:topLinePunct/>
        <w:autoSpaceDN/>
        <w:spacing w:line="360" w:lineRule="auto"/>
        <w:ind w:left="0" w:firstLine="424" w:firstLineChars="177"/>
        <w:rPr>
          <w:rFonts w:hint="eastAsia" w:ascii="宋体" w:hAnsi="宋体" w:eastAsia="宋体" w:cs="宋体"/>
          <w:sz w:val="24"/>
          <w:szCs w:val="24"/>
        </w:rPr>
      </w:pPr>
      <w:r>
        <w:rPr>
          <w:rFonts w:hint="eastAsia" w:ascii="宋体" w:hAnsi="宋体" w:eastAsia="宋体" w:cs="宋体"/>
          <w:sz w:val="24"/>
          <w:szCs w:val="24"/>
        </w:rPr>
        <w:t>基准价:以</w:t>
      </w:r>
      <w:r>
        <w:rPr>
          <w:rFonts w:hint="eastAsia" w:ascii="宋体" w:hAnsi="宋体" w:eastAsia="宋体" w:cs="宋体"/>
          <w:sz w:val="24"/>
          <w:szCs w:val="24"/>
          <w:lang w:val="en-US" w:eastAsia="zh-CN"/>
        </w:rPr>
        <w:t>开标当日</w:t>
      </w:r>
      <w:r>
        <w:rPr>
          <w:rFonts w:hint="eastAsia" w:ascii="宋体" w:hAnsi="宋体" w:eastAsia="宋体" w:cs="宋体"/>
          <w:sz w:val="24"/>
          <w:szCs w:val="24"/>
        </w:rPr>
        <w:t>“我的钢铁网”(www.mysteel.com)首次公布的</w:t>
      </w:r>
      <w:r>
        <w:rPr>
          <w:rFonts w:hint="eastAsia" w:ascii="宋体" w:hAnsi="宋体" w:eastAsia="宋体" w:cs="宋体"/>
          <w:sz w:val="24"/>
          <w:szCs w:val="24"/>
          <w:lang w:val="en-US" w:eastAsia="zh-CN"/>
        </w:rPr>
        <w:t>上海市</w:t>
      </w:r>
      <w:r>
        <w:rPr>
          <w:rFonts w:hint="eastAsia" w:ascii="宋体" w:hAnsi="宋体" w:eastAsia="宋体" w:cs="宋体"/>
          <w:sz w:val="24"/>
          <w:szCs w:val="24"/>
        </w:rPr>
        <w:t>市场钢结构钢材价格行情中所公布的</w:t>
      </w:r>
      <w:r>
        <w:rPr>
          <w:rFonts w:hint="eastAsia" w:ascii="宋体" w:hAnsi="宋体" w:eastAsia="宋体" w:cs="宋体"/>
          <w:sz w:val="24"/>
          <w:szCs w:val="24"/>
          <w:lang w:val="en-US" w:eastAsia="zh-CN"/>
        </w:rPr>
        <w:t>宝山钢铁</w:t>
      </w:r>
      <w:r>
        <w:rPr>
          <w:rFonts w:hint="eastAsia" w:ascii="宋体" w:hAnsi="宋体" w:eastAsia="宋体" w:cs="宋体"/>
          <w:sz w:val="24"/>
          <w:szCs w:val="24"/>
        </w:rPr>
        <w:t>钢厂品牌对应各规格型号钢结构钢材的信息价为格同规格对应的基准价。如果网站一天多次公布价格，以第一次公布的价格为准。</w:t>
      </w:r>
    </w:p>
    <w:p w14:paraId="401C14A8">
      <w:pPr>
        <w:pStyle w:val="28"/>
        <w:numPr>
          <w:ilvl w:val="0"/>
          <w:numId w:val="4"/>
        </w:numPr>
        <w:kinsoku/>
        <w:topLinePunct/>
        <w:autoSpaceDN/>
        <w:spacing w:line="360" w:lineRule="auto"/>
        <w:ind w:left="0" w:firstLine="424" w:firstLineChars="177"/>
        <w:rPr>
          <w:rFonts w:hint="eastAsia" w:ascii="宋体" w:hAnsi="宋体" w:eastAsia="宋体" w:cs="宋体"/>
          <w:sz w:val="24"/>
          <w:szCs w:val="24"/>
        </w:rPr>
      </w:pPr>
      <w:r>
        <w:rPr>
          <w:rFonts w:hint="eastAsia" w:ascii="宋体" w:hAnsi="宋体" w:eastAsia="宋体" w:cs="宋体"/>
          <w:sz w:val="24"/>
          <w:szCs w:val="24"/>
        </w:rPr>
        <w:t>比较价:以订货当日“我的钢铁网”(www.mysteel.com)首次公布的</w:t>
      </w:r>
      <w:r>
        <w:rPr>
          <w:rFonts w:hint="eastAsia" w:ascii="宋体" w:hAnsi="宋体" w:eastAsia="宋体" w:cs="宋体"/>
          <w:sz w:val="24"/>
          <w:szCs w:val="24"/>
          <w:lang w:val="en-US" w:eastAsia="zh-CN"/>
        </w:rPr>
        <w:t>上海市</w:t>
      </w:r>
      <w:r>
        <w:rPr>
          <w:rFonts w:hint="eastAsia" w:ascii="宋体" w:hAnsi="宋体" w:eastAsia="宋体" w:cs="宋体"/>
          <w:sz w:val="24"/>
          <w:szCs w:val="24"/>
        </w:rPr>
        <w:t>市场钢结构钢材价格行情中对应钢厂/产地所对应规格型号钢结构银材的信息价。订货日为国家法定节假日的(包括周末)，则采取前序工作日信息</w:t>
      </w:r>
      <w:r>
        <w:rPr>
          <w:rFonts w:hint="eastAsia" w:ascii="宋体" w:hAnsi="宋体" w:eastAsia="宋体" w:cs="宋体"/>
          <w:sz w:val="24"/>
          <w:szCs w:val="24"/>
          <w:lang w:val="en-US" w:eastAsia="zh-CN"/>
        </w:rPr>
        <w:t>价</w:t>
      </w:r>
      <w:r>
        <w:rPr>
          <w:rFonts w:hint="eastAsia" w:ascii="宋体" w:hAnsi="宋体" w:eastAsia="宋体" w:cs="宋体"/>
          <w:sz w:val="24"/>
          <w:szCs w:val="24"/>
        </w:rPr>
        <w:t>确认单价结算</w:t>
      </w:r>
      <w:r>
        <w:rPr>
          <w:rFonts w:hint="eastAsia" w:ascii="宋体" w:hAnsi="宋体" w:eastAsia="宋体" w:cs="宋体"/>
          <w:sz w:val="24"/>
          <w:szCs w:val="24"/>
          <w:lang w:eastAsia="zh-CN"/>
        </w:rPr>
        <w:t>。【</w:t>
      </w:r>
      <w:r>
        <w:rPr>
          <w:rFonts w:hint="eastAsia" w:ascii="宋体" w:hAnsi="宋体" w:eastAsia="宋体" w:cs="宋体"/>
          <w:sz w:val="24"/>
          <w:szCs w:val="24"/>
        </w:rPr>
        <w:t>注:特殊情况下“我的钢铁网”中没有公布钢厂/产地所对应规格型号钢结构钢材的价格则按照已公布的(日照营口、山钢湘钢、南钢、汉冶、唐钢、辽宁鞍钢、江苏沙钢、江西萍钢)同种规格型号钢结构钢材的信息价的算术平均值为比较价</w:t>
      </w:r>
      <w:r>
        <w:rPr>
          <w:rFonts w:hint="eastAsia" w:ascii="宋体" w:hAnsi="宋体" w:eastAsia="宋体" w:cs="宋体"/>
          <w:sz w:val="24"/>
          <w:szCs w:val="24"/>
          <w:lang w:eastAsia="zh-CN"/>
        </w:rPr>
        <w:t>。】</w:t>
      </w:r>
    </w:p>
    <w:p w14:paraId="1FDDFF62">
      <w:pPr>
        <w:pStyle w:val="28"/>
        <w:numPr>
          <w:ilvl w:val="0"/>
          <w:numId w:val="4"/>
        </w:numPr>
        <w:kinsoku/>
        <w:topLinePunct/>
        <w:autoSpaceDN/>
        <w:spacing w:line="360" w:lineRule="auto"/>
        <w:ind w:left="0" w:firstLine="424" w:firstLineChars="177"/>
        <w:rPr>
          <w:rFonts w:hint="eastAsia" w:ascii="宋体" w:hAnsi="宋体" w:eastAsia="宋体" w:cs="宋体"/>
          <w:sz w:val="24"/>
          <w:szCs w:val="24"/>
        </w:rPr>
      </w:pPr>
      <w:r>
        <w:rPr>
          <w:rFonts w:hint="eastAsia" w:ascii="宋体" w:hAnsi="宋体" w:eastAsia="宋体" w:cs="宋体"/>
          <w:sz w:val="24"/>
          <w:szCs w:val="24"/>
        </w:rPr>
        <w:t>固定差额:供应商根据自身情况进行自由报价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报价包括货物运输、包装、保险、验收等费用</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以10元/吨为升降基准幅度，降幅最高或升幅最低。</w:t>
      </w:r>
    </w:p>
    <w:p w14:paraId="27ACBBED">
      <w:pPr>
        <w:kinsoku/>
        <w:spacing w:line="360" w:lineRule="auto"/>
        <w:ind w:firstLine="482" w:firstLineChars="200"/>
        <w:outlineLvl w:val="0"/>
        <w:rPr>
          <w:rFonts w:hint="eastAsia" w:ascii="宋体" w:hAnsi="宋体" w:eastAsia="宋体" w:cs="宋体"/>
          <w:b/>
          <w:bCs/>
          <w:sz w:val="24"/>
          <w:szCs w:val="24"/>
        </w:rPr>
      </w:pPr>
      <w:bookmarkStart w:id="51" w:name="_Toc14547"/>
      <w:bookmarkStart w:id="52" w:name="_Toc24896"/>
      <w:bookmarkStart w:id="53" w:name="_Toc13329"/>
      <w:bookmarkStart w:id="54" w:name="_Toc2348"/>
      <w:bookmarkStart w:id="55" w:name="_Toc19945"/>
      <w:r>
        <w:rPr>
          <w:rFonts w:hint="eastAsia" w:ascii="宋体" w:hAnsi="宋体" w:eastAsia="宋体" w:cs="宋体"/>
          <w:b/>
          <w:bCs/>
          <w:sz w:val="24"/>
          <w:szCs w:val="24"/>
        </w:rPr>
        <w:t>三、投标文件</w:t>
      </w:r>
      <w:bookmarkEnd w:id="51"/>
      <w:bookmarkEnd w:id="52"/>
      <w:bookmarkEnd w:id="53"/>
      <w:bookmarkEnd w:id="54"/>
      <w:bookmarkEnd w:id="55"/>
    </w:p>
    <w:p w14:paraId="14574961">
      <w:pPr>
        <w:pStyle w:val="28"/>
        <w:numPr>
          <w:ilvl w:val="0"/>
          <w:numId w:val="5"/>
        </w:numPr>
        <w:kinsoku/>
        <w:spacing w:line="360" w:lineRule="auto"/>
        <w:ind w:left="0" w:firstLine="480"/>
        <w:outlineLvl w:val="0"/>
        <w:rPr>
          <w:rFonts w:hint="eastAsia" w:ascii="宋体" w:hAnsi="宋体" w:eastAsia="宋体" w:cs="宋体"/>
          <w:sz w:val="24"/>
          <w:szCs w:val="24"/>
        </w:rPr>
      </w:pPr>
      <w:bookmarkStart w:id="56" w:name="_Toc2231"/>
      <w:bookmarkStart w:id="57" w:name="_Toc7457"/>
      <w:bookmarkStart w:id="58" w:name="_Toc30571"/>
      <w:bookmarkStart w:id="59" w:name="_Toc29954"/>
      <w:bookmarkStart w:id="60" w:name="_Toc30156"/>
      <w:bookmarkStart w:id="61" w:name="_Toc11398"/>
      <w:r>
        <w:rPr>
          <w:rFonts w:hint="eastAsia" w:ascii="宋体" w:hAnsi="宋体" w:eastAsia="宋体" w:cs="宋体"/>
          <w:sz w:val="24"/>
          <w:szCs w:val="24"/>
        </w:rPr>
        <w:t>投标人应填写其单位名称全称。</w:t>
      </w:r>
      <w:bookmarkEnd w:id="56"/>
      <w:bookmarkEnd w:id="57"/>
      <w:bookmarkEnd w:id="58"/>
      <w:bookmarkEnd w:id="59"/>
      <w:bookmarkEnd w:id="60"/>
      <w:bookmarkEnd w:id="61"/>
    </w:p>
    <w:p w14:paraId="0BD17F9C">
      <w:pPr>
        <w:pStyle w:val="28"/>
        <w:numPr>
          <w:ilvl w:val="0"/>
          <w:numId w:val="5"/>
        </w:numPr>
        <w:kinsoku/>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投标文件包括《投标函》《投标报价表》《投标人产品质量承诺函》和资格证明文件。资格证明文件包含上述投标资格要求中的所有资料。</w:t>
      </w:r>
    </w:p>
    <w:p w14:paraId="5896FAD0">
      <w:pPr>
        <w:pStyle w:val="28"/>
        <w:widowControl w:val="0"/>
        <w:numPr>
          <w:ilvl w:val="0"/>
          <w:numId w:val="5"/>
        </w:numPr>
        <w:kinsoku/>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《投标函》《投标报价表》《投标人产品质量承诺函》须加盖投标人公章，由其法定代表人或其委托代理人亲笔签字。</w:t>
      </w:r>
    </w:p>
    <w:p w14:paraId="07A4899F">
      <w:pPr>
        <w:pStyle w:val="28"/>
        <w:widowControl w:val="0"/>
        <w:numPr>
          <w:ilvl w:val="0"/>
          <w:numId w:val="5"/>
        </w:numPr>
        <w:kinsoku/>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自开标之日起60天内，投标文件应保持有效。有效期短于前述规定期限的投标，将被拒绝。</w:t>
      </w:r>
    </w:p>
    <w:p w14:paraId="4B82661E">
      <w:pPr>
        <w:kinsoku/>
        <w:spacing w:line="360" w:lineRule="auto"/>
        <w:ind w:firstLine="482" w:firstLineChars="200"/>
        <w:outlineLvl w:val="0"/>
        <w:rPr>
          <w:rFonts w:hint="eastAsia" w:ascii="宋体" w:hAnsi="宋体" w:eastAsia="宋体" w:cs="宋体"/>
          <w:b/>
          <w:bCs/>
          <w:sz w:val="24"/>
          <w:szCs w:val="24"/>
        </w:rPr>
      </w:pPr>
      <w:bookmarkStart w:id="62" w:name="_Toc29111"/>
      <w:bookmarkStart w:id="63" w:name="_Toc23458"/>
      <w:bookmarkStart w:id="64" w:name="_Toc18677"/>
      <w:bookmarkStart w:id="65" w:name="_Toc14760"/>
      <w:bookmarkStart w:id="66" w:name="_Toc8"/>
      <w:r>
        <w:rPr>
          <w:rFonts w:hint="eastAsia" w:ascii="宋体" w:hAnsi="宋体" w:eastAsia="宋体" w:cs="宋体"/>
          <w:b/>
          <w:bCs/>
          <w:sz w:val="24"/>
          <w:szCs w:val="24"/>
        </w:rPr>
        <w:t>四、开标、评标、定标</w:t>
      </w:r>
      <w:bookmarkEnd w:id="62"/>
      <w:bookmarkEnd w:id="63"/>
      <w:bookmarkEnd w:id="64"/>
      <w:bookmarkEnd w:id="65"/>
      <w:bookmarkEnd w:id="66"/>
    </w:p>
    <w:p w14:paraId="0FF2611A">
      <w:pPr>
        <w:pStyle w:val="28"/>
        <w:numPr>
          <w:ilvl w:val="0"/>
          <w:numId w:val="6"/>
        </w:numPr>
        <w:kinsoku/>
        <w:spacing w:line="360" w:lineRule="auto"/>
        <w:ind w:left="0" w:firstLine="480"/>
        <w:outlineLvl w:val="0"/>
        <w:rPr>
          <w:rFonts w:hint="eastAsia" w:ascii="宋体" w:hAnsi="宋体" w:eastAsia="宋体" w:cs="宋体"/>
          <w:sz w:val="24"/>
          <w:szCs w:val="24"/>
        </w:rPr>
      </w:pPr>
      <w:bookmarkStart w:id="67" w:name="_Toc3331"/>
      <w:bookmarkStart w:id="68" w:name="_Toc5695"/>
      <w:bookmarkStart w:id="69" w:name="_Toc998"/>
      <w:bookmarkStart w:id="70" w:name="_Toc31780"/>
      <w:bookmarkStart w:id="71" w:name="_Toc20255"/>
      <w:bookmarkStart w:id="72" w:name="_Toc29386"/>
      <w:r>
        <w:rPr>
          <w:rFonts w:hint="eastAsia" w:ascii="宋体" w:hAnsi="宋体" w:eastAsia="宋体" w:cs="宋体"/>
          <w:sz w:val="24"/>
          <w:szCs w:val="24"/>
        </w:rPr>
        <w:t>开标时，将按照招标人有关招投标规定执行。</w:t>
      </w:r>
      <w:bookmarkEnd w:id="67"/>
      <w:bookmarkEnd w:id="68"/>
      <w:bookmarkEnd w:id="69"/>
      <w:bookmarkEnd w:id="70"/>
      <w:bookmarkEnd w:id="71"/>
      <w:bookmarkEnd w:id="72"/>
    </w:p>
    <w:p w14:paraId="724C8222">
      <w:pPr>
        <w:pStyle w:val="28"/>
        <w:numPr>
          <w:ilvl w:val="0"/>
          <w:numId w:val="6"/>
        </w:numPr>
        <w:kinsoku/>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开标后由招标人组建的评标委员会进行评标，以经评审的</w:t>
      </w:r>
      <w:r>
        <w:rPr>
          <w:rFonts w:hint="eastAsia" w:ascii="宋体" w:hAnsi="宋体" w:eastAsia="宋体" w:cs="宋体"/>
          <w:sz w:val="24"/>
          <w:szCs w:val="24"/>
          <w:lang w:val="en-US" w:eastAsia="zh-CN"/>
        </w:rPr>
        <w:t>综合</w:t>
      </w:r>
      <w:r>
        <w:rPr>
          <w:rFonts w:hint="eastAsia" w:ascii="宋体" w:hAnsi="宋体" w:eastAsia="宋体" w:cs="宋体"/>
          <w:sz w:val="24"/>
          <w:szCs w:val="24"/>
        </w:rPr>
        <w:t>评标价法确定中标人。</w:t>
      </w:r>
    </w:p>
    <w:p w14:paraId="11A884E5">
      <w:pPr>
        <w:pStyle w:val="28"/>
        <w:numPr>
          <w:ilvl w:val="0"/>
          <w:numId w:val="6"/>
        </w:numPr>
        <w:kinsoku/>
        <w:spacing w:line="360" w:lineRule="auto"/>
        <w:ind w:left="0" w:firstLine="480"/>
        <w:outlineLvl w:val="0"/>
        <w:rPr>
          <w:rFonts w:hint="eastAsia" w:ascii="宋体" w:hAnsi="宋体" w:eastAsia="宋体" w:cs="宋体"/>
          <w:sz w:val="24"/>
          <w:szCs w:val="24"/>
        </w:rPr>
      </w:pPr>
      <w:bookmarkStart w:id="73" w:name="_Toc18886"/>
      <w:bookmarkStart w:id="74" w:name="_Toc6426"/>
      <w:bookmarkStart w:id="75" w:name="_Toc14086"/>
      <w:bookmarkStart w:id="76" w:name="_Toc24129"/>
      <w:bookmarkStart w:id="77" w:name="_Toc26371"/>
      <w:bookmarkStart w:id="78" w:name="_Toc12"/>
      <w:r>
        <w:rPr>
          <w:rFonts w:hint="eastAsia" w:ascii="宋体" w:hAnsi="宋体" w:eastAsia="宋体" w:cs="宋体"/>
          <w:sz w:val="24"/>
          <w:szCs w:val="24"/>
        </w:rPr>
        <w:t>招标人不对未中标的投标人作任何解释，不退还投标文件。</w:t>
      </w:r>
      <w:bookmarkEnd w:id="73"/>
      <w:bookmarkEnd w:id="74"/>
      <w:bookmarkEnd w:id="75"/>
      <w:bookmarkEnd w:id="76"/>
      <w:bookmarkEnd w:id="77"/>
      <w:bookmarkEnd w:id="78"/>
    </w:p>
    <w:p w14:paraId="17B3E48C">
      <w:pPr>
        <w:kinsoku/>
        <w:spacing w:line="360" w:lineRule="auto"/>
        <w:ind w:firstLine="482" w:firstLineChars="200"/>
        <w:outlineLvl w:val="0"/>
        <w:rPr>
          <w:rFonts w:hint="eastAsia" w:ascii="宋体" w:hAnsi="宋体" w:eastAsia="宋体" w:cs="宋体"/>
          <w:b/>
          <w:bCs/>
          <w:sz w:val="24"/>
          <w:szCs w:val="24"/>
        </w:rPr>
      </w:pPr>
      <w:bookmarkStart w:id="79" w:name="_Toc29662"/>
      <w:bookmarkStart w:id="80" w:name="_Toc32748"/>
      <w:bookmarkStart w:id="81" w:name="_Toc25649"/>
      <w:bookmarkStart w:id="82" w:name="_Toc6326"/>
      <w:bookmarkStart w:id="83" w:name="_Toc2586"/>
      <w:r>
        <w:rPr>
          <w:rFonts w:hint="eastAsia" w:ascii="宋体" w:hAnsi="宋体" w:eastAsia="宋体" w:cs="宋体"/>
          <w:b/>
          <w:bCs/>
          <w:sz w:val="24"/>
          <w:szCs w:val="24"/>
        </w:rPr>
        <w:t>五、纪律要求</w:t>
      </w:r>
      <w:bookmarkEnd w:id="79"/>
      <w:bookmarkEnd w:id="80"/>
      <w:bookmarkEnd w:id="81"/>
      <w:bookmarkEnd w:id="82"/>
      <w:bookmarkEnd w:id="83"/>
    </w:p>
    <w:p w14:paraId="37FDB8E8">
      <w:pPr>
        <w:pStyle w:val="28"/>
        <w:numPr>
          <w:ilvl w:val="0"/>
          <w:numId w:val="7"/>
        </w:numPr>
        <w:kinsoku/>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投标人不得相互串通投标或者与招标人串通投标，不得向招标人或者评标委员会及其组成人员行贿谋取中标，不得以他人名义投标或者以其他方式弄虚作假骗取中标；投标人不得以任何方式干扰、影响评标工作。</w:t>
      </w:r>
    </w:p>
    <w:p w14:paraId="1A4DC963">
      <w:pPr>
        <w:pStyle w:val="28"/>
        <w:numPr>
          <w:ilvl w:val="0"/>
          <w:numId w:val="7"/>
        </w:numPr>
        <w:kinsoku/>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评标委员会及其组成人员应严格自律，严格遵守国家法律、法规，并接受监察部门的监督。</w:t>
      </w:r>
    </w:p>
    <w:p w14:paraId="40F2B354">
      <w:pPr>
        <w:kinsoku/>
        <w:spacing w:line="360" w:lineRule="auto"/>
        <w:ind w:firstLine="482" w:firstLineChars="200"/>
        <w:outlineLvl w:val="0"/>
        <w:rPr>
          <w:rFonts w:hint="eastAsia" w:ascii="宋体" w:hAnsi="宋体" w:eastAsia="宋体" w:cs="宋体"/>
          <w:b/>
          <w:bCs/>
          <w:sz w:val="24"/>
          <w:szCs w:val="24"/>
        </w:rPr>
      </w:pPr>
      <w:bookmarkStart w:id="84" w:name="_Toc11099"/>
      <w:bookmarkStart w:id="85" w:name="_Toc9588"/>
      <w:bookmarkStart w:id="86" w:name="_Toc23438"/>
      <w:bookmarkStart w:id="87" w:name="_Toc3302"/>
      <w:bookmarkStart w:id="88" w:name="_Toc7771"/>
      <w:r>
        <w:rPr>
          <w:rFonts w:hint="eastAsia" w:ascii="宋体" w:hAnsi="宋体" w:eastAsia="宋体" w:cs="宋体"/>
          <w:b/>
          <w:bCs/>
          <w:sz w:val="24"/>
          <w:szCs w:val="24"/>
        </w:rPr>
        <w:t>六、其他</w:t>
      </w:r>
      <w:bookmarkEnd w:id="84"/>
      <w:bookmarkEnd w:id="85"/>
      <w:bookmarkEnd w:id="86"/>
      <w:bookmarkEnd w:id="87"/>
      <w:bookmarkEnd w:id="88"/>
    </w:p>
    <w:p w14:paraId="60700764">
      <w:pPr>
        <w:pStyle w:val="28"/>
        <w:numPr>
          <w:ilvl w:val="0"/>
          <w:numId w:val="8"/>
        </w:numPr>
        <w:kinsoku/>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中标人若改变原材料配方和生产工艺，需征得招标人同意，并需重新认可。</w:t>
      </w:r>
    </w:p>
    <w:p w14:paraId="258FC748">
      <w:pPr>
        <w:pStyle w:val="28"/>
        <w:numPr>
          <w:ilvl w:val="0"/>
          <w:numId w:val="8"/>
        </w:numPr>
        <w:kinsoku/>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参加招投标活动的各方应视本次招投标活动的任何信息为秘密，在没有事先征得对方的书面同意的情况下，任何一方不得以任何方式向第三人公布、传递或透露任何信息，违者应对由此造成的后果承担法律责任。</w:t>
      </w:r>
    </w:p>
    <w:p w14:paraId="138AF11E">
      <w:pPr>
        <w:rPr>
          <w:rFonts w:hint="eastAsia" w:ascii="宋体" w:hAnsi="宋体" w:eastAsia="宋体" w:cs="宋体"/>
        </w:rPr>
      </w:pPr>
    </w:p>
    <w:p w14:paraId="3B6D3991">
      <w:pPr>
        <w:rPr>
          <w:rFonts w:hint="eastAsia" w:ascii="宋体" w:hAnsi="宋体" w:eastAsia="宋体" w:cs="宋体"/>
        </w:rPr>
      </w:pPr>
    </w:p>
    <w:p w14:paraId="335CFF3E">
      <w:pPr>
        <w:rPr>
          <w:rFonts w:hint="eastAsia" w:ascii="宋体" w:hAnsi="宋体" w:eastAsia="宋体" w:cs="宋体"/>
        </w:rPr>
      </w:pPr>
    </w:p>
    <w:p w14:paraId="7FFDFEEA">
      <w:pPr>
        <w:rPr>
          <w:rFonts w:hint="eastAsia" w:ascii="宋体" w:hAnsi="宋体" w:eastAsia="宋体" w:cs="宋体"/>
        </w:rPr>
      </w:pPr>
    </w:p>
    <w:p w14:paraId="2D86E77B">
      <w:pPr>
        <w:rPr>
          <w:rFonts w:hint="eastAsia" w:ascii="宋体" w:hAnsi="宋体" w:eastAsia="宋体" w:cs="宋体"/>
        </w:rPr>
      </w:pPr>
    </w:p>
    <w:p w14:paraId="12D3E00B">
      <w:pPr>
        <w:rPr>
          <w:rFonts w:hint="eastAsia" w:ascii="宋体" w:hAnsi="宋体" w:eastAsia="宋体" w:cs="宋体"/>
        </w:rPr>
      </w:pPr>
    </w:p>
    <w:p w14:paraId="41A63F4B">
      <w:pPr>
        <w:rPr>
          <w:rFonts w:hint="eastAsia" w:ascii="宋体" w:hAnsi="宋体" w:eastAsia="宋体" w:cs="宋体"/>
        </w:rPr>
      </w:pPr>
    </w:p>
    <w:p w14:paraId="4D4789B0">
      <w:pPr>
        <w:rPr>
          <w:rFonts w:hint="eastAsia" w:ascii="宋体" w:hAnsi="宋体" w:eastAsia="宋体" w:cs="宋体"/>
        </w:rPr>
      </w:pPr>
    </w:p>
    <w:p w14:paraId="2FEFC795">
      <w:pPr>
        <w:rPr>
          <w:rFonts w:hint="eastAsia" w:ascii="宋体" w:hAnsi="宋体" w:eastAsia="宋体" w:cs="宋体"/>
        </w:rPr>
      </w:pPr>
    </w:p>
    <w:p w14:paraId="6EAA7321">
      <w:pPr>
        <w:rPr>
          <w:rFonts w:hint="eastAsia" w:ascii="宋体" w:hAnsi="宋体" w:eastAsia="宋体" w:cs="宋体"/>
        </w:rPr>
      </w:pPr>
    </w:p>
    <w:p w14:paraId="16C90376">
      <w:pPr>
        <w:rPr>
          <w:rFonts w:hint="eastAsia" w:ascii="宋体" w:hAnsi="宋体" w:eastAsia="宋体" w:cs="宋体"/>
        </w:rPr>
      </w:pPr>
    </w:p>
    <w:p w14:paraId="5ADC2487">
      <w:pPr>
        <w:rPr>
          <w:rFonts w:hint="eastAsia" w:ascii="宋体" w:hAnsi="宋体" w:eastAsia="宋体" w:cs="宋体"/>
        </w:rPr>
      </w:pPr>
    </w:p>
    <w:p w14:paraId="747DFF56">
      <w:pPr>
        <w:rPr>
          <w:rFonts w:hint="eastAsia" w:ascii="宋体" w:hAnsi="宋体" w:eastAsia="宋体" w:cs="宋体"/>
        </w:rPr>
      </w:pPr>
    </w:p>
    <w:p w14:paraId="0E6EEADD">
      <w:pPr>
        <w:rPr>
          <w:rFonts w:hint="eastAsia" w:ascii="宋体" w:hAnsi="宋体" w:eastAsia="宋体" w:cs="宋体"/>
        </w:rPr>
      </w:pPr>
    </w:p>
    <w:p w14:paraId="3842F2A8">
      <w:pPr>
        <w:rPr>
          <w:rFonts w:hint="eastAsia" w:ascii="宋体" w:hAnsi="宋体" w:eastAsia="宋体" w:cs="宋体"/>
        </w:rPr>
      </w:pPr>
    </w:p>
    <w:p w14:paraId="4C812737">
      <w:pPr>
        <w:rPr>
          <w:rFonts w:hint="eastAsia" w:ascii="宋体" w:hAnsi="宋体" w:eastAsia="宋体" w:cs="宋体"/>
        </w:rPr>
      </w:pPr>
    </w:p>
    <w:p w14:paraId="5DB34943">
      <w:pPr>
        <w:rPr>
          <w:rFonts w:hint="eastAsia" w:ascii="宋体" w:hAnsi="宋体" w:eastAsia="宋体" w:cs="宋体"/>
        </w:rPr>
      </w:pPr>
    </w:p>
    <w:p w14:paraId="285968CA">
      <w:pPr>
        <w:rPr>
          <w:rFonts w:hint="eastAsia" w:ascii="宋体" w:hAnsi="宋体" w:eastAsia="宋体" w:cs="宋体"/>
        </w:rPr>
      </w:pPr>
    </w:p>
    <w:p w14:paraId="4F89C659">
      <w:pPr>
        <w:rPr>
          <w:rFonts w:hint="eastAsia" w:ascii="宋体" w:hAnsi="宋体" w:eastAsia="宋体" w:cs="宋体"/>
        </w:rPr>
      </w:pPr>
    </w:p>
    <w:p w14:paraId="64FAC694">
      <w:pPr>
        <w:rPr>
          <w:rFonts w:hint="eastAsia" w:ascii="宋体" w:hAnsi="宋体" w:eastAsia="宋体" w:cs="宋体"/>
        </w:rPr>
      </w:pPr>
    </w:p>
    <w:p w14:paraId="31D10B52">
      <w:pPr>
        <w:rPr>
          <w:rFonts w:hint="eastAsia" w:ascii="宋体" w:hAnsi="宋体" w:eastAsia="宋体" w:cs="宋体"/>
        </w:rPr>
      </w:pPr>
    </w:p>
    <w:p w14:paraId="236F8103">
      <w:pPr>
        <w:rPr>
          <w:rFonts w:hint="eastAsia" w:ascii="宋体" w:hAnsi="宋体" w:eastAsia="宋体" w:cs="宋体"/>
        </w:rPr>
      </w:pPr>
    </w:p>
    <w:p w14:paraId="3A16E092">
      <w:pPr>
        <w:rPr>
          <w:rFonts w:hint="eastAsia" w:ascii="宋体" w:hAnsi="宋体" w:eastAsia="宋体" w:cs="宋体"/>
        </w:rPr>
      </w:pPr>
    </w:p>
    <w:p w14:paraId="33DA8C4B">
      <w:pPr>
        <w:rPr>
          <w:rFonts w:hint="eastAsia" w:ascii="宋体" w:hAnsi="宋体" w:eastAsia="宋体" w:cs="宋体"/>
        </w:rPr>
      </w:pPr>
    </w:p>
    <w:p w14:paraId="4F33421F">
      <w:pPr>
        <w:rPr>
          <w:rFonts w:hint="eastAsia" w:ascii="宋体" w:hAnsi="宋体" w:eastAsia="宋体" w:cs="宋体"/>
        </w:rPr>
      </w:pPr>
    </w:p>
    <w:p w14:paraId="074B7BD4">
      <w:pPr>
        <w:spacing w:before="240" w:beforeLines="100" w:after="120" w:afterLines="50" w:line="360" w:lineRule="auto"/>
        <w:jc w:val="center"/>
        <w:outlineLvl w:val="0"/>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bookmarkStart w:id="89" w:name="_Toc26223"/>
      <w:bookmarkStart w:id="90" w:name="_Toc14035"/>
      <w:bookmarkStart w:id="91" w:name="_Toc14207"/>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三、评标办法</w:t>
      </w:r>
      <w:bookmarkEnd w:id="89"/>
      <w:bookmarkEnd w:id="90"/>
      <w:bookmarkEnd w:id="91"/>
    </w:p>
    <w:p w14:paraId="69D29DDB">
      <w:pPr>
        <w:pStyle w:val="9"/>
        <w:keepNext w:val="0"/>
        <w:keepLines w:val="0"/>
        <w:pageBreakBefore w:val="0"/>
        <w:kinsoku/>
        <w:wordWrap/>
        <w:overflowPunct/>
        <w:topLinePunct w:val="0"/>
        <w:autoSpaceDE/>
        <w:autoSpaceDN/>
        <w:bidi w:val="0"/>
        <w:adjustRightInd/>
        <w:snapToGrid/>
        <w:spacing w:after="0" w:line="360" w:lineRule="auto"/>
        <w:ind w:left="0" w:leftChars="0"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lang w:val="en-US" w:eastAsia="zh-CN"/>
        </w:rPr>
        <w:t>1.</w:t>
      </w:r>
      <w:r>
        <w:rPr>
          <w:rFonts w:hint="eastAsia" w:ascii="宋体" w:hAnsi="宋体" w:eastAsia="宋体" w:cs="宋体"/>
          <w:b/>
          <w:bCs/>
          <w:color w:val="auto"/>
          <w:sz w:val="24"/>
        </w:rPr>
        <w:t>评标原则</w:t>
      </w:r>
    </w:p>
    <w:p w14:paraId="143BF22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评标工作应根据《中华人民共和国招标投标法》和国家、地</w:t>
      </w:r>
      <w:r>
        <w:rPr>
          <w:rFonts w:hint="eastAsia" w:ascii="宋体" w:hAnsi="宋体" w:eastAsia="宋体" w:cs="宋体"/>
          <w:color w:val="auto"/>
          <w:sz w:val="24"/>
          <w:lang w:eastAsia="zh-CN"/>
        </w:rPr>
        <w:t>方</w:t>
      </w:r>
      <w:r>
        <w:rPr>
          <w:rFonts w:hint="eastAsia" w:ascii="宋体" w:hAnsi="宋体" w:eastAsia="宋体" w:cs="宋体"/>
          <w:color w:val="auto"/>
          <w:sz w:val="24"/>
        </w:rPr>
        <w:t>政府有关招标投标法规的有关规定，遵循“公平、公正、诚实信用、科学、择优”的原则进行。评标委员会将按照规定只对通过资格及响应性审查的各合格投标人进行评价和比较。</w:t>
      </w:r>
    </w:p>
    <w:p w14:paraId="0CD8A79E">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rPr>
        <w:t>2.评标办法类型</w:t>
      </w:r>
    </w:p>
    <w:p w14:paraId="4E5F5F1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本</w:t>
      </w:r>
      <w:r>
        <w:rPr>
          <w:rFonts w:hint="eastAsia" w:ascii="宋体" w:hAnsi="宋体" w:eastAsia="宋体" w:cs="宋体"/>
          <w:color w:val="auto"/>
          <w:sz w:val="24"/>
          <w:lang w:val="en-US" w:eastAsia="zh-CN"/>
        </w:rPr>
        <w:t>项目</w:t>
      </w:r>
      <w:r>
        <w:rPr>
          <w:rFonts w:hint="eastAsia" w:ascii="宋体" w:hAnsi="宋体" w:eastAsia="宋体" w:cs="宋体"/>
          <w:color w:val="auto"/>
          <w:sz w:val="24"/>
        </w:rPr>
        <w:t>采用</w:t>
      </w:r>
      <w:r>
        <w:rPr>
          <w:rFonts w:hint="eastAsia" w:ascii="宋体" w:hAnsi="宋体" w:eastAsia="宋体" w:cs="宋体"/>
          <w:color w:val="auto"/>
          <w:sz w:val="24"/>
          <w:lang w:val="en-US" w:eastAsia="zh-CN"/>
        </w:rPr>
        <w:t>综合</w:t>
      </w:r>
      <w:r>
        <w:rPr>
          <w:rFonts w:hint="eastAsia" w:ascii="宋体" w:hAnsi="宋体" w:eastAsia="宋体" w:cs="宋体"/>
          <w:color w:val="auto"/>
          <w:sz w:val="24"/>
        </w:rPr>
        <w:t>评分法评</w:t>
      </w:r>
      <w:r>
        <w:rPr>
          <w:rFonts w:hint="eastAsia" w:ascii="宋体" w:hAnsi="宋体" w:eastAsia="宋体" w:cs="宋体"/>
          <w:bCs/>
          <w:color w:val="auto"/>
          <w:sz w:val="24"/>
        </w:rPr>
        <w:t>标</w:t>
      </w:r>
      <w:r>
        <w:rPr>
          <w:rFonts w:hint="eastAsia" w:ascii="宋体" w:hAnsi="宋体" w:eastAsia="宋体" w:cs="宋体"/>
          <w:color w:val="auto"/>
          <w:sz w:val="24"/>
        </w:rPr>
        <w:t>。</w:t>
      </w:r>
      <w:r>
        <w:rPr>
          <w:rFonts w:hint="eastAsia" w:ascii="宋体" w:hAnsi="宋体" w:eastAsia="宋体" w:cs="宋体"/>
          <w:bCs/>
          <w:color w:val="auto"/>
          <w:sz w:val="24"/>
        </w:rPr>
        <w:t>评标定标工作由招标人组织的评标小组</w:t>
      </w:r>
      <w:r>
        <w:rPr>
          <w:rFonts w:hint="eastAsia" w:ascii="宋体" w:hAnsi="宋体" w:eastAsia="宋体" w:cs="宋体"/>
          <w:bCs/>
          <w:color w:val="auto"/>
          <w:sz w:val="24"/>
          <w:lang w:val="en-US" w:eastAsia="zh-CN"/>
        </w:rPr>
        <w:t>成员</w:t>
      </w:r>
      <w:r>
        <w:rPr>
          <w:rFonts w:hint="eastAsia" w:ascii="宋体" w:hAnsi="宋体" w:eastAsia="宋体" w:cs="宋体"/>
          <w:bCs/>
          <w:color w:val="auto"/>
          <w:sz w:val="24"/>
        </w:rPr>
        <w:t>进行</w:t>
      </w:r>
      <w:r>
        <w:rPr>
          <w:rFonts w:hint="eastAsia" w:ascii="宋体" w:hAnsi="宋体" w:eastAsia="宋体" w:cs="宋体"/>
          <w:color w:val="auto"/>
          <w:sz w:val="24"/>
        </w:rPr>
        <w:t>。</w:t>
      </w:r>
    </w:p>
    <w:p w14:paraId="1864C9D7">
      <w:pPr>
        <w:pStyle w:val="9"/>
        <w:keepNext w:val="0"/>
        <w:keepLines w:val="0"/>
        <w:pageBreakBefore w:val="0"/>
        <w:kinsoku/>
        <w:wordWrap/>
        <w:overflowPunct/>
        <w:topLinePunct w:val="0"/>
        <w:autoSpaceDE/>
        <w:autoSpaceDN/>
        <w:bidi w:val="0"/>
        <w:adjustRightInd/>
        <w:snapToGrid/>
        <w:spacing w:after="0" w:line="360" w:lineRule="auto"/>
        <w:ind w:left="0" w:leftChars="0"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lang w:val="en-US" w:eastAsia="zh-CN"/>
        </w:rPr>
        <w:t>3</w:t>
      </w:r>
      <w:r>
        <w:rPr>
          <w:rFonts w:hint="eastAsia" w:ascii="宋体" w:hAnsi="宋体" w:eastAsia="宋体" w:cs="宋体"/>
          <w:b/>
          <w:bCs/>
          <w:color w:val="auto"/>
          <w:sz w:val="24"/>
        </w:rPr>
        <w:t>.评审内容</w:t>
      </w:r>
    </w:p>
    <w:p w14:paraId="593DFA9D">
      <w:pPr>
        <w:pStyle w:val="9"/>
        <w:keepNext w:val="0"/>
        <w:keepLines w:val="0"/>
        <w:pageBreakBefore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.1</w:t>
      </w:r>
      <w:r>
        <w:rPr>
          <w:rFonts w:hint="eastAsia" w:ascii="宋体" w:hAnsi="宋体" w:eastAsia="宋体" w:cs="宋体"/>
          <w:color w:val="auto"/>
          <w:sz w:val="24"/>
          <w:lang w:val="en-US" w:eastAsia="zh-CN"/>
        </w:rPr>
        <w:t>技术评审</w:t>
      </w:r>
      <w:r>
        <w:rPr>
          <w:rFonts w:hint="eastAsia" w:ascii="宋体" w:hAnsi="宋体" w:eastAsia="宋体" w:cs="宋体"/>
          <w:color w:val="auto"/>
          <w:sz w:val="24"/>
        </w:rPr>
        <w:t>；</w:t>
      </w:r>
    </w:p>
    <w:p w14:paraId="423420FD">
      <w:pPr>
        <w:pStyle w:val="9"/>
        <w:keepNext w:val="0"/>
        <w:keepLines w:val="0"/>
        <w:pageBreakBefore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.2投标报价；</w:t>
      </w:r>
    </w:p>
    <w:p w14:paraId="667B336C">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lang w:val="en-US" w:eastAsia="zh-CN"/>
        </w:rPr>
        <w:t>4</w:t>
      </w:r>
      <w:r>
        <w:rPr>
          <w:rFonts w:hint="eastAsia" w:ascii="宋体" w:hAnsi="宋体" w:eastAsia="宋体" w:cs="宋体"/>
          <w:b/>
          <w:bCs/>
          <w:color w:val="auto"/>
          <w:sz w:val="24"/>
        </w:rPr>
        <w:t>.评审程序</w:t>
      </w:r>
    </w:p>
    <w:p w14:paraId="30E0DE8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.1评标小组评委按招标文件要求对各投标人的投标文件进行符合性评审（包括资格审查），确认其投标文件是否实质上响应招标文件的要求，对实质上响应招标文件要求的投标文件进入下一步评审。</w:t>
      </w:r>
      <w:r>
        <w:rPr>
          <w:rFonts w:hint="eastAsia" w:ascii="宋体" w:hAnsi="宋体" w:eastAsia="宋体" w:cs="宋体"/>
          <w:bCs/>
          <w:color w:val="auto"/>
          <w:sz w:val="24"/>
        </w:rPr>
        <w:t>凡不符合投标资质条件、专业条件要求、投标要求和未实质性响应招标文件要求的投标以及未按招标文件要求的投标格式进行投标的均为废标，不进入评分程序。</w:t>
      </w:r>
    </w:p>
    <w:p w14:paraId="22B0A5F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.2评标小组评委根据招标文件所确定的评标办法对通过符合性评审的投标人进行投标及</w:t>
      </w:r>
      <w:r>
        <w:rPr>
          <w:rFonts w:hint="eastAsia" w:ascii="宋体" w:hAnsi="宋体" w:eastAsia="宋体" w:cs="宋体"/>
          <w:color w:val="auto"/>
          <w:sz w:val="24"/>
          <w:lang w:val="en-US" w:eastAsia="zh-CN"/>
        </w:rPr>
        <w:t>技术</w:t>
      </w:r>
      <w:r>
        <w:rPr>
          <w:rFonts w:hint="eastAsia" w:ascii="宋体" w:hAnsi="宋体" w:eastAsia="宋体" w:cs="宋体"/>
          <w:color w:val="auto"/>
          <w:sz w:val="24"/>
        </w:rPr>
        <w:t>、</w:t>
      </w:r>
      <w:r>
        <w:rPr>
          <w:rFonts w:hint="eastAsia" w:ascii="宋体" w:hAnsi="宋体" w:eastAsia="宋体" w:cs="宋体"/>
          <w:color w:val="auto"/>
          <w:sz w:val="24"/>
          <w:lang w:val="en-US" w:eastAsia="zh-CN"/>
        </w:rPr>
        <w:t>价格</w:t>
      </w:r>
      <w:r>
        <w:rPr>
          <w:rFonts w:hint="eastAsia" w:ascii="宋体" w:hAnsi="宋体" w:eastAsia="宋体" w:cs="宋体"/>
          <w:color w:val="auto"/>
          <w:sz w:val="24"/>
        </w:rPr>
        <w:t>因素评分。</w:t>
      </w:r>
    </w:p>
    <w:p w14:paraId="1E02B4B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.3汇总评标小组评委各项评分，统计结果。</w:t>
      </w:r>
    </w:p>
    <w:p w14:paraId="63FEF71E">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rPr>
      </w:pPr>
      <w:r>
        <w:rPr>
          <w:rFonts w:hint="eastAsia" w:ascii="宋体" w:hAnsi="宋体" w:eastAsia="宋体" w:cs="宋体"/>
          <w:b/>
          <w:bCs/>
          <w:color w:val="auto"/>
          <w:sz w:val="24"/>
          <w:lang w:val="en-US" w:eastAsia="zh-CN"/>
        </w:rPr>
        <w:t>5</w:t>
      </w:r>
      <w:r>
        <w:rPr>
          <w:rFonts w:hint="eastAsia" w:ascii="宋体" w:hAnsi="宋体" w:eastAsia="宋体" w:cs="宋体"/>
          <w:b/>
          <w:bCs/>
          <w:color w:val="auto"/>
          <w:sz w:val="24"/>
        </w:rPr>
        <w:t>.其他方面要求</w:t>
      </w:r>
    </w:p>
    <w:p w14:paraId="352D787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本工程招标文件未尽事宜，按照《中华人民共和国招标投标法》、《福建省招标投标管理办法》等有关法规、规定执行。</w:t>
      </w:r>
    </w:p>
    <w:p w14:paraId="6AEBC94A">
      <w:pPr>
        <w:keepNext w:val="0"/>
        <w:keepLines w:val="0"/>
        <w:pageBreakBefore w:val="0"/>
        <w:kinsoku/>
        <w:wordWrap/>
        <w:overflowPunct/>
        <w:topLinePunct w:val="0"/>
        <w:autoSpaceDE/>
        <w:autoSpaceDN/>
        <w:bidi w:val="0"/>
        <w:adjustRightInd/>
        <w:snapToGrid/>
        <w:spacing w:line="360" w:lineRule="auto"/>
        <w:ind w:firstLine="472" w:firstLineChars="196"/>
        <w:textAlignment w:val="auto"/>
        <w:rPr>
          <w:rFonts w:hint="eastAsia" w:ascii="宋体" w:hAnsi="宋体" w:eastAsia="宋体" w:cs="宋体"/>
          <w:b/>
          <w:color w:val="auto"/>
          <w:sz w:val="24"/>
          <w:highlight w:val="none"/>
        </w:rPr>
      </w:pPr>
      <w:r>
        <w:rPr>
          <w:rFonts w:hint="eastAsia" w:ascii="宋体" w:hAnsi="宋体" w:eastAsia="宋体" w:cs="宋体"/>
          <w:b/>
          <w:color w:val="auto"/>
          <w:sz w:val="24"/>
          <w:lang w:val="en-US" w:eastAsia="zh-CN"/>
        </w:rPr>
        <w:t>6</w:t>
      </w:r>
      <w:r>
        <w:rPr>
          <w:rFonts w:hint="eastAsia" w:ascii="宋体" w:hAnsi="宋体" w:eastAsia="宋体" w:cs="宋体"/>
          <w:b/>
          <w:color w:val="auto"/>
          <w:sz w:val="24"/>
        </w:rPr>
        <w:t>.评审标准</w:t>
      </w:r>
    </w:p>
    <w:p w14:paraId="00AE2BD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评分标准的总分为100分，其分值由</w:t>
      </w:r>
      <w:r>
        <w:rPr>
          <w:rFonts w:hint="eastAsia" w:ascii="宋体" w:hAnsi="宋体" w:eastAsia="宋体" w:cs="宋体"/>
          <w:color w:val="auto"/>
          <w:sz w:val="24"/>
          <w:highlight w:val="none"/>
          <w:lang w:val="en-US" w:eastAsia="zh-CN"/>
        </w:rPr>
        <w:t>技术</w:t>
      </w:r>
      <w:r>
        <w:rPr>
          <w:rFonts w:hint="eastAsia" w:ascii="宋体" w:hAnsi="宋体" w:eastAsia="宋体" w:cs="宋体"/>
          <w:color w:val="auto"/>
          <w:sz w:val="24"/>
          <w:highlight w:val="none"/>
        </w:rPr>
        <w:t>部分（</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0分）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报价</w:t>
      </w:r>
      <w:r>
        <w:rPr>
          <w:rFonts w:hint="eastAsia" w:ascii="宋体" w:hAnsi="宋体" w:eastAsia="宋体" w:cs="宋体"/>
          <w:color w:val="auto"/>
          <w:sz w:val="24"/>
          <w:highlight w:val="none"/>
        </w:rPr>
        <w:t>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0分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组成，评审标准具体如下：</w:t>
      </w:r>
    </w:p>
    <w:p w14:paraId="56612FBB">
      <w:pPr>
        <w:pStyle w:val="24"/>
        <w:rPr>
          <w:rFonts w:hint="eastAsia" w:ascii="宋体" w:hAnsi="宋体" w:eastAsia="宋体" w:cs="宋体"/>
          <w:color w:val="auto"/>
          <w:sz w:val="24"/>
          <w:highlight w:val="none"/>
        </w:rPr>
      </w:pPr>
    </w:p>
    <w:p w14:paraId="21B215BF">
      <w:pPr>
        <w:pStyle w:val="24"/>
        <w:rPr>
          <w:rFonts w:hint="eastAsia" w:ascii="宋体" w:hAnsi="宋体" w:eastAsia="宋体" w:cs="宋体"/>
          <w:color w:val="auto"/>
          <w:sz w:val="24"/>
          <w:highlight w:val="none"/>
        </w:rPr>
      </w:pPr>
    </w:p>
    <w:p w14:paraId="7BD37EAD">
      <w:pPr>
        <w:ind w:firstLine="458" w:firstLineChars="200"/>
        <w:rPr>
          <w:rFonts w:hint="eastAsia" w:ascii="宋体" w:hAnsi="宋体" w:eastAsia="宋体" w:cs="宋体"/>
          <w:b/>
          <w:bCs/>
          <w:color w:val="auto"/>
          <w:spacing w:val="-6"/>
          <w:sz w:val="24"/>
          <w:highlight w:val="none"/>
          <w:lang w:eastAsia="zh-CN"/>
        </w:rPr>
      </w:pPr>
    </w:p>
    <w:p w14:paraId="05BEEFFD">
      <w:pPr>
        <w:spacing w:before="240" w:beforeLines="100" w:after="120" w:afterLines="50" w:line="360" w:lineRule="auto"/>
        <w:jc w:val="center"/>
        <w:outlineLvl w:val="0"/>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bookmarkStart w:id="92" w:name="_Toc23296"/>
      <w:bookmarkStart w:id="93" w:name="_Toc14784"/>
      <w:bookmarkStart w:id="94" w:name="_Toc13537"/>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四、综合评标评分标准</w:t>
      </w:r>
      <w:bookmarkEnd w:id="92"/>
      <w:bookmarkEnd w:id="93"/>
      <w:bookmarkEnd w:id="94"/>
    </w:p>
    <w:p w14:paraId="444A922C">
      <w:pPr>
        <w:widowControl w:val="0"/>
        <w:kinsoku/>
        <w:autoSpaceDE/>
        <w:autoSpaceDN/>
        <w:adjustRightInd/>
        <w:snapToGrid/>
        <w:spacing w:before="120" w:beforeLines="50" w:line="360" w:lineRule="auto"/>
        <w:ind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1、技术部分（分值</w:t>
      </w:r>
      <w:r>
        <w:rPr>
          <w:rFonts w:hint="eastAsia" w:ascii="宋体" w:hAnsi="宋体" w:eastAsia="宋体" w:cs="宋体"/>
          <w:b/>
          <w:bCs/>
          <w:sz w:val="24"/>
          <w:lang w:val="en-US" w:eastAsia="zh-CN"/>
        </w:rPr>
        <w:t>1</w:t>
      </w:r>
      <w:r>
        <w:rPr>
          <w:rFonts w:hint="eastAsia" w:ascii="宋体" w:hAnsi="宋体" w:eastAsia="宋体" w:cs="宋体"/>
          <w:b/>
          <w:bCs/>
          <w:sz w:val="24"/>
        </w:rPr>
        <w:t>0分）</w:t>
      </w:r>
    </w:p>
    <w:tbl>
      <w:tblPr>
        <w:tblStyle w:val="16"/>
        <w:tblW w:w="9180"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3" w:type="dxa"/>
          <w:bottom w:w="0" w:type="dxa"/>
          <w:right w:w="108" w:type="dxa"/>
        </w:tblCellMar>
      </w:tblPr>
      <w:tblGrid>
        <w:gridCol w:w="710"/>
        <w:gridCol w:w="1180"/>
        <w:gridCol w:w="860"/>
        <w:gridCol w:w="5296"/>
        <w:gridCol w:w="1134"/>
      </w:tblGrid>
      <w:tr w14:paraId="523CC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587" w:hRule="atLeast"/>
        </w:trPr>
        <w:tc>
          <w:tcPr>
            <w:tcW w:w="710" w:type="dxa"/>
            <w:tcMar>
              <w:left w:w="103" w:type="dxa"/>
            </w:tcMar>
            <w:vAlign w:val="center"/>
          </w:tcPr>
          <w:p w14:paraId="356BA0B2">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180" w:type="dxa"/>
            <w:tcMar>
              <w:left w:w="103" w:type="dxa"/>
            </w:tcMar>
            <w:vAlign w:val="center"/>
          </w:tcPr>
          <w:p w14:paraId="7D5D4AC6">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类别</w:t>
            </w:r>
          </w:p>
        </w:tc>
        <w:tc>
          <w:tcPr>
            <w:tcW w:w="860" w:type="dxa"/>
            <w:tcMar>
              <w:left w:w="103" w:type="dxa"/>
            </w:tcMar>
            <w:vAlign w:val="center"/>
          </w:tcPr>
          <w:p w14:paraId="02EF46A8">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满分</w:t>
            </w:r>
          </w:p>
        </w:tc>
        <w:tc>
          <w:tcPr>
            <w:tcW w:w="5296" w:type="dxa"/>
            <w:tcMar>
              <w:left w:w="103" w:type="dxa"/>
            </w:tcMar>
            <w:vAlign w:val="center"/>
          </w:tcPr>
          <w:p w14:paraId="0E0095D6">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评审内容</w:t>
            </w:r>
          </w:p>
        </w:tc>
        <w:tc>
          <w:tcPr>
            <w:tcW w:w="1134" w:type="dxa"/>
            <w:tcMar>
              <w:left w:w="103" w:type="dxa"/>
            </w:tcMar>
            <w:vAlign w:val="center"/>
          </w:tcPr>
          <w:p w14:paraId="17C378FA">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实得分</w:t>
            </w:r>
          </w:p>
        </w:tc>
      </w:tr>
      <w:tr w14:paraId="6AA1A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510" w:hRule="atLeast"/>
        </w:trPr>
        <w:tc>
          <w:tcPr>
            <w:tcW w:w="710" w:type="dxa"/>
            <w:tcMar>
              <w:left w:w="103" w:type="dxa"/>
            </w:tcMar>
            <w:vAlign w:val="center"/>
          </w:tcPr>
          <w:p w14:paraId="7DE69451">
            <w:pPr>
              <w:widowControl w:val="0"/>
              <w:kinsoku/>
              <w:autoSpaceDE/>
              <w:autoSpaceDN/>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180" w:type="dxa"/>
            <w:tcMar>
              <w:left w:w="103" w:type="dxa"/>
            </w:tcMar>
            <w:vAlign w:val="center"/>
          </w:tcPr>
          <w:p w14:paraId="3B199278">
            <w:pPr>
              <w:pStyle w:val="5"/>
              <w:widowControl w:val="0"/>
              <w:kinsoku/>
              <w:autoSpaceDE/>
              <w:autoSpaceDN/>
              <w:spacing w:line="360" w:lineRule="auto"/>
              <w:jc w:val="center"/>
              <w:textAlignment w:val="auto"/>
              <w:rPr>
                <w:rFonts w:hint="eastAsia" w:ascii="宋体" w:hAnsi="宋体" w:eastAsia="宋体" w:cs="宋体"/>
                <w:color w:val="auto"/>
                <w:szCs w:val="24"/>
                <w:lang w:val="en-US"/>
              </w:rPr>
            </w:pPr>
            <w:r>
              <w:rPr>
                <w:rFonts w:hint="eastAsia" w:ascii="宋体" w:hAnsi="宋体" w:eastAsia="宋体" w:cs="宋体"/>
                <w:color w:val="auto"/>
                <w:szCs w:val="24"/>
                <w:lang w:val="en-US"/>
              </w:rPr>
              <w:t>技术要求</w:t>
            </w:r>
          </w:p>
        </w:tc>
        <w:tc>
          <w:tcPr>
            <w:tcW w:w="860" w:type="dxa"/>
            <w:tcMar>
              <w:left w:w="103" w:type="dxa"/>
            </w:tcMar>
            <w:vAlign w:val="center"/>
          </w:tcPr>
          <w:p w14:paraId="50EA110B">
            <w:pPr>
              <w:widowControl w:val="0"/>
              <w:kinsoku/>
              <w:autoSpaceDE/>
              <w:autoSpaceDN/>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0分</w:t>
            </w:r>
          </w:p>
        </w:tc>
        <w:tc>
          <w:tcPr>
            <w:tcW w:w="5296" w:type="dxa"/>
            <w:tcMar>
              <w:left w:w="103" w:type="dxa"/>
            </w:tcMar>
            <w:vAlign w:val="center"/>
          </w:tcPr>
          <w:p w14:paraId="2165BE51">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highlight w:val="none"/>
                <w:lang w:val="en-US" w:eastAsia="zh-CN"/>
              </w:rPr>
              <w:t>性能参数：一项不响应扣1-2分。</w:t>
            </w:r>
          </w:p>
        </w:tc>
        <w:tc>
          <w:tcPr>
            <w:tcW w:w="1134" w:type="dxa"/>
            <w:tcMar>
              <w:left w:w="103" w:type="dxa"/>
            </w:tcMar>
            <w:vAlign w:val="center"/>
          </w:tcPr>
          <w:p w14:paraId="0DC3255B">
            <w:pPr>
              <w:widowControl w:val="0"/>
              <w:kinsoku/>
              <w:autoSpaceDE/>
              <w:autoSpaceDN/>
              <w:spacing w:line="360" w:lineRule="auto"/>
              <w:jc w:val="center"/>
              <w:textAlignment w:val="auto"/>
              <w:rPr>
                <w:rFonts w:hint="eastAsia" w:ascii="宋体" w:hAnsi="宋体" w:eastAsia="宋体" w:cs="宋体"/>
                <w:color w:val="auto"/>
                <w:sz w:val="24"/>
                <w:szCs w:val="24"/>
              </w:rPr>
            </w:pPr>
          </w:p>
        </w:tc>
      </w:tr>
    </w:tbl>
    <w:p w14:paraId="13BDFE94">
      <w:pPr>
        <w:spacing w:line="360" w:lineRule="auto"/>
        <w:jc w:val="both"/>
        <w:rPr>
          <w:rFonts w:hint="eastAsia" w:ascii="宋体" w:hAnsi="宋体" w:eastAsia="宋体" w:cs="宋体"/>
          <w:b/>
          <w:bCs/>
          <w:sz w:val="24"/>
        </w:rPr>
      </w:pPr>
    </w:p>
    <w:p w14:paraId="4D6C5512">
      <w:pPr>
        <w:spacing w:line="360" w:lineRule="auto"/>
        <w:ind w:firstLine="482" w:firstLineChars="200"/>
        <w:jc w:val="both"/>
        <w:rPr>
          <w:rFonts w:hint="eastAsia" w:ascii="宋体" w:hAnsi="宋体" w:eastAsia="宋体" w:cs="宋体"/>
          <w:b/>
          <w:bCs/>
          <w:sz w:val="24"/>
        </w:rPr>
      </w:pPr>
      <w:r>
        <w:rPr>
          <w:rFonts w:hint="eastAsia" w:ascii="宋体" w:hAnsi="宋体" w:eastAsia="宋体" w:cs="宋体"/>
          <w:b/>
          <w:bCs/>
          <w:sz w:val="24"/>
        </w:rPr>
        <w:t>3、价格部分（分值</w:t>
      </w:r>
      <w:r>
        <w:rPr>
          <w:rFonts w:hint="eastAsia" w:ascii="宋体" w:hAnsi="宋体" w:eastAsia="宋体" w:cs="宋体"/>
          <w:b/>
          <w:bCs/>
          <w:sz w:val="24"/>
          <w:lang w:val="en-US" w:eastAsia="zh-CN"/>
        </w:rPr>
        <w:t>90</w:t>
      </w:r>
      <w:r>
        <w:rPr>
          <w:rFonts w:hint="eastAsia" w:ascii="宋体" w:hAnsi="宋体" w:eastAsia="宋体" w:cs="宋体"/>
          <w:b/>
          <w:bCs/>
          <w:sz w:val="24"/>
        </w:rPr>
        <w:t>分）</w:t>
      </w:r>
    </w:p>
    <w:tbl>
      <w:tblPr>
        <w:tblStyle w:val="16"/>
        <w:tblW w:w="9190" w:type="dxa"/>
        <w:tblInd w:w="127" w:type="dxa"/>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103" w:type="dxa"/>
          <w:bottom w:w="0" w:type="dxa"/>
          <w:right w:w="108" w:type="dxa"/>
        </w:tblCellMar>
      </w:tblPr>
      <w:tblGrid>
        <w:gridCol w:w="740"/>
        <w:gridCol w:w="1160"/>
        <w:gridCol w:w="800"/>
        <w:gridCol w:w="5356"/>
        <w:gridCol w:w="1134"/>
      </w:tblGrid>
      <w:tr w14:paraId="6F704E07">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524" w:hRule="atLeast"/>
        </w:trPr>
        <w:tc>
          <w:tcPr>
            <w:tcW w:w="740" w:type="dxa"/>
            <w:tcBorders>
              <w:top w:val="single" w:color="000000" w:sz="4" w:space="0"/>
              <w:left w:val="single" w:color="000000" w:sz="4" w:space="0"/>
              <w:bottom w:val="single" w:color="000000" w:sz="4" w:space="0"/>
            </w:tcBorders>
            <w:tcMar>
              <w:left w:w="103" w:type="dxa"/>
            </w:tcMar>
            <w:vAlign w:val="center"/>
          </w:tcPr>
          <w:p w14:paraId="3434489E">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160" w:type="dxa"/>
            <w:tcBorders>
              <w:top w:val="single" w:color="000000" w:sz="4" w:space="0"/>
              <w:left w:val="single" w:color="000000" w:sz="4" w:space="0"/>
              <w:bottom w:val="single" w:color="000000" w:sz="4" w:space="0"/>
            </w:tcBorders>
            <w:tcMar>
              <w:left w:w="103" w:type="dxa"/>
            </w:tcMar>
            <w:vAlign w:val="center"/>
          </w:tcPr>
          <w:p w14:paraId="0B9E1CFD">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类别</w:t>
            </w:r>
          </w:p>
        </w:tc>
        <w:tc>
          <w:tcPr>
            <w:tcW w:w="800" w:type="dxa"/>
            <w:tcBorders>
              <w:top w:val="single" w:color="000000" w:sz="4" w:space="0"/>
              <w:left w:val="single" w:color="000000" w:sz="4" w:space="0"/>
              <w:bottom w:val="single" w:color="000000" w:sz="4" w:space="0"/>
            </w:tcBorders>
            <w:tcMar>
              <w:left w:w="103" w:type="dxa"/>
            </w:tcMar>
            <w:vAlign w:val="center"/>
          </w:tcPr>
          <w:p w14:paraId="247E3181">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满分</w:t>
            </w:r>
          </w:p>
        </w:tc>
        <w:tc>
          <w:tcPr>
            <w:tcW w:w="5356" w:type="dxa"/>
            <w:tcBorders>
              <w:top w:val="single" w:color="000000" w:sz="4" w:space="0"/>
              <w:left w:val="single" w:color="000000" w:sz="4" w:space="0"/>
              <w:bottom w:val="single" w:color="000000" w:sz="4" w:space="0"/>
              <w:right w:val="single" w:color="000000" w:sz="4" w:space="0"/>
            </w:tcBorders>
            <w:tcMar>
              <w:left w:w="103" w:type="dxa"/>
            </w:tcMar>
            <w:vAlign w:val="center"/>
          </w:tcPr>
          <w:p w14:paraId="0DAFAA75">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评审内容</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1E191903">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实得分</w:t>
            </w:r>
          </w:p>
        </w:tc>
      </w:tr>
      <w:tr w14:paraId="29A1FCBC">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2319" w:hRule="atLeast"/>
        </w:trPr>
        <w:tc>
          <w:tcPr>
            <w:tcW w:w="740" w:type="dxa"/>
            <w:tcBorders>
              <w:top w:val="single" w:color="000000" w:sz="4" w:space="0"/>
              <w:left w:val="single" w:color="000000" w:sz="4" w:space="0"/>
              <w:bottom w:val="single" w:color="000000" w:sz="4" w:space="0"/>
            </w:tcBorders>
            <w:tcMar>
              <w:left w:w="103" w:type="dxa"/>
            </w:tcMar>
            <w:vAlign w:val="center"/>
          </w:tcPr>
          <w:p w14:paraId="00D5F7A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160" w:type="dxa"/>
            <w:tcBorders>
              <w:top w:val="single" w:color="000000" w:sz="4" w:space="0"/>
              <w:left w:val="single" w:color="000000" w:sz="4" w:space="0"/>
              <w:bottom w:val="single" w:color="000000" w:sz="4" w:space="0"/>
            </w:tcBorders>
            <w:tcMar>
              <w:left w:w="103" w:type="dxa"/>
            </w:tcMar>
            <w:vAlign w:val="center"/>
          </w:tcPr>
          <w:p w14:paraId="53DFD6F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投标分</w:t>
            </w:r>
          </w:p>
        </w:tc>
        <w:tc>
          <w:tcPr>
            <w:tcW w:w="800" w:type="dxa"/>
            <w:tcBorders>
              <w:top w:val="single" w:color="000000" w:sz="4" w:space="0"/>
              <w:left w:val="single" w:color="000000" w:sz="4" w:space="0"/>
              <w:bottom w:val="single" w:color="000000" w:sz="4" w:space="0"/>
            </w:tcBorders>
            <w:tcMar>
              <w:left w:w="103" w:type="dxa"/>
            </w:tcMar>
            <w:vAlign w:val="center"/>
          </w:tcPr>
          <w:p w14:paraId="022BBA2B">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0分</w:t>
            </w:r>
          </w:p>
        </w:tc>
        <w:tc>
          <w:tcPr>
            <w:tcW w:w="5356" w:type="dxa"/>
            <w:tcBorders>
              <w:top w:val="single" w:color="000000" w:sz="4" w:space="0"/>
              <w:left w:val="single" w:color="000000" w:sz="4" w:space="0"/>
              <w:bottom w:val="single" w:color="000000" w:sz="4" w:space="0"/>
              <w:right w:val="single" w:color="000000" w:sz="4" w:space="0"/>
            </w:tcBorders>
            <w:tcMar>
              <w:left w:w="103" w:type="dxa"/>
            </w:tcMar>
            <w:vAlign w:val="center"/>
          </w:tcPr>
          <w:p w14:paraId="5086D95D">
            <w:pPr>
              <w:spacing w:line="360" w:lineRule="auto"/>
              <w:rPr>
                <w:rFonts w:hint="eastAsia" w:ascii="宋体" w:hAnsi="宋体" w:eastAsia="宋体" w:cs="宋体"/>
                <w:sz w:val="24"/>
              </w:rPr>
            </w:pPr>
            <w:r>
              <w:rPr>
                <w:rFonts w:hint="eastAsia" w:ascii="宋体" w:hAnsi="宋体" w:eastAsia="宋体" w:cs="宋体"/>
                <w:sz w:val="24"/>
              </w:rPr>
              <w:t>价格分应当采用低价优先法计算，即满足招标文件要求且最后报价最低的价格为评标基准价，其价格分为满分。其他供应商的价格分统一按照下列公式计算：</w:t>
            </w:r>
          </w:p>
          <w:p w14:paraId="0084DFBF">
            <w:pPr>
              <w:spacing w:line="360" w:lineRule="auto"/>
              <w:rPr>
                <w:rFonts w:hint="eastAsia" w:ascii="宋体" w:hAnsi="宋体" w:eastAsia="宋体" w:cs="宋体"/>
                <w:sz w:val="24"/>
              </w:rPr>
            </w:pPr>
            <w:r>
              <w:rPr>
                <w:rFonts w:hint="eastAsia" w:ascii="宋体" w:hAnsi="宋体" w:eastAsia="宋体" w:cs="宋体"/>
                <w:sz w:val="24"/>
              </w:rPr>
              <w:t>报价得分=（评标基准价/最后报价）×100×</w:t>
            </w:r>
            <w:r>
              <w:rPr>
                <w:rFonts w:hint="eastAsia" w:ascii="宋体" w:hAnsi="宋体" w:eastAsia="宋体" w:cs="宋体"/>
                <w:sz w:val="24"/>
                <w:lang w:val="en-US" w:eastAsia="zh-CN"/>
              </w:rPr>
              <w:t>9</w:t>
            </w:r>
            <w:r>
              <w:rPr>
                <w:rFonts w:hint="eastAsia" w:ascii="宋体" w:hAnsi="宋体" w:eastAsia="宋体" w:cs="宋体"/>
                <w:sz w:val="24"/>
              </w:rPr>
              <w:t>0%，评审过程中，不得去掉最后报价中的最高报价和最低报价。（保留到小数点后两位，第三位四舍五入。）</w:t>
            </w:r>
          </w:p>
          <w:p w14:paraId="675B0376">
            <w:pPr>
              <w:spacing w:line="360" w:lineRule="auto"/>
              <w:rPr>
                <w:rFonts w:hint="eastAsia" w:ascii="宋体" w:hAnsi="宋体" w:eastAsia="宋体" w:cs="宋体"/>
                <w:b/>
                <w:sz w:val="24"/>
              </w:rPr>
            </w:pPr>
            <w:r>
              <w:rPr>
                <w:rFonts w:hint="eastAsia" w:ascii="宋体" w:hAnsi="宋体" w:eastAsia="宋体" w:cs="宋体"/>
                <w:sz w:val="24"/>
              </w:rPr>
              <w:t>如报价出现异常，评标委员会由权要求相应投标人作出说明，如说明理由不合理或不说明理由，评标委员会有权将该投标人投标视为废标</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71AA796D">
            <w:pPr>
              <w:spacing w:line="360" w:lineRule="auto"/>
              <w:rPr>
                <w:rFonts w:hint="eastAsia" w:ascii="宋体" w:hAnsi="宋体" w:eastAsia="宋体" w:cs="宋体"/>
                <w:sz w:val="24"/>
                <w:szCs w:val="24"/>
              </w:rPr>
            </w:pPr>
          </w:p>
        </w:tc>
      </w:tr>
    </w:tbl>
    <w:p w14:paraId="72E789AD">
      <w:pPr>
        <w:pStyle w:val="15"/>
        <w:ind w:left="0" w:leftChars="0" w:firstLine="0" w:firstLineChars="0"/>
        <w:rPr>
          <w:rFonts w:hint="eastAsia" w:ascii="宋体" w:hAnsi="宋体" w:eastAsia="宋体" w:cs="宋体"/>
          <w:color w:val="auto"/>
        </w:rPr>
      </w:pPr>
    </w:p>
    <w:p w14:paraId="3DB0B674">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.定标办法</w:t>
      </w:r>
    </w:p>
    <w:p w14:paraId="564E5C0A">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.1总得分</w:t>
      </w:r>
    </w:p>
    <w:p w14:paraId="66E03481">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各投标人得分=（</w:t>
      </w:r>
      <w:r>
        <w:rPr>
          <w:rFonts w:hint="eastAsia" w:ascii="宋体" w:hAnsi="宋体" w:eastAsia="宋体" w:cs="宋体"/>
          <w:color w:val="auto"/>
          <w:sz w:val="24"/>
          <w:lang w:val="en-US" w:eastAsia="zh-CN"/>
        </w:rPr>
        <w:t>技术</w:t>
      </w:r>
      <w:r>
        <w:rPr>
          <w:rFonts w:hint="eastAsia" w:ascii="宋体" w:hAnsi="宋体" w:eastAsia="宋体" w:cs="宋体"/>
          <w:color w:val="auto"/>
          <w:sz w:val="24"/>
        </w:rPr>
        <w:t>分+价格分）。</w:t>
      </w:r>
    </w:p>
    <w:p w14:paraId="23A589A5">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w:t>
      </w:r>
      <w:r>
        <w:rPr>
          <w:rFonts w:hint="eastAsia" w:ascii="宋体" w:hAnsi="宋体" w:eastAsia="宋体" w:cs="宋体"/>
          <w:color w:val="auto"/>
          <w:sz w:val="24"/>
          <w:lang w:val="en-US" w:eastAsia="zh-CN"/>
        </w:rPr>
        <w:t>2</w:t>
      </w:r>
      <w:r>
        <w:rPr>
          <w:rFonts w:hint="eastAsia" w:ascii="宋体" w:hAnsi="宋体" w:eastAsia="宋体" w:cs="宋体"/>
          <w:color w:val="auto"/>
          <w:sz w:val="24"/>
        </w:rPr>
        <w:t>评委评审打分、计分过程中各项分数均取小数点后两位，小数点后第三位四舍五入。根据各评委的打分结果，在计算投标人得分时，对评委的</w:t>
      </w:r>
      <w:r>
        <w:rPr>
          <w:rFonts w:hint="eastAsia" w:ascii="宋体" w:hAnsi="宋体" w:eastAsia="宋体" w:cs="宋体"/>
          <w:color w:val="auto"/>
          <w:sz w:val="24"/>
          <w:lang w:eastAsia="zh-CN"/>
        </w:rPr>
        <w:t>技术</w:t>
      </w:r>
      <w:r>
        <w:rPr>
          <w:rFonts w:hint="eastAsia" w:ascii="宋体" w:hAnsi="宋体" w:eastAsia="宋体" w:cs="宋体"/>
          <w:color w:val="auto"/>
          <w:sz w:val="24"/>
        </w:rPr>
        <w:t>部分的打分结果分别汇总，再进行算术平均，计算出各有效投标人的得分。</w:t>
      </w:r>
    </w:p>
    <w:p w14:paraId="7B3289AD">
      <w:pPr>
        <w:spacing w:line="360" w:lineRule="auto"/>
        <w:ind w:firstLine="480" w:firstLineChars="200"/>
        <w:rPr>
          <w:rFonts w:hint="eastAsia" w:ascii="宋体" w:hAnsi="宋体" w:eastAsia="宋体" w:cs="宋体"/>
          <w:color w:val="auto"/>
          <w:sz w:val="24"/>
          <w:highlight w:val="yellow"/>
          <w:lang w:val="en-US" w:eastAsia="zh-CN"/>
        </w:rPr>
      </w:pPr>
      <w:r>
        <w:rPr>
          <w:rFonts w:hint="eastAsia" w:ascii="宋体" w:hAnsi="宋体" w:eastAsia="宋体" w:cs="宋体"/>
          <w:color w:val="auto"/>
          <w:sz w:val="24"/>
          <w:lang w:val="en-US" w:eastAsia="zh-CN"/>
        </w:rPr>
        <w:t>5</w:t>
      </w:r>
      <w:r>
        <w:rPr>
          <w:rFonts w:hint="eastAsia" w:ascii="宋体" w:hAnsi="宋体" w:eastAsia="宋体" w:cs="宋体"/>
          <w:color w:val="auto"/>
          <w:sz w:val="24"/>
        </w:rPr>
        <w:t>.评标小组评委依据得分高低顺序依次确定</w:t>
      </w:r>
      <w:r>
        <w:rPr>
          <w:rFonts w:hint="eastAsia" w:ascii="宋体" w:hAnsi="宋体" w:eastAsia="宋体" w:cs="宋体"/>
          <w:color w:val="auto"/>
          <w:sz w:val="24"/>
          <w:lang w:val="en-US" w:eastAsia="zh-CN"/>
        </w:rPr>
        <w:t>一家</w:t>
      </w:r>
      <w:r>
        <w:rPr>
          <w:rFonts w:hint="eastAsia" w:ascii="宋体" w:hAnsi="宋体" w:eastAsia="宋体" w:cs="宋体"/>
          <w:color w:val="auto"/>
          <w:sz w:val="24"/>
        </w:rPr>
        <w:t>中标候选人。如果出现并列得分最高，则确定价格较低者排名在前；价格投标仍相</w:t>
      </w:r>
      <w:r>
        <w:rPr>
          <w:rFonts w:hint="eastAsia" w:ascii="宋体" w:hAnsi="宋体" w:eastAsia="宋体" w:cs="宋体"/>
          <w:color w:val="auto"/>
          <w:sz w:val="24"/>
          <w:lang w:val="en-US" w:eastAsia="zh-CN"/>
        </w:rPr>
        <w:t>同时则采用抽签方式现场确定中标候选人。</w:t>
      </w:r>
    </w:p>
    <w:p w14:paraId="37609128">
      <w:pPr>
        <w:spacing w:line="360" w:lineRule="auto"/>
        <w:ind w:firstLine="480" w:firstLineChars="200"/>
        <w:rPr>
          <w:rFonts w:hint="eastAsia" w:ascii="宋体" w:hAnsi="宋体" w:eastAsia="宋体" w:cs="宋体"/>
          <w:lang w:val="en-US" w:eastAsia="zh-CN"/>
        </w:rPr>
        <w:sectPr>
          <w:pgSz w:w="11907" w:h="16839"/>
          <w:pgMar w:top="1432" w:right="1335" w:bottom="1201" w:left="1389" w:header="852" w:footer="1021"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sz w:val="24"/>
          <w:lang w:val="en-US" w:eastAsia="zh-CN"/>
        </w:rPr>
        <w:t>6</w:t>
      </w:r>
      <w:r>
        <w:rPr>
          <w:rFonts w:hint="eastAsia" w:ascii="宋体" w:hAnsi="宋体" w:eastAsia="宋体" w:cs="宋体"/>
          <w:color w:val="auto"/>
          <w:sz w:val="24"/>
        </w:rPr>
        <w:t>.中标人因不可抗力或者自身原因放弃中标资格或者不能履行合同的，招标人可取消其中标资格，中标人还应对招标人造成的损失予以赔偿。同时，招标人可以视情况与排位在中标人之后第一位的中标候选人签订合同，以此类推</w:t>
      </w:r>
      <w:r>
        <w:rPr>
          <w:rFonts w:hint="eastAsia" w:ascii="宋体" w:hAnsi="宋体" w:eastAsia="宋体" w:cs="宋体"/>
          <w:color w:val="auto"/>
          <w:sz w:val="24"/>
          <w:lang w:eastAsia="zh-CN"/>
        </w:rPr>
        <w:t>。</w:t>
      </w:r>
    </w:p>
    <w:p w14:paraId="1EF4307E">
      <w:pPr>
        <w:spacing w:before="240" w:beforeLines="100" w:after="120" w:afterLines="50" w:line="360" w:lineRule="auto"/>
        <w:jc w:val="center"/>
        <w:outlineLvl w:val="0"/>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bookmarkStart w:id="95" w:name="_Toc12820"/>
      <w:bookmarkStart w:id="96" w:name="_Toc20197"/>
      <w:bookmarkStart w:id="97" w:name="_Toc7216"/>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五、技术要求</w:t>
      </w:r>
      <w:bookmarkEnd w:id="95"/>
      <w:bookmarkEnd w:id="96"/>
      <w:bookmarkEnd w:id="97"/>
    </w:p>
    <w:p w14:paraId="27ECD777">
      <w:pPr>
        <w:pStyle w:val="6"/>
        <w:spacing w:line="360" w:lineRule="auto"/>
        <w:rPr>
          <w:rFonts w:hint="eastAsia" w:ascii="宋体" w:hAnsi="宋体" w:eastAsia="宋体" w:cs="宋体"/>
        </w:rPr>
      </w:pPr>
      <w:r>
        <w:rPr>
          <w:rFonts w:hint="eastAsia" w:ascii="宋体" w:hAnsi="宋体" w:eastAsia="宋体" w:cs="宋体"/>
        </w:rPr>
        <w:t>投标人应满足以下要求：</w:t>
      </w:r>
    </w:p>
    <w:p w14:paraId="17CA7173">
      <w:pPr>
        <w:pStyle w:val="6"/>
        <w:spacing w:line="360" w:lineRule="auto"/>
        <w:rPr>
          <w:rFonts w:hint="eastAsia" w:ascii="宋体" w:hAnsi="宋体" w:eastAsia="宋体" w:cs="宋体"/>
          <w:lang w:val="en-US" w:eastAsia="zh-CN"/>
        </w:rPr>
      </w:pPr>
      <w:r>
        <w:rPr>
          <w:rFonts w:hint="eastAsia" w:cs="宋体"/>
          <w:lang w:val="en-US" w:eastAsia="zh-CN"/>
        </w:rPr>
        <w:t>冷轧、热轧酸洗板、不锈钢冷板</w:t>
      </w:r>
      <w:r>
        <w:rPr>
          <w:rFonts w:hint="eastAsia" w:ascii="宋体" w:hAnsi="宋体" w:eastAsia="宋体" w:cs="宋体"/>
          <w:lang w:val="en-US" w:eastAsia="zh-CN"/>
        </w:rPr>
        <w:t>理化指标：</w:t>
      </w:r>
    </w:p>
    <w:p w14:paraId="0FD9E1B9">
      <w:pPr>
        <w:pStyle w:val="6"/>
        <w:numPr>
          <w:ilvl w:val="0"/>
          <w:numId w:val="0"/>
        </w:numPr>
        <w:kinsoku w:val="0"/>
        <w:autoSpaceDE w:val="0"/>
        <w:autoSpaceDN w:val="0"/>
        <w:adjustRightInd w:val="0"/>
        <w:snapToGrid w:val="0"/>
        <w:spacing w:line="360" w:lineRule="auto"/>
        <w:textAlignment w:val="baseline"/>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序号一：</w:t>
      </w:r>
    </w:p>
    <w:tbl>
      <w:tblPr>
        <w:tblStyle w:val="22"/>
        <w:tblpPr w:leftFromText="180" w:rightFromText="180" w:vertAnchor="text" w:horzAnchor="margin" w:tblpXSpec="center" w:tblpY="75"/>
        <w:tblOverlap w:val="never"/>
        <w:tblW w:w="878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3"/>
        <w:gridCol w:w="1"/>
        <w:gridCol w:w="1066"/>
        <w:gridCol w:w="4"/>
        <w:gridCol w:w="846"/>
        <w:gridCol w:w="1333"/>
        <w:gridCol w:w="3434"/>
        <w:gridCol w:w="1410"/>
      </w:tblGrid>
      <w:tr w14:paraId="7A124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54" w:hRule="atLeast"/>
          <w:jc w:val="center"/>
        </w:trPr>
        <w:tc>
          <w:tcPr>
            <w:tcW w:w="693" w:type="dxa"/>
            <w:noWrap w:val="0"/>
            <w:vAlign w:val="center"/>
          </w:tcPr>
          <w:p w14:paraId="02543E60">
            <w:pPr>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067" w:type="dxa"/>
            <w:gridSpan w:val="2"/>
            <w:noWrap w:val="0"/>
            <w:vAlign w:val="center"/>
          </w:tcPr>
          <w:p w14:paraId="7BDCDB90">
            <w:pPr>
              <w:jc w:val="center"/>
              <w:rPr>
                <w:rFonts w:hint="eastAsia" w:ascii="宋体" w:hAnsi="宋体" w:eastAsia="宋体" w:cs="宋体"/>
                <w:b/>
                <w:bCs/>
                <w:sz w:val="24"/>
                <w:szCs w:val="24"/>
              </w:rPr>
            </w:pPr>
            <w:r>
              <w:rPr>
                <w:rFonts w:hint="eastAsia" w:ascii="宋体" w:hAnsi="宋体" w:eastAsia="宋体" w:cs="宋体"/>
                <w:b/>
                <w:bCs/>
                <w:sz w:val="24"/>
                <w:szCs w:val="24"/>
              </w:rPr>
              <w:t>原料名称</w:t>
            </w:r>
          </w:p>
        </w:tc>
        <w:tc>
          <w:tcPr>
            <w:tcW w:w="850" w:type="dxa"/>
            <w:gridSpan w:val="2"/>
            <w:tcBorders>
              <w:right w:val="single" w:color="auto" w:sz="4" w:space="0"/>
            </w:tcBorders>
            <w:noWrap w:val="0"/>
            <w:vAlign w:val="center"/>
          </w:tcPr>
          <w:p w14:paraId="06F14CA2">
            <w:pPr>
              <w:jc w:val="center"/>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材质</w:t>
            </w:r>
          </w:p>
        </w:tc>
        <w:tc>
          <w:tcPr>
            <w:tcW w:w="1333" w:type="dxa"/>
            <w:tcBorders>
              <w:left w:val="single" w:color="auto" w:sz="4" w:space="0"/>
              <w:right w:val="single" w:color="auto" w:sz="4" w:space="0"/>
            </w:tcBorders>
            <w:noWrap w:val="0"/>
            <w:vAlign w:val="center"/>
          </w:tcPr>
          <w:p w14:paraId="35AE3767">
            <w:pPr>
              <w:jc w:val="center"/>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厚度mm</w:t>
            </w:r>
          </w:p>
        </w:tc>
        <w:tc>
          <w:tcPr>
            <w:tcW w:w="3434" w:type="dxa"/>
            <w:tcBorders>
              <w:left w:val="single" w:color="auto" w:sz="4" w:space="0"/>
            </w:tcBorders>
            <w:noWrap w:val="0"/>
            <w:vAlign w:val="center"/>
          </w:tcPr>
          <w:p w14:paraId="47D0754B">
            <w:pPr>
              <w:jc w:val="center"/>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*性能指标</w:t>
            </w:r>
          </w:p>
        </w:tc>
        <w:tc>
          <w:tcPr>
            <w:tcW w:w="1410" w:type="dxa"/>
            <w:noWrap w:val="0"/>
            <w:vAlign w:val="center"/>
          </w:tcPr>
          <w:p w14:paraId="3A264A0D">
            <w:pPr>
              <w:jc w:val="center"/>
              <w:rPr>
                <w:rFonts w:hint="eastAsia" w:ascii="宋体" w:hAnsi="宋体" w:eastAsia="宋体" w:cs="宋体"/>
                <w:b/>
                <w:bCs/>
                <w:sz w:val="24"/>
                <w:szCs w:val="24"/>
                <w:lang w:val="en-US" w:eastAsia="zh-CN"/>
              </w:rPr>
            </w:pPr>
            <w:r>
              <w:rPr>
                <w:rFonts w:hint="eastAsia" w:ascii="仿宋" w:hAnsi="仿宋" w:eastAsia="仿宋" w:cs="仿宋"/>
                <w:b/>
                <w:bCs/>
                <w:kern w:val="0"/>
                <w:sz w:val="21"/>
                <w:szCs w:val="21"/>
                <w:lang w:val="en-US" w:eastAsia="zh-CN"/>
              </w:rPr>
              <w:t>备注</w:t>
            </w:r>
          </w:p>
        </w:tc>
      </w:tr>
      <w:tr w14:paraId="4F9F16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 w:hRule="atLeast"/>
          <w:jc w:val="center"/>
        </w:trPr>
        <w:tc>
          <w:tcPr>
            <w:tcW w:w="693" w:type="dxa"/>
            <w:vMerge w:val="restart"/>
            <w:noWrap w:val="0"/>
            <w:vAlign w:val="center"/>
          </w:tcPr>
          <w:p w14:paraId="11CD30CA">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067" w:type="dxa"/>
            <w:gridSpan w:val="2"/>
            <w:vMerge w:val="restart"/>
            <w:noWrap w:val="0"/>
            <w:vAlign w:val="center"/>
          </w:tcPr>
          <w:p w14:paraId="20FDC1AA">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冷轧板</w:t>
            </w:r>
          </w:p>
        </w:tc>
        <w:tc>
          <w:tcPr>
            <w:tcW w:w="850" w:type="dxa"/>
            <w:gridSpan w:val="2"/>
            <w:vMerge w:val="restart"/>
            <w:tcBorders>
              <w:right w:val="single" w:color="auto" w:sz="4" w:space="0"/>
            </w:tcBorders>
            <w:noWrap w:val="0"/>
            <w:vAlign w:val="center"/>
          </w:tcPr>
          <w:p w14:paraId="2628FDC4">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Q235</w:t>
            </w:r>
          </w:p>
          <w:p w14:paraId="12534046">
            <w:pPr>
              <w:keepNext w:val="0"/>
              <w:keepLines w:val="0"/>
              <w:widowControl/>
              <w:suppressLineNumbers w:val="0"/>
              <w:jc w:val="center"/>
              <w:textAlignment w:val="center"/>
              <w:rPr>
                <w:rFonts w:hint="default"/>
                <w:lang w:val="en-US" w:eastAsia="zh-CN"/>
              </w:rPr>
            </w:pPr>
          </w:p>
        </w:tc>
        <w:tc>
          <w:tcPr>
            <w:tcW w:w="1333" w:type="dxa"/>
            <w:tcBorders>
              <w:left w:val="single" w:color="auto" w:sz="4" w:space="0"/>
              <w:bottom w:val="single" w:color="auto" w:sz="4" w:space="0"/>
              <w:right w:val="single" w:color="auto" w:sz="4" w:space="0"/>
            </w:tcBorders>
            <w:noWrap w:val="0"/>
            <w:vAlign w:val="center"/>
          </w:tcPr>
          <w:p w14:paraId="2064209A">
            <w:pPr>
              <w:keepNext w:val="0"/>
              <w:keepLines w:val="0"/>
              <w:widowControl/>
              <w:suppressLineNumbers w:val="0"/>
              <w:jc w:val="center"/>
              <w:textAlignment w:val="center"/>
              <w:rPr>
                <w:rFonts w:hint="eastAsia" w:ascii="宋体" w:hAnsi="宋体" w:eastAsia="宋体" w:cs="宋体"/>
                <w:snapToGrid w:val="0"/>
                <w:color w:val="000000"/>
                <w:sz w:val="21"/>
                <w:szCs w:val="21"/>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≤0.5</w:t>
            </w:r>
          </w:p>
        </w:tc>
        <w:tc>
          <w:tcPr>
            <w:tcW w:w="3434" w:type="dxa"/>
            <w:vMerge w:val="restart"/>
            <w:tcBorders>
              <w:left w:val="single" w:color="auto" w:sz="4" w:space="0"/>
            </w:tcBorders>
            <w:noWrap w:val="0"/>
            <w:vAlign w:val="center"/>
          </w:tcPr>
          <w:p w14:paraId="67EB048C">
            <w:pPr>
              <w:jc w:val="center"/>
              <w:rPr>
                <w:rFonts w:hint="eastAsia" w:ascii="宋体" w:hAnsi="宋体" w:eastAsia="宋体" w:cs="宋体"/>
                <w:sz w:val="24"/>
                <w:szCs w:val="24"/>
                <w:lang w:val="en-US" w:eastAsia="zh-CN"/>
              </w:rPr>
            </w:pPr>
            <w:r>
              <w:rPr>
                <w:rFonts w:ascii="宋体" w:hAnsi="宋体" w:eastAsia="宋体" w:cs="宋体"/>
                <w:sz w:val="24"/>
                <w:szCs w:val="24"/>
              </w:rPr>
              <w:t>屈服强度</w:t>
            </w:r>
            <w:r>
              <w:rPr>
                <w:rFonts w:hint="eastAsia" w:ascii="宋体" w:hAnsi="宋体" w:eastAsia="宋体" w:cs="宋体"/>
                <w:sz w:val="24"/>
                <w:szCs w:val="24"/>
                <w:lang w:val="en-US" w:eastAsia="zh-CN"/>
              </w:rPr>
              <w:t>≥235</w:t>
            </w:r>
          </w:p>
          <w:p w14:paraId="537FC67F">
            <w:pPr>
              <w:jc w:val="center"/>
              <w:rPr>
                <w:rFonts w:hint="default" w:ascii="宋体" w:hAnsi="宋体" w:eastAsia="宋体" w:cs="宋体"/>
                <w:snapToGrid w:val="0"/>
                <w:color w:val="000000"/>
                <w:sz w:val="21"/>
                <w:szCs w:val="21"/>
                <w:lang w:val="en-US" w:eastAsia="zh-CN" w:bidi="ar-SA"/>
              </w:rPr>
            </w:pPr>
            <w:r>
              <w:rPr>
                <w:rFonts w:ascii="宋体" w:hAnsi="宋体" w:eastAsia="宋体" w:cs="宋体"/>
                <w:sz w:val="24"/>
                <w:szCs w:val="24"/>
              </w:rPr>
              <w:t>抗拉强度</w:t>
            </w:r>
            <w:r>
              <w:rPr>
                <w:rFonts w:hint="eastAsia" w:ascii="宋体" w:hAnsi="宋体" w:eastAsia="宋体" w:cs="宋体"/>
                <w:sz w:val="24"/>
                <w:szCs w:val="24"/>
                <w:lang w:val="en-US" w:eastAsia="zh-CN"/>
              </w:rPr>
              <w:t>370~500</w:t>
            </w:r>
            <w:r>
              <w:rPr>
                <w:rFonts w:hint="eastAsia" w:ascii="宋体" w:hAnsi="宋体" w:eastAsia="宋体" w:cs="宋体"/>
                <w:sz w:val="24"/>
                <w:szCs w:val="24"/>
                <w:lang w:val="en-US" w:eastAsia="zh-CN"/>
              </w:rPr>
              <w:br w:type="textWrapping"/>
            </w:r>
            <w:r>
              <w:rPr>
                <w:rFonts w:ascii="宋体" w:hAnsi="宋体" w:eastAsia="宋体" w:cs="宋体"/>
                <w:sz w:val="24"/>
                <w:szCs w:val="24"/>
              </w:rPr>
              <w:t>伸长率≥22</w:t>
            </w:r>
          </w:p>
        </w:tc>
        <w:tc>
          <w:tcPr>
            <w:tcW w:w="1410" w:type="dxa"/>
            <w:vMerge w:val="restart"/>
            <w:noWrap w:val="0"/>
            <w:vAlign w:val="center"/>
          </w:tcPr>
          <w:p w14:paraId="3C3D16F9">
            <w:pPr>
              <w:jc w:val="center"/>
              <w:rPr>
                <w:rFonts w:hint="default" w:ascii="宋体" w:hAnsi="宋体" w:eastAsia="宋体" w:cs="宋体"/>
                <w:sz w:val="24"/>
                <w:szCs w:val="24"/>
                <w:lang w:val="en-US" w:eastAsia="zh-CN"/>
              </w:rPr>
            </w:pPr>
          </w:p>
          <w:p w14:paraId="112925AC">
            <w:pPr>
              <w:jc w:val="center"/>
              <w:rPr>
                <w:rFonts w:hint="default" w:ascii="宋体" w:hAnsi="宋体" w:eastAsia="宋体" w:cs="宋体"/>
                <w:sz w:val="24"/>
                <w:szCs w:val="24"/>
                <w:lang w:val="en-US" w:eastAsia="zh-CN"/>
              </w:rPr>
            </w:pPr>
          </w:p>
        </w:tc>
      </w:tr>
      <w:tr w14:paraId="42B11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jc w:val="center"/>
        </w:trPr>
        <w:tc>
          <w:tcPr>
            <w:tcW w:w="693" w:type="dxa"/>
            <w:vMerge w:val="continue"/>
            <w:noWrap w:val="0"/>
            <w:vAlign w:val="center"/>
          </w:tcPr>
          <w:p w14:paraId="6B5409AF">
            <w:pPr>
              <w:jc w:val="center"/>
              <w:rPr>
                <w:rFonts w:hint="eastAsia" w:ascii="宋体" w:hAnsi="宋体" w:eastAsia="宋体" w:cs="宋体"/>
                <w:sz w:val="24"/>
                <w:szCs w:val="24"/>
                <w:lang w:val="en-US" w:eastAsia="zh-CN"/>
              </w:rPr>
            </w:pPr>
          </w:p>
        </w:tc>
        <w:tc>
          <w:tcPr>
            <w:tcW w:w="1067" w:type="dxa"/>
            <w:gridSpan w:val="2"/>
            <w:vMerge w:val="continue"/>
            <w:noWrap w:val="0"/>
            <w:vAlign w:val="center"/>
          </w:tcPr>
          <w:p w14:paraId="23E657FE">
            <w:pPr>
              <w:jc w:val="center"/>
              <w:rPr>
                <w:rFonts w:hint="eastAsia" w:ascii="宋体" w:hAnsi="宋体" w:eastAsia="宋体" w:cs="宋体"/>
                <w:sz w:val="24"/>
                <w:szCs w:val="24"/>
                <w:lang w:val="en-US" w:eastAsia="zh-CN"/>
              </w:rPr>
            </w:pPr>
          </w:p>
        </w:tc>
        <w:tc>
          <w:tcPr>
            <w:tcW w:w="850" w:type="dxa"/>
            <w:gridSpan w:val="2"/>
            <w:vMerge w:val="continue"/>
            <w:tcBorders>
              <w:right w:val="single" w:color="auto" w:sz="4" w:space="0"/>
            </w:tcBorders>
            <w:noWrap w:val="0"/>
            <w:vAlign w:val="center"/>
          </w:tcPr>
          <w:p w14:paraId="36CE1507">
            <w:pPr>
              <w:keepNext w:val="0"/>
              <w:keepLines w:val="0"/>
              <w:widowControl/>
              <w:suppressLineNumbers w:val="0"/>
              <w:jc w:val="center"/>
              <w:textAlignment w:val="center"/>
              <w:rPr>
                <w:rFonts w:hint="eastAsia"/>
                <w:lang w:val="en-US" w:eastAsia="zh-CN"/>
              </w:rPr>
            </w:pPr>
          </w:p>
        </w:tc>
        <w:tc>
          <w:tcPr>
            <w:tcW w:w="1333" w:type="dxa"/>
            <w:tcBorders>
              <w:top w:val="single" w:color="auto" w:sz="4" w:space="0"/>
              <w:left w:val="single" w:color="auto" w:sz="4" w:space="0"/>
              <w:bottom w:val="single" w:color="auto" w:sz="4" w:space="0"/>
              <w:right w:val="single" w:color="auto" w:sz="4" w:space="0"/>
            </w:tcBorders>
            <w:noWrap w:val="0"/>
            <w:vAlign w:val="center"/>
          </w:tcPr>
          <w:p w14:paraId="4337C5FF">
            <w:pPr>
              <w:keepNext w:val="0"/>
              <w:keepLines w:val="0"/>
              <w:widowControl/>
              <w:suppressLineNumbers w:val="0"/>
              <w:jc w:val="center"/>
              <w:textAlignment w:val="center"/>
              <w:rPr>
                <w:rFonts w:hint="eastAsia" w:ascii="宋体" w:hAnsi="宋体" w:eastAsia="宋体" w:cs="宋体"/>
                <w:snapToGrid w:val="0"/>
                <w:color w:val="000000"/>
                <w:sz w:val="21"/>
                <w:szCs w:val="21"/>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＞0.5~1.0</w:t>
            </w:r>
          </w:p>
        </w:tc>
        <w:tc>
          <w:tcPr>
            <w:tcW w:w="3434" w:type="dxa"/>
            <w:vMerge w:val="continue"/>
            <w:tcBorders>
              <w:left w:val="single" w:color="auto" w:sz="4" w:space="0"/>
            </w:tcBorders>
            <w:noWrap w:val="0"/>
            <w:vAlign w:val="center"/>
          </w:tcPr>
          <w:p w14:paraId="5C59C40D">
            <w:pPr>
              <w:jc w:val="center"/>
              <w:rPr>
                <w:rFonts w:hint="eastAsia" w:ascii="宋体" w:hAnsi="宋体" w:eastAsia="宋体" w:cs="宋体"/>
                <w:snapToGrid w:val="0"/>
                <w:color w:val="000000"/>
                <w:sz w:val="21"/>
                <w:szCs w:val="21"/>
                <w:lang w:val="en-US" w:eastAsia="zh-CN" w:bidi="ar-SA"/>
              </w:rPr>
            </w:pPr>
          </w:p>
        </w:tc>
        <w:tc>
          <w:tcPr>
            <w:tcW w:w="1410" w:type="dxa"/>
            <w:vMerge w:val="continue"/>
            <w:noWrap w:val="0"/>
            <w:vAlign w:val="center"/>
          </w:tcPr>
          <w:p w14:paraId="654751A8">
            <w:pPr>
              <w:jc w:val="center"/>
              <w:rPr>
                <w:rFonts w:hint="eastAsia" w:ascii="宋体" w:hAnsi="宋体" w:eastAsia="宋体" w:cs="宋体"/>
                <w:sz w:val="24"/>
                <w:szCs w:val="24"/>
                <w:lang w:val="en-US" w:eastAsia="zh-CN"/>
              </w:rPr>
            </w:pPr>
          </w:p>
        </w:tc>
      </w:tr>
      <w:tr w14:paraId="5D49BA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 w:hRule="atLeast"/>
          <w:jc w:val="center"/>
        </w:trPr>
        <w:tc>
          <w:tcPr>
            <w:tcW w:w="693" w:type="dxa"/>
            <w:vMerge w:val="continue"/>
            <w:noWrap w:val="0"/>
            <w:vAlign w:val="center"/>
          </w:tcPr>
          <w:p w14:paraId="618FD3A5">
            <w:pPr>
              <w:jc w:val="center"/>
              <w:rPr>
                <w:rFonts w:hint="eastAsia" w:ascii="宋体" w:hAnsi="宋体" w:eastAsia="宋体" w:cs="宋体"/>
                <w:sz w:val="24"/>
                <w:szCs w:val="24"/>
                <w:lang w:val="en-US" w:eastAsia="zh-CN"/>
              </w:rPr>
            </w:pPr>
          </w:p>
        </w:tc>
        <w:tc>
          <w:tcPr>
            <w:tcW w:w="1067" w:type="dxa"/>
            <w:gridSpan w:val="2"/>
            <w:vMerge w:val="continue"/>
            <w:noWrap w:val="0"/>
            <w:vAlign w:val="center"/>
          </w:tcPr>
          <w:p w14:paraId="09626E78">
            <w:pPr>
              <w:jc w:val="center"/>
              <w:rPr>
                <w:rFonts w:hint="eastAsia" w:ascii="宋体" w:hAnsi="宋体" w:eastAsia="宋体" w:cs="宋体"/>
                <w:sz w:val="24"/>
                <w:szCs w:val="24"/>
                <w:lang w:val="en-US" w:eastAsia="zh-CN"/>
              </w:rPr>
            </w:pPr>
          </w:p>
        </w:tc>
        <w:tc>
          <w:tcPr>
            <w:tcW w:w="850" w:type="dxa"/>
            <w:gridSpan w:val="2"/>
            <w:vMerge w:val="continue"/>
            <w:tcBorders>
              <w:right w:val="single" w:color="auto" w:sz="4" w:space="0"/>
            </w:tcBorders>
            <w:noWrap w:val="0"/>
            <w:vAlign w:val="center"/>
          </w:tcPr>
          <w:p w14:paraId="731BB17A">
            <w:pPr>
              <w:keepNext w:val="0"/>
              <w:keepLines w:val="0"/>
              <w:widowControl/>
              <w:suppressLineNumbers w:val="0"/>
              <w:jc w:val="center"/>
              <w:textAlignment w:val="center"/>
              <w:rPr>
                <w:rFonts w:hint="eastAsia"/>
                <w:lang w:val="en-US" w:eastAsia="zh-CN"/>
              </w:rPr>
            </w:pPr>
          </w:p>
        </w:tc>
        <w:tc>
          <w:tcPr>
            <w:tcW w:w="1333" w:type="dxa"/>
            <w:tcBorders>
              <w:top w:val="single" w:color="auto" w:sz="4" w:space="0"/>
              <w:left w:val="single" w:color="auto" w:sz="4" w:space="0"/>
              <w:bottom w:val="single" w:color="auto" w:sz="4" w:space="0"/>
              <w:right w:val="single" w:color="auto" w:sz="4" w:space="0"/>
            </w:tcBorders>
            <w:noWrap w:val="0"/>
            <w:vAlign w:val="center"/>
          </w:tcPr>
          <w:p w14:paraId="48ED977A">
            <w:pPr>
              <w:keepNext w:val="0"/>
              <w:keepLines w:val="0"/>
              <w:widowControl/>
              <w:suppressLineNumbers w:val="0"/>
              <w:jc w:val="center"/>
              <w:textAlignment w:val="center"/>
              <w:rPr>
                <w:rFonts w:hint="eastAsia" w:ascii="宋体" w:hAnsi="宋体" w:eastAsia="宋体" w:cs="宋体"/>
                <w:snapToGrid w:val="0"/>
                <w:color w:val="000000"/>
                <w:sz w:val="21"/>
                <w:szCs w:val="21"/>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＞1.0~3.0</w:t>
            </w:r>
          </w:p>
        </w:tc>
        <w:tc>
          <w:tcPr>
            <w:tcW w:w="3434" w:type="dxa"/>
            <w:vMerge w:val="continue"/>
            <w:tcBorders>
              <w:left w:val="single" w:color="auto" w:sz="4" w:space="0"/>
            </w:tcBorders>
            <w:noWrap w:val="0"/>
            <w:vAlign w:val="center"/>
          </w:tcPr>
          <w:p w14:paraId="4CB80732">
            <w:pPr>
              <w:jc w:val="center"/>
              <w:rPr>
                <w:rFonts w:hint="eastAsia" w:ascii="宋体" w:hAnsi="宋体" w:eastAsia="宋体" w:cs="宋体"/>
                <w:snapToGrid w:val="0"/>
                <w:color w:val="000000"/>
                <w:sz w:val="21"/>
                <w:szCs w:val="21"/>
                <w:lang w:val="en-US" w:eastAsia="zh-CN" w:bidi="ar-SA"/>
              </w:rPr>
            </w:pPr>
          </w:p>
        </w:tc>
        <w:tc>
          <w:tcPr>
            <w:tcW w:w="1410" w:type="dxa"/>
            <w:vMerge w:val="continue"/>
            <w:noWrap w:val="0"/>
            <w:vAlign w:val="center"/>
          </w:tcPr>
          <w:p w14:paraId="040C4AA2">
            <w:pPr>
              <w:jc w:val="center"/>
              <w:rPr>
                <w:rFonts w:hint="eastAsia" w:ascii="宋体" w:hAnsi="宋体" w:eastAsia="宋体" w:cs="宋体"/>
                <w:sz w:val="24"/>
                <w:szCs w:val="24"/>
                <w:lang w:val="en-US" w:eastAsia="zh-CN"/>
              </w:rPr>
            </w:pPr>
          </w:p>
        </w:tc>
      </w:tr>
      <w:tr w14:paraId="154F01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 w:hRule="atLeast"/>
          <w:jc w:val="center"/>
        </w:trPr>
        <w:tc>
          <w:tcPr>
            <w:tcW w:w="693" w:type="dxa"/>
            <w:vMerge w:val="continue"/>
            <w:noWrap w:val="0"/>
            <w:vAlign w:val="center"/>
          </w:tcPr>
          <w:p w14:paraId="0382BB80">
            <w:pPr>
              <w:jc w:val="center"/>
              <w:rPr>
                <w:rFonts w:hint="eastAsia" w:ascii="宋体" w:hAnsi="宋体" w:eastAsia="宋体" w:cs="宋体"/>
                <w:sz w:val="24"/>
                <w:szCs w:val="24"/>
                <w:lang w:val="en-US" w:eastAsia="zh-CN"/>
              </w:rPr>
            </w:pPr>
          </w:p>
        </w:tc>
        <w:tc>
          <w:tcPr>
            <w:tcW w:w="1067" w:type="dxa"/>
            <w:gridSpan w:val="2"/>
            <w:vMerge w:val="continue"/>
            <w:noWrap w:val="0"/>
            <w:vAlign w:val="center"/>
          </w:tcPr>
          <w:p w14:paraId="309C7264">
            <w:pPr>
              <w:jc w:val="center"/>
              <w:rPr>
                <w:rFonts w:hint="eastAsia" w:ascii="宋体" w:hAnsi="宋体" w:eastAsia="宋体" w:cs="宋体"/>
                <w:sz w:val="24"/>
                <w:szCs w:val="24"/>
                <w:lang w:val="en-US" w:eastAsia="zh-CN"/>
              </w:rPr>
            </w:pPr>
          </w:p>
        </w:tc>
        <w:tc>
          <w:tcPr>
            <w:tcW w:w="850" w:type="dxa"/>
            <w:gridSpan w:val="2"/>
            <w:vMerge w:val="continue"/>
            <w:tcBorders>
              <w:right w:val="single" w:color="auto" w:sz="4" w:space="0"/>
            </w:tcBorders>
            <w:noWrap w:val="0"/>
            <w:vAlign w:val="center"/>
          </w:tcPr>
          <w:p w14:paraId="190D707F">
            <w:pPr>
              <w:keepNext w:val="0"/>
              <w:keepLines w:val="0"/>
              <w:widowControl/>
              <w:suppressLineNumbers w:val="0"/>
              <w:jc w:val="center"/>
              <w:textAlignment w:val="center"/>
              <w:rPr>
                <w:rFonts w:hint="eastAsia"/>
                <w:lang w:val="en-US" w:eastAsia="zh-CN"/>
              </w:rPr>
            </w:pPr>
          </w:p>
        </w:tc>
        <w:tc>
          <w:tcPr>
            <w:tcW w:w="1333" w:type="dxa"/>
            <w:tcBorders>
              <w:top w:val="single" w:color="auto" w:sz="4" w:space="0"/>
              <w:left w:val="single" w:color="auto" w:sz="4" w:space="0"/>
              <w:bottom w:val="single" w:color="auto" w:sz="4" w:space="0"/>
              <w:right w:val="single" w:color="auto" w:sz="4" w:space="0"/>
            </w:tcBorders>
            <w:noWrap w:val="0"/>
            <w:vAlign w:val="center"/>
          </w:tcPr>
          <w:p w14:paraId="3809735C">
            <w:pPr>
              <w:keepNext w:val="0"/>
              <w:keepLines w:val="0"/>
              <w:widowControl/>
              <w:suppressLineNumbers w:val="0"/>
              <w:jc w:val="center"/>
              <w:textAlignment w:val="center"/>
              <w:rPr>
                <w:rFonts w:hint="eastAsia" w:ascii="宋体" w:hAnsi="宋体" w:eastAsia="宋体" w:cs="宋体"/>
                <w:snapToGrid w:val="0"/>
                <w:color w:val="000000"/>
                <w:sz w:val="21"/>
                <w:szCs w:val="21"/>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＞3.0</w:t>
            </w:r>
          </w:p>
        </w:tc>
        <w:tc>
          <w:tcPr>
            <w:tcW w:w="3434" w:type="dxa"/>
            <w:vMerge w:val="continue"/>
            <w:tcBorders>
              <w:left w:val="single" w:color="auto" w:sz="4" w:space="0"/>
              <w:bottom w:val="single" w:color="000000" w:sz="4" w:space="0"/>
            </w:tcBorders>
            <w:noWrap w:val="0"/>
            <w:vAlign w:val="center"/>
          </w:tcPr>
          <w:p w14:paraId="0566ED8F">
            <w:pPr>
              <w:jc w:val="center"/>
              <w:rPr>
                <w:rFonts w:hint="eastAsia" w:ascii="宋体" w:hAnsi="宋体" w:eastAsia="宋体" w:cs="宋体"/>
                <w:snapToGrid w:val="0"/>
                <w:color w:val="000000"/>
                <w:sz w:val="21"/>
                <w:szCs w:val="21"/>
                <w:lang w:val="en-US" w:eastAsia="zh-CN" w:bidi="ar-SA"/>
              </w:rPr>
            </w:pPr>
          </w:p>
        </w:tc>
        <w:tc>
          <w:tcPr>
            <w:tcW w:w="1410" w:type="dxa"/>
            <w:vMerge w:val="continue"/>
            <w:tcBorders>
              <w:bottom w:val="single" w:color="auto" w:sz="4" w:space="0"/>
            </w:tcBorders>
            <w:noWrap w:val="0"/>
            <w:vAlign w:val="center"/>
          </w:tcPr>
          <w:p w14:paraId="472DC88D">
            <w:pPr>
              <w:jc w:val="center"/>
              <w:rPr>
                <w:rFonts w:hint="eastAsia" w:ascii="宋体" w:hAnsi="宋体" w:eastAsia="宋体" w:cs="宋体"/>
                <w:sz w:val="24"/>
                <w:szCs w:val="24"/>
                <w:lang w:val="en-US" w:eastAsia="zh-CN"/>
              </w:rPr>
            </w:pPr>
          </w:p>
        </w:tc>
      </w:tr>
      <w:tr w14:paraId="61E98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 w:hRule="atLeast"/>
          <w:jc w:val="center"/>
        </w:trPr>
        <w:tc>
          <w:tcPr>
            <w:tcW w:w="693" w:type="dxa"/>
            <w:vMerge w:val="restart"/>
            <w:noWrap w:val="0"/>
            <w:vAlign w:val="center"/>
          </w:tcPr>
          <w:p w14:paraId="00DA96AD">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067" w:type="dxa"/>
            <w:gridSpan w:val="2"/>
            <w:vMerge w:val="restart"/>
            <w:noWrap w:val="0"/>
            <w:vAlign w:val="center"/>
          </w:tcPr>
          <w:p w14:paraId="7E666A5C">
            <w:pPr>
              <w:jc w:val="center"/>
              <w:rPr>
                <w:rFonts w:hint="eastAsia" w:ascii="宋体" w:hAnsi="宋体" w:eastAsia="宋体" w:cs="宋体"/>
                <w:sz w:val="24"/>
                <w:szCs w:val="24"/>
                <w:lang w:val="en-US" w:eastAsia="zh-CN"/>
              </w:rPr>
            </w:pPr>
            <w:r>
              <w:rPr>
                <w:rFonts w:hint="eastAsia" w:ascii="宋体" w:hAnsi="宋体" w:eastAsia="宋体" w:cs="宋体"/>
                <w:snapToGrid w:val="0"/>
                <w:color w:val="000000"/>
                <w:sz w:val="24"/>
                <w:szCs w:val="24"/>
                <w:lang w:val="en-US" w:eastAsia="zh-CN" w:bidi="ar-SA"/>
              </w:rPr>
              <w:t>热轧板</w:t>
            </w:r>
            <w:r>
              <w:rPr>
                <w:rFonts w:hint="eastAsia" w:ascii="宋体" w:hAnsi="宋体" w:eastAsia="宋体" w:cs="宋体"/>
                <w:sz w:val="24"/>
                <w:szCs w:val="24"/>
                <w:lang w:val="en-US" w:eastAsia="zh-CN"/>
              </w:rPr>
              <w:t>（酸洗）</w:t>
            </w:r>
          </w:p>
        </w:tc>
        <w:tc>
          <w:tcPr>
            <w:tcW w:w="850" w:type="dxa"/>
            <w:gridSpan w:val="2"/>
            <w:vMerge w:val="restart"/>
            <w:tcBorders>
              <w:right w:val="single" w:color="auto" w:sz="4" w:space="0"/>
            </w:tcBorders>
            <w:noWrap w:val="0"/>
            <w:vAlign w:val="center"/>
          </w:tcPr>
          <w:p w14:paraId="4CB208E7">
            <w:pPr>
              <w:keepNext w:val="0"/>
              <w:keepLines w:val="0"/>
              <w:widowControl/>
              <w:suppressLineNumbers w:val="0"/>
              <w:ind w:firstLine="210" w:firstLineChars="100"/>
              <w:jc w:val="both"/>
              <w:textAlignment w:val="center"/>
              <w:rPr>
                <w:rFonts w:hint="default"/>
                <w:lang w:val="en-US" w:eastAsia="zh-CN"/>
              </w:rPr>
            </w:pPr>
            <w:r>
              <w:rPr>
                <w:rFonts w:hint="eastAsia" w:ascii="宋体" w:hAnsi="宋体" w:eastAsia="宋体" w:cs="宋体"/>
                <w:sz w:val="21"/>
                <w:szCs w:val="21"/>
                <w:lang w:val="en-US" w:eastAsia="zh-CN"/>
              </w:rPr>
              <w:t>Q235</w:t>
            </w:r>
          </w:p>
        </w:tc>
        <w:tc>
          <w:tcPr>
            <w:tcW w:w="1333" w:type="dxa"/>
            <w:tcBorders>
              <w:top w:val="single" w:color="auto" w:sz="4" w:space="0"/>
              <w:left w:val="single" w:color="auto" w:sz="4" w:space="0"/>
              <w:bottom w:val="single" w:color="auto" w:sz="4" w:space="0"/>
              <w:right w:val="single" w:color="auto" w:sz="4" w:space="0"/>
            </w:tcBorders>
            <w:noWrap w:val="0"/>
            <w:vAlign w:val="center"/>
          </w:tcPr>
          <w:p w14:paraId="2F7C578F">
            <w:pPr>
              <w:keepNext w:val="0"/>
              <w:keepLines w:val="0"/>
              <w:widowControl/>
              <w:suppressLineNumbers w:val="0"/>
              <w:jc w:val="center"/>
              <w:textAlignment w:val="center"/>
              <w:rPr>
                <w:rFonts w:hint="default"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2.0</w:t>
            </w:r>
          </w:p>
        </w:tc>
        <w:tc>
          <w:tcPr>
            <w:tcW w:w="3434" w:type="dxa"/>
            <w:vMerge w:val="restart"/>
            <w:tcBorders>
              <w:top w:val="single" w:color="000000" w:sz="4" w:space="0"/>
              <w:left w:val="single" w:color="auto" w:sz="4" w:space="0"/>
              <w:bottom w:val="single" w:color="000000" w:sz="4" w:space="0"/>
            </w:tcBorders>
            <w:noWrap w:val="0"/>
            <w:vAlign w:val="center"/>
          </w:tcPr>
          <w:p w14:paraId="6A940D16">
            <w:pPr>
              <w:jc w:val="center"/>
              <w:rPr>
                <w:rFonts w:hint="default" w:ascii="宋体" w:hAnsi="宋体" w:eastAsia="宋体" w:cs="宋体"/>
                <w:sz w:val="24"/>
                <w:szCs w:val="24"/>
                <w:lang w:val="en-US" w:eastAsia="zh-CN"/>
              </w:rPr>
            </w:pPr>
            <w:r>
              <w:rPr>
                <w:rFonts w:ascii="宋体" w:hAnsi="宋体" w:eastAsia="宋体" w:cs="宋体"/>
                <w:sz w:val="24"/>
                <w:szCs w:val="24"/>
              </w:rPr>
              <w:t>屈服强度</w:t>
            </w:r>
            <w:r>
              <w:rPr>
                <w:rFonts w:hint="eastAsia" w:ascii="宋体" w:hAnsi="宋体" w:eastAsia="宋体" w:cs="宋体"/>
                <w:sz w:val="24"/>
                <w:szCs w:val="24"/>
                <w:lang w:val="en-US" w:eastAsia="zh-CN"/>
              </w:rPr>
              <w:t>≥235</w:t>
            </w:r>
          </w:p>
          <w:p w14:paraId="6DEAC066">
            <w:pPr>
              <w:jc w:val="center"/>
              <w:rPr>
                <w:rFonts w:hint="default" w:ascii="宋体" w:hAnsi="宋体" w:eastAsia="宋体" w:cs="宋体"/>
                <w:snapToGrid w:val="0"/>
                <w:color w:val="000000"/>
                <w:sz w:val="21"/>
                <w:szCs w:val="21"/>
                <w:lang w:val="en-US" w:eastAsia="zh-CN" w:bidi="ar-SA"/>
              </w:rPr>
            </w:pPr>
            <w:r>
              <w:rPr>
                <w:rFonts w:ascii="宋体" w:hAnsi="宋体" w:eastAsia="宋体" w:cs="宋体"/>
                <w:sz w:val="24"/>
                <w:szCs w:val="24"/>
              </w:rPr>
              <w:t>抗拉强度</w:t>
            </w:r>
            <w:r>
              <w:rPr>
                <w:rFonts w:hint="eastAsia" w:ascii="宋体" w:hAnsi="宋体" w:eastAsia="宋体" w:cs="宋体"/>
                <w:sz w:val="24"/>
                <w:szCs w:val="24"/>
                <w:lang w:val="en-US" w:eastAsia="zh-CN"/>
              </w:rPr>
              <w:t>370~500</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伸长率≥26</w:t>
            </w:r>
            <w:bookmarkStart w:id="101" w:name="_GoBack"/>
            <w:bookmarkEnd w:id="101"/>
          </w:p>
        </w:tc>
        <w:tc>
          <w:tcPr>
            <w:tcW w:w="1410" w:type="dxa"/>
            <w:vMerge w:val="restart"/>
            <w:tcBorders>
              <w:top w:val="single" w:color="auto" w:sz="4" w:space="0"/>
            </w:tcBorders>
            <w:noWrap w:val="0"/>
            <w:vAlign w:val="center"/>
          </w:tcPr>
          <w:p w14:paraId="0F40C5A9">
            <w:pPr>
              <w:jc w:val="center"/>
              <w:rPr>
                <w:rFonts w:hint="eastAsia" w:ascii="宋体" w:hAnsi="宋体" w:eastAsia="宋体" w:cs="宋体"/>
                <w:sz w:val="24"/>
                <w:szCs w:val="24"/>
                <w:lang w:val="en-US" w:eastAsia="zh-CN"/>
              </w:rPr>
            </w:pPr>
          </w:p>
        </w:tc>
      </w:tr>
      <w:tr w14:paraId="1936D1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jc w:val="center"/>
        </w:trPr>
        <w:tc>
          <w:tcPr>
            <w:tcW w:w="693" w:type="dxa"/>
            <w:vMerge w:val="continue"/>
            <w:noWrap w:val="0"/>
            <w:vAlign w:val="center"/>
          </w:tcPr>
          <w:p w14:paraId="63BF4E4B">
            <w:pPr>
              <w:jc w:val="center"/>
              <w:rPr>
                <w:rFonts w:hint="eastAsia" w:ascii="宋体" w:hAnsi="宋体" w:eastAsia="宋体" w:cs="宋体"/>
                <w:sz w:val="24"/>
                <w:szCs w:val="24"/>
                <w:lang w:val="en-US" w:eastAsia="zh-CN"/>
              </w:rPr>
            </w:pPr>
          </w:p>
        </w:tc>
        <w:tc>
          <w:tcPr>
            <w:tcW w:w="1067" w:type="dxa"/>
            <w:gridSpan w:val="2"/>
            <w:vMerge w:val="continue"/>
            <w:noWrap w:val="0"/>
            <w:vAlign w:val="center"/>
          </w:tcPr>
          <w:p w14:paraId="3A763CEF">
            <w:pPr>
              <w:jc w:val="center"/>
              <w:rPr>
                <w:rFonts w:hint="eastAsia" w:ascii="宋体" w:hAnsi="宋体" w:eastAsia="宋体" w:cs="宋体"/>
                <w:sz w:val="24"/>
                <w:szCs w:val="24"/>
                <w:lang w:val="en-US" w:eastAsia="zh-CN"/>
              </w:rPr>
            </w:pPr>
          </w:p>
        </w:tc>
        <w:tc>
          <w:tcPr>
            <w:tcW w:w="850" w:type="dxa"/>
            <w:gridSpan w:val="2"/>
            <w:vMerge w:val="continue"/>
            <w:tcBorders>
              <w:right w:val="single" w:color="auto" w:sz="4" w:space="0"/>
            </w:tcBorders>
            <w:noWrap w:val="0"/>
            <w:vAlign w:val="center"/>
          </w:tcPr>
          <w:p w14:paraId="10A1B969">
            <w:pPr>
              <w:keepNext w:val="0"/>
              <w:keepLines w:val="0"/>
              <w:widowControl/>
              <w:suppressLineNumbers w:val="0"/>
              <w:jc w:val="center"/>
              <w:textAlignment w:val="center"/>
              <w:rPr>
                <w:rFonts w:hint="eastAsia"/>
                <w:lang w:val="en-US" w:eastAsia="zh-CN"/>
              </w:rPr>
            </w:pPr>
          </w:p>
        </w:tc>
        <w:tc>
          <w:tcPr>
            <w:tcW w:w="1333" w:type="dxa"/>
            <w:tcBorders>
              <w:top w:val="single" w:color="auto" w:sz="4" w:space="0"/>
              <w:left w:val="single" w:color="auto" w:sz="4" w:space="0"/>
              <w:bottom w:val="single" w:color="auto" w:sz="4" w:space="0"/>
              <w:right w:val="single" w:color="auto" w:sz="4" w:space="0"/>
            </w:tcBorders>
            <w:noWrap w:val="0"/>
            <w:vAlign w:val="center"/>
          </w:tcPr>
          <w:p w14:paraId="42ACC4C3">
            <w:pPr>
              <w:keepNext w:val="0"/>
              <w:keepLines w:val="0"/>
              <w:widowControl/>
              <w:suppressLineNumbers w:val="0"/>
              <w:jc w:val="center"/>
              <w:textAlignment w:val="center"/>
              <w:rPr>
                <w:rFonts w:hint="eastAsia" w:ascii="宋体" w:hAnsi="宋体" w:eastAsia="宋体" w:cs="宋体"/>
                <w:snapToGrid w:val="0"/>
                <w:color w:val="000000"/>
                <w:sz w:val="21"/>
                <w:szCs w:val="21"/>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2.5</w:t>
            </w:r>
          </w:p>
        </w:tc>
        <w:tc>
          <w:tcPr>
            <w:tcW w:w="3434" w:type="dxa"/>
            <w:vMerge w:val="continue"/>
            <w:tcBorders>
              <w:top w:val="single" w:color="000000" w:sz="4" w:space="0"/>
              <w:left w:val="single" w:color="auto" w:sz="4" w:space="0"/>
              <w:bottom w:val="single" w:color="000000" w:sz="4" w:space="0"/>
            </w:tcBorders>
            <w:noWrap w:val="0"/>
            <w:vAlign w:val="center"/>
          </w:tcPr>
          <w:p w14:paraId="0169DE56">
            <w:pPr>
              <w:jc w:val="center"/>
              <w:rPr>
                <w:rFonts w:hint="eastAsia" w:ascii="宋体" w:hAnsi="宋体" w:eastAsia="宋体" w:cs="宋体"/>
                <w:snapToGrid w:val="0"/>
                <w:color w:val="000000"/>
                <w:sz w:val="21"/>
                <w:szCs w:val="21"/>
                <w:lang w:val="en-US" w:eastAsia="zh-CN" w:bidi="ar-SA"/>
              </w:rPr>
            </w:pPr>
          </w:p>
        </w:tc>
        <w:tc>
          <w:tcPr>
            <w:tcW w:w="1410" w:type="dxa"/>
            <w:vMerge w:val="continue"/>
            <w:tcBorders>
              <w:top w:val="single" w:color="auto" w:sz="4" w:space="0"/>
              <w:bottom w:val="single" w:color="000000" w:sz="4" w:space="0"/>
            </w:tcBorders>
            <w:noWrap w:val="0"/>
            <w:vAlign w:val="center"/>
          </w:tcPr>
          <w:p w14:paraId="63EF1F2A">
            <w:pPr>
              <w:jc w:val="center"/>
              <w:rPr>
                <w:rFonts w:hint="eastAsia" w:ascii="宋体" w:hAnsi="宋体" w:eastAsia="宋体" w:cs="宋体"/>
                <w:sz w:val="24"/>
                <w:szCs w:val="24"/>
                <w:lang w:val="en-US" w:eastAsia="zh-CN"/>
              </w:rPr>
            </w:pPr>
          </w:p>
        </w:tc>
      </w:tr>
      <w:tr w14:paraId="50490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 w:hRule="atLeast"/>
          <w:jc w:val="center"/>
        </w:trPr>
        <w:tc>
          <w:tcPr>
            <w:tcW w:w="0" w:type="auto"/>
            <w:gridSpan w:val="2"/>
            <w:vMerge w:val="restart"/>
            <w:noWrap w:val="0"/>
            <w:vAlign w:val="center"/>
          </w:tcPr>
          <w:p w14:paraId="3EDB099A">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0" w:type="auto"/>
            <w:vMerge w:val="restart"/>
            <w:noWrap w:val="0"/>
            <w:vAlign w:val="center"/>
          </w:tcPr>
          <w:p w14:paraId="77332460">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不锈钢冷板</w:t>
            </w:r>
          </w:p>
        </w:tc>
        <w:tc>
          <w:tcPr>
            <w:tcW w:w="850" w:type="dxa"/>
            <w:gridSpan w:val="2"/>
            <w:tcBorders>
              <w:right w:val="single" w:color="auto" w:sz="4" w:space="0"/>
            </w:tcBorders>
            <w:noWrap w:val="0"/>
            <w:vAlign w:val="center"/>
          </w:tcPr>
          <w:p w14:paraId="0448052E">
            <w:pPr>
              <w:jc w:val="center"/>
              <w:rPr>
                <w:rFonts w:hint="eastAsia"/>
                <w:lang w:val="en-US" w:eastAsia="zh-CN"/>
              </w:rPr>
            </w:pPr>
            <w:r>
              <w:rPr>
                <w:rFonts w:hint="eastAsia" w:ascii="宋体" w:hAnsi="宋体" w:eastAsia="宋体" w:cs="宋体"/>
                <w:sz w:val="21"/>
                <w:szCs w:val="21"/>
                <w:lang w:val="en-US" w:eastAsia="zh-CN"/>
              </w:rPr>
              <w:t>304</w:t>
            </w:r>
          </w:p>
        </w:tc>
        <w:tc>
          <w:tcPr>
            <w:tcW w:w="1333" w:type="dxa"/>
            <w:tcBorders>
              <w:top w:val="single" w:color="auto" w:sz="4" w:space="0"/>
              <w:left w:val="single" w:color="auto" w:sz="4" w:space="0"/>
              <w:bottom w:val="single" w:color="auto" w:sz="4" w:space="0"/>
              <w:right w:val="single" w:color="auto" w:sz="4" w:space="0"/>
            </w:tcBorders>
            <w:noWrap w:val="0"/>
            <w:vAlign w:val="center"/>
          </w:tcPr>
          <w:p w14:paraId="0A0A8989">
            <w:pPr>
              <w:jc w:val="center"/>
              <w:rPr>
                <w:rFonts w:hint="eastAsia" w:ascii="宋体" w:hAnsi="宋体" w:eastAsia="宋体" w:cs="宋体"/>
                <w:snapToGrid w:val="0"/>
                <w:color w:val="000000"/>
                <w:sz w:val="21"/>
                <w:szCs w:val="21"/>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w:t>
            </w:r>
            <w:r>
              <w:rPr>
                <w:rFonts w:hint="eastAsia" w:ascii="宋体" w:hAnsi="宋体" w:eastAsia="宋体" w:cs="宋体"/>
                <w:sz w:val="21"/>
                <w:szCs w:val="21"/>
                <w:lang w:val="en-US" w:eastAsia="zh-CN"/>
              </w:rPr>
              <w:t>1.0</w:t>
            </w:r>
          </w:p>
        </w:tc>
        <w:tc>
          <w:tcPr>
            <w:tcW w:w="3434" w:type="dxa"/>
            <w:vMerge w:val="restart"/>
            <w:tcBorders>
              <w:top w:val="single" w:color="000000" w:sz="4" w:space="0"/>
              <w:left w:val="single" w:color="auto" w:sz="4" w:space="0"/>
              <w:bottom w:val="single" w:color="000000" w:sz="4" w:space="0"/>
            </w:tcBorders>
            <w:noWrap w:val="0"/>
            <w:vAlign w:val="center"/>
          </w:tcPr>
          <w:p w14:paraId="51876393">
            <w:pPr>
              <w:jc w:val="center"/>
              <w:rPr>
                <w:rFonts w:ascii="宋体" w:hAnsi="宋体" w:eastAsia="宋体" w:cs="宋体"/>
                <w:sz w:val="24"/>
                <w:szCs w:val="24"/>
              </w:rPr>
            </w:pPr>
            <w:r>
              <w:rPr>
                <w:rFonts w:ascii="宋体" w:hAnsi="宋体" w:eastAsia="宋体" w:cs="宋体"/>
                <w:sz w:val="24"/>
                <w:szCs w:val="24"/>
              </w:rPr>
              <w:t>屈服强度≥205</w:t>
            </w:r>
          </w:p>
          <w:p w14:paraId="75F34766">
            <w:pPr>
              <w:jc w:val="center"/>
              <w:rPr>
                <w:rFonts w:ascii="宋体" w:hAnsi="宋体" w:eastAsia="宋体" w:cs="宋体"/>
                <w:sz w:val="24"/>
                <w:szCs w:val="24"/>
              </w:rPr>
            </w:pPr>
            <w:r>
              <w:rPr>
                <w:rFonts w:ascii="宋体" w:hAnsi="宋体" w:eastAsia="宋体" w:cs="宋体"/>
                <w:sz w:val="24"/>
                <w:szCs w:val="24"/>
              </w:rPr>
              <w:t>抗拉强度≥515</w:t>
            </w:r>
          </w:p>
          <w:p w14:paraId="032D0F66">
            <w:pPr>
              <w:jc w:val="center"/>
              <w:rPr>
                <w:rFonts w:hint="eastAsia" w:ascii="宋体" w:hAnsi="宋体" w:eastAsia="宋体" w:cs="宋体"/>
                <w:snapToGrid w:val="0"/>
                <w:color w:val="000000"/>
                <w:sz w:val="21"/>
                <w:szCs w:val="21"/>
                <w:lang w:val="en-US" w:eastAsia="zh-CN" w:bidi="ar-SA"/>
              </w:rPr>
            </w:pPr>
            <w:r>
              <w:rPr>
                <w:rFonts w:ascii="宋体" w:hAnsi="宋体" w:eastAsia="宋体" w:cs="宋体"/>
                <w:sz w:val="24"/>
                <w:szCs w:val="24"/>
              </w:rPr>
              <w:t>伸长率≥40</w:t>
            </w:r>
          </w:p>
        </w:tc>
        <w:tc>
          <w:tcPr>
            <w:tcW w:w="1410" w:type="dxa"/>
            <w:vMerge w:val="restart"/>
            <w:tcBorders>
              <w:top w:val="single" w:color="000000" w:sz="4" w:space="0"/>
            </w:tcBorders>
            <w:noWrap w:val="0"/>
            <w:vAlign w:val="center"/>
          </w:tcPr>
          <w:p w14:paraId="7DA93B9E">
            <w:pPr>
              <w:jc w:val="center"/>
              <w:rPr>
                <w:rFonts w:hint="eastAsia" w:ascii="宋体" w:hAnsi="宋体" w:eastAsia="宋体" w:cs="宋体"/>
                <w:sz w:val="24"/>
                <w:szCs w:val="24"/>
                <w:lang w:val="en-US" w:eastAsia="zh-CN"/>
              </w:rPr>
            </w:pPr>
          </w:p>
        </w:tc>
      </w:tr>
      <w:tr w14:paraId="35FFD4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 w:hRule="atLeast"/>
          <w:jc w:val="center"/>
        </w:trPr>
        <w:tc>
          <w:tcPr>
            <w:tcW w:w="0" w:type="auto"/>
            <w:gridSpan w:val="2"/>
            <w:vMerge w:val="continue"/>
            <w:noWrap w:val="0"/>
            <w:vAlign w:val="center"/>
          </w:tcPr>
          <w:p w14:paraId="32A1BDB9">
            <w:pPr>
              <w:jc w:val="center"/>
              <w:rPr>
                <w:rFonts w:hint="eastAsia" w:ascii="宋体" w:hAnsi="宋体" w:eastAsia="宋体" w:cs="宋体"/>
                <w:sz w:val="24"/>
                <w:szCs w:val="24"/>
                <w:lang w:val="en-US" w:eastAsia="zh-CN"/>
              </w:rPr>
            </w:pPr>
          </w:p>
        </w:tc>
        <w:tc>
          <w:tcPr>
            <w:tcW w:w="0" w:type="auto"/>
            <w:vMerge w:val="continue"/>
            <w:noWrap w:val="0"/>
            <w:vAlign w:val="center"/>
          </w:tcPr>
          <w:p w14:paraId="28A83E5E">
            <w:pPr>
              <w:jc w:val="center"/>
              <w:rPr>
                <w:rFonts w:hint="eastAsia" w:ascii="宋体" w:hAnsi="宋体" w:eastAsia="宋体" w:cs="宋体"/>
                <w:sz w:val="24"/>
                <w:szCs w:val="24"/>
                <w:lang w:val="en-US" w:eastAsia="zh-CN"/>
              </w:rPr>
            </w:pPr>
          </w:p>
        </w:tc>
        <w:tc>
          <w:tcPr>
            <w:tcW w:w="850" w:type="dxa"/>
            <w:gridSpan w:val="2"/>
            <w:tcBorders>
              <w:right w:val="single" w:color="auto" w:sz="4" w:space="0"/>
            </w:tcBorders>
            <w:noWrap w:val="0"/>
            <w:vAlign w:val="center"/>
          </w:tcPr>
          <w:p w14:paraId="0C71B941">
            <w:pPr>
              <w:jc w:val="center"/>
              <w:rPr>
                <w:rFonts w:hint="eastAsia"/>
                <w:lang w:val="en-US" w:eastAsia="zh-CN"/>
              </w:rPr>
            </w:pPr>
            <w:r>
              <w:rPr>
                <w:rFonts w:hint="eastAsia" w:ascii="宋体" w:hAnsi="宋体" w:eastAsia="宋体" w:cs="宋体"/>
                <w:sz w:val="21"/>
                <w:szCs w:val="21"/>
                <w:lang w:val="en-US" w:eastAsia="zh-CN"/>
              </w:rPr>
              <w:t>304</w:t>
            </w:r>
          </w:p>
        </w:tc>
        <w:tc>
          <w:tcPr>
            <w:tcW w:w="1333" w:type="dxa"/>
            <w:tcBorders>
              <w:top w:val="single" w:color="auto" w:sz="4" w:space="0"/>
              <w:left w:val="single" w:color="auto" w:sz="4" w:space="0"/>
              <w:bottom w:val="single" w:color="auto" w:sz="4" w:space="0"/>
              <w:right w:val="single" w:color="auto" w:sz="4" w:space="0"/>
            </w:tcBorders>
            <w:noWrap w:val="0"/>
            <w:vAlign w:val="center"/>
          </w:tcPr>
          <w:p w14:paraId="0E5B4973">
            <w:pPr>
              <w:jc w:val="center"/>
              <w:rPr>
                <w:rFonts w:hint="eastAsia" w:ascii="宋体" w:hAnsi="宋体" w:eastAsia="宋体" w:cs="宋体"/>
                <w:snapToGrid w:val="0"/>
                <w:color w:val="000000"/>
                <w:sz w:val="21"/>
                <w:szCs w:val="21"/>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w:t>
            </w:r>
            <w:r>
              <w:rPr>
                <w:rFonts w:hint="eastAsia" w:ascii="宋体" w:hAnsi="宋体" w:eastAsia="宋体" w:cs="宋体"/>
                <w:sz w:val="21"/>
                <w:szCs w:val="21"/>
                <w:lang w:val="en-US" w:eastAsia="zh-CN"/>
              </w:rPr>
              <w:t>1.0~3.0</w:t>
            </w:r>
          </w:p>
        </w:tc>
        <w:tc>
          <w:tcPr>
            <w:tcW w:w="3434" w:type="dxa"/>
            <w:vMerge w:val="continue"/>
            <w:tcBorders>
              <w:top w:val="single" w:color="000000" w:sz="4" w:space="0"/>
              <w:left w:val="single" w:color="auto" w:sz="4" w:space="0"/>
              <w:bottom w:val="single" w:color="000000" w:sz="4" w:space="0"/>
            </w:tcBorders>
            <w:noWrap w:val="0"/>
            <w:vAlign w:val="center"/>
          </w:tcPr>
          <w:p w14:paraId="3BC27A77">
            <w:pPr>
              <w:jc w:val="center"/>
              <w:rPr>
                <w:rFonts w:hint="eastAsia" w:ascii="宋体" w:hAnsi="宋体" w:eastAsia="宋体" w:cs="宋体"/>
                <w:snapToGrid w:val="0"/>
                <w:color w:val="000000"/>
                <w:sz w:val="21"/>
                <w:szCs w:val="21"/>
                <w:lang w:val="en-US" w:eastAsia="zh-CN" w:bidi="ar-SA"/>
              </w:rPr>
            </w:pPr>
          </w:p>
        </w:tc>
        <w:tc>
          <w:tcPr>
            <w:tcW w:w="1410" w:type="dxa"/>
            <w:vMerge w:val="continue"/>
            <w:tcBorders>
              <w:top w:val="single" w:color="000000" w:sz="4" w:space="0"/>
              <w:bottom w:val="single" w:color="000000" w:sz="4" w:space="0"/>
            </w:tcBorders>
            <w:noWrap w:val="0"/>
            <w:vAlign w:val="center"/>
          </w:tcPr>
          <w:p w14:paraId="1C03D1DF">
            <w:pPr>
              <w:jc w:val="center"/>
              <w:rPr>
                <w:rFonts w:hint="eastAsia" w:ascii="宋体" w:hAnsi="宋体" w:eastAsia="宋体" w:cs="宋体"/>
                <w:sz w:val="24"/>
                <w:szCs w:val="24"/>
                <w:lang w:val="en-US" w:eastAsia="zh-CN"/>
              </w:rPr>
            </w:pPr>
          </w:p>
        </w:tc>
      </w:tr>
      <w:tr w14:paraId="373905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 w:hRule="atLeast"/>
          <w:jc w:val="center"/>
        </w:trPr>
        <w:tc>
          <w:tcPr>
            <w:tcW w:w="694" w:type="dxa"/>
            <w:gridSpan w:val="2"/>
            <w:vMerge w:val="restart"/>
            <w:noWrap w:val="0"/>
            <w:vAlign w:val="center"/>
          </w:tcPr>
          <w:p w14:paraId="573FD94F">
            <w:pPr>
              <w:jc w:val="left"/>
              <w:rPr>
                <w:rFonts w:hint="eastAsia" w:asciiTheme="minorEastAsia" w:hAnsiTheme="minorEastAsia" w:eastAsiaTheme="minorEastAsia"/>
                <w:b/>
                <w:bCs/>
                <w:color w:val="FF0000"/>
                <w:sz w:val="21"/>
                <w:szCs w:val="21"/>
                <w:lang w:val="en-US" w:eastAsia="zh-CN"/>
              </w:rPr>
            </w:pPr>
          </w:p>
          <w:p w14:paraId="30E8E649">
            <w:pPr>
              <w:bidi w:val="0"/>
              <w:jc w:val="center"/>
              <w:rPr>
                <w:rFonts w:hint="eastAsia" w:ascii="宋体" w:hAnsi="宋体" w:eastAsia="宋体" w:cs="宋体"/>
                <w:sz w:val="24"/>
                <w:szCs w:val="24"/>
                <w:lang w:val="en-US" w:eastAsia="zh-CN"/>
              </w:rPr>
            </w:pPr>
            <w:r>
              <w:rPr>
                <w:rFonts w:hint="eastAsia" w:cs="Arial"/>
                <w:snapToGrid w:val="0"/>
                <w:color w:val="000000"/>
                <w:sz w:val="21"/>
                <w:szCs w:val="21"/>
                <w:lang w:val="en-US" w:eastAsia="zh-CN" w:bidi="ar-SA"/>
              </w:rPr>
              <w:t>4</w:t>
            </w:r>
          </w:p>
        </w:tc>
        <w:tc>
          <w:tcPr>
            <w:tcW w:w="1070" w:type="dxa"/>
            <w:gridSpan w:val="2"/>
            <w:vMerge w:val="restart"/>
            <w:noWrap w:val="0"/>
            <w:vAlign w:val="center"/>
          </w:tcPr>
          <w:p w14:paraId="3D597F91">
            <w:pPr>
              <w:jc w:val="center"/>
              <w:rPr>
                <w:rFonts w:hint="eastAsia" w:ascii="宋体" w:hAnsi="宋体" w:eastAsia="宋体" w:cs="宋体"/>
                <w:sz w:val="24"/>
                <w:szCs w:val="24"/>
                <w:lang w:val="en-US" w:eastAsia="zh-CN"/>
              </w:rPr>
            </w:pPr>
            <w:r>
              <w:rPr>
                <w:rFonts w:hint="eastAsia" w:asciiTheme="minorEastAsia" w:hAnsiTheme="minorEastAsia" w:eastAsiaTheme="minorEastAsia"/>
                <w:b w:val="0"/>
                <w:bCs w:val="0"/>
                <w:color w:val="auto"/>
                <w:sz w:val="22"/>
                <w:szCs w:val="22"/>
                <w:lang w:val="en-US" w:eastAsia="zh-CN"/>
              </w:rPr>
              <w:t>热轧板</w:t>
            </w:r>
          </w:p>
        </w:tc>
        <w:tc>
          <w:tcPr>
            <w:tcW w:w="846" w:type="dxa"/>
            <w:vMerge w:val="restart"/>
            <w:tcBorders>
              <w:right w:val="single" w:color="auto" w:sz="4" w:space="0"/>
            </w:tcBorders>
            <w:noWrap w:val="0"/>
            <w:vAlign w:val="center"/>
          </w:tcPr>
          <w:p w14:paraId="0AAF4499">
            <w:pPr>
              <w:jc w:val="center"/>
              <w:rPr>
                <w:rFonts w:hint="eastAsia"/>
                <w:lang w:val="en-US" w:eastAsia="zh-CN"/>
              </w:rPr>
            </w:pPr>
            <w:r>
              <w:rPr>
                <w:rFonts w:hint="eastAsia" w:asciiTheme="minorEastAsia" w:hAnsiTheme="minorEastAsia" w:eastAsiaTheme="minorEastAsia"/>
                <w:b w:val="0"/>
                <w:bCs w:val="0"/>
                <w:color w:val="auto"/>
                <w:sz w:val="21"/>
                <w:szCs w:val="21"/>
                <w:lang w:val="en-US" w:eastAsia="zh-CN"/>
              </w:rPr>
              <w:t>Q235</w:t>
            </w:r>
          </w:p>
        </w:tc>
        <w:tc>
          <w:tcPr>
            <w:tcW w:w="1333" w:type="dxa"/>
            <w:tcBorders>
              <w:top w:val="single" w:color="auto" w:sz="4" w:space="0"/>
              <w:left w:val="single" w:color="auto" w:sz="4" w:space="0"/>
              <w:bottom w:val="single" w:color="auto" w:sz="4" w:space="0"/>
              <w:right w:val="single" w:color="000000" w:sz="4" w:space="0"/>
            </w:tcBorders>
            <w:noWrap w:val="0"/>
            <w:vAlign w:val="center"/>
          </w:tcPr>
          <w:p w14:paraId="70B106F6">
            <w:pPr>
              <w:keepNext w:val="0"/>
              <w:keepLines w:val="0"/>
              <w:widowControl/>
              <w:suppressLineNumbers w:val="0"/>
              <w:jc w:val="center"/>
              <w:textAlignment w:val="center"/>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2.0</w:t>
            </w:r>
          </w:p>
        </w:tc>
        <w:tc>
          <w:tcPr>
            <w:tcW w:w="3434" w:type="dxa"/>
            <w:vMerge w:val="restart"/>
            <w:tcBorders>
              <w:top w:val="single" w:color="000000" w:sz="4" w:space="0"/>
              <w:left w:val="single" w:color="000000" w:sz="4" w:space="0"/>
              <w:bottom w:val="single" w:color="000000" w:sz="4" w:space="0"/>
              <w:right w:val="single" w:color="auto" w:sz="4" w:space="0"/>
            </w:tcBorders>
            <w:noWrap w:val="0"/>
            <w:vAlign w:val="center"/>
          </w:tcPr>
          <w:p w14:paraId="69D1768A">
            <w:pPr>
              <w:jc w:val="center"/>
              <w:rPr>
                <w:rFonts w:hint="eastAsia" w:ascii="宋体" w:hAnsi="宋体" w:eastAsia="宋体" w:cs="宋体"/>
                <w:sz w:val="24"/>
                <w:szCs w:val="24"/>
                <w:lang w:val="en-US" w:eastAsia="zh-CN"/>
              </w:rPr>
            </w:pPr>
            <w:r>
              <w:rPr>
                <w:rFonts w:ascii="宋体" w:hAnsi="宋体" w:eastAsia="宋体" w:cs="宋体"/>
                <w:sz w:val="24"/>
                <w:szCs w:val="24"/>
              </w:rPr>
              <w:t>屈服强度</w:t>
            </w:r>
            <w:r>
              <w:rPr>
                <w:rFonts w:hint="eastAsia" w:ascii="宋体" w:hAnsi="宋体" w:eastAsia="宋体" w:cs="宋体"/>
                <w:sz w:val="24"/>
                <w:szCs w:val="24"/>
                <w:lang w:val="en-US" w:eastAsia="zh-CN"/>
              </w:rPr>
              <w:t>≥235</w:t>
            </w:r>
          </w:p>
          <w:p w14:paraId="5C51A7F2">
            <w:pPr>
              <w:jc w:val="center"/>
              <w:rPr>
                <w:rFonts w:ascii="宋体" w:hAnsi="宋体" w:eastAsia="宋体" w:cs="宋体"/>
                <w:sz w:val="24"/>
                <w:szCs w:val="24"/>
              </w:rPr>
            </w:pPr>
            <w:r>
              <w:rPr>
                <w:rFonts w:ascii="宋体" w:hAnsi="宋体" w:eastAsia="宋体" w:cs="宋体"/>
                <w:sz w:val="24"/>
                <w:szCs w:val="24"/>
              </w:rPr>
              <w:t>抗拉强度</w:t>
            </w:r>
            <w:r>
              <w:rPr>
                <w:rFonts w:hint="eastAsia" w:ascii="宋体" w:hAnsi="宋体" w:eastAsia="宋体" w:cs="宋体"/>
                <w:sz w:val="24"/>
                <w:szCs w:val="24"/>
                <w:lang w:val="en-US" w:eastAsia="zh-CN"/>
              </w:rPr>
              <w:t>370~500</w:t>
            </w:r>
            <w:r>
              <w:rPr>
                <w:rFonts w:ascii="宋体" w:hAnsi="宋体" w:eastAsia="宋体" w:cs="宋体"/>
                <w:sz w:val="24"/>
                <w:szCs w:val="24"/>
              </w:rPr>
              <w:t xml:space="preserve"> </w:t>
            </w:r>
          </w:p>
          <w:p w14:paraId="2BAD25B2">
            <w:pPr>
              <w:keepNext w:val="0"/>
              <w:keepLines w:val="0"/>
              <w:widowControl/>
              <w:suppressLineNumbers w:val="0"/>
              <w:jc w:val="center"/>
              <w:textAlignment w:val="center"/>
              <w:rPr>
                <w:rFonts w:hint="eastAsia" w:ascii="宋体" w:hAnsi="宋体" w:eastAsia="宋体" w:cs="宋体"/>
                <w:snapToGrid w:val="0"/>
                <w:color w:val="000000"/>
                <w:sz w:val="21"/>
                <w:szCs w:val="21"/>
                <w:lang w:val="en-US" w:eastAsia="zh-CN" w:bidi="ar-SA"/>
              </w:rPr>
            </w:pPr>
            <w:r>
              <w:rPr>
                <w:rFonts w:ascii="宋体" w:hAnsi="宋体" w:eastAsia="宋体" w:cs="宋体"/>
                <w:sz w:val="24"/>
                <w:szCs w:val="24"/>
              </w:rPr>
              <w:t>伸长率≥26</w:t>
            </w:r>
          </w:p>
        </w:tc>
        <w:tc>
          <w:tcPr>
            <w:tcW w:w="1410" w:type="dxa"/>
            <w:vMerge w:val="restart"/>
            <w:tcBorders>
              <w:top w:val="single" w:color="000000" w:sz="4" w:space="0"/>
            </w:tcBorders>
            <w:noWrap w:val="0"/>
            <w:vAlign w:val="center"/>
          </w:tcPr>
          <w:p w14:paraId="56768B36">
            <w:pPr>
              <w:jc w:val="center"/>
              <w:rPr>
                <w:rFonts w:hint="eastAsia" w:ascii="宋体" w:hAnsi="宋体" w:eastAsia="宋体" w:cs="宋体"/>
                <w:sz w:val="24"/>
                <w:szCs w:val="24"/>
                <w:lang w:val="en-US" w:eastAsia="zh-CN"/>
              </w:rPr>
            </w:pPr>
          </w:p>
        </w:tc>
      </w:tr>
      <w:tr w14:paraId="37C88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 w:hRule="atLeast"/>
          <w:jc w:val="center"/>
        </w:trPr>
        <w:tc>
          <w:tcPr>
            <w:tcW w:w="694" w:type="dxa"/>
            <w:gridSpan w:val="2"/>
            <w:vMerge w:val="continue"/>
            <w:noWrap w:val="0"/>
            <w:vAlign w:val="center"/>
          </w:tcPr>
          <w:p w14:paraId="05E686CB">
            <w:pPr>
              <w:jc w:val="left"/>
              <w:rPr>
                <w:rFonts w:hint="eastAsia" w:ascii="宋体" w:hAnsi="宋体" w:eastAsia="宋体" w:cs="宋体"/>
                <w:sz w:val="24"/>
                <w:szCs w:val="24"/>
                <w:lang w:val="en-US" w:eastAsia="zh-CN"/>
              </w:rPr>
            </w:pPr>
          </w:p>
        </w:tc>
        <w:tc>
          <w:tcPr>
            <w:tcW w:w="1070" w:type="dxa"/>
            <w:gridSpan w:val="2"/>
            <w:vMerge w:val="continue"/>
            <w:noWrap w:val="0"/>
            <w:vAlign w:val="center"/>
          </w:tcPr>
          <w:p w14:paraId="0700B397">
            <w:pPr>
              <w:jc w:val="left"/>
              <w:rPr>
                <w:rFonts w:hint="eastAsia" w:ascii="宋体" w:hAnsi="宋体" w:eastAsia="宋体" w:cs="宋体"/>
                <w:sz w:val="24"/>
                <w:szCs w:val="24"/>
                <w:lang w:val="en-US" w:eastAsia="zh-CN"/>
              </w:rPr>
            </w:pPr>
          </w:p>
        </w:tc>
        <w:tc>
          <w:tcPr>
            <w:tcW w:w="846" w:type="dxa"/>
            <w:vMerge w:val="continue"/>
            <w:tcBorders>
              <w:right w:val="single" w:color="auto" w:sz="4" w:space="0"/>
            </w:tcBorders>
            <w:noWrap w:val="0"/>
            <w:vAlign w:val="center"/>
          </w:tcPr>
          <w:p w14:paraId="4392A81D">
            <w:pPr>
              <w:jc w:val="left"/>
              <w:rPr>
                <w:rFonts w:hint="eastAsia"/>
                <w:lang w:val="en-US" w:eastAsia="zh-CN"/>
              </w:rPr>
            </w:pPr>
          </w:p>
        </w:tc>
        <w:tc>
          <w:tcPr>
            <w:tcW w:w="1333" w:type="dxa"/>
            <w:tcBorders>
              <w:top w:val="single" w:color="auto" w:sz="4" w:space="0"/>
              <w:left w:val="single" w:color="auto" w:sz="4" w:space="0"/>
              <w:bottom w:val="single" w:color="auto" w:sz="4" w:space="0"/>
              <w:right w:val="single" w:color="000000" w:sz="4" w:space="0"/>
            </w:tcBorders>
            <w:noWrap w:val="0"/>
            <w:vAlign w:val="center"/>
          </w:tcPr>
          <w:p w14:paraId="38E549DB">
            <w:pPr>
              <w:keepNext w:val="0"/>
              <w:keepLines w:val="0"/>
              <w:widowControl/>
              <w:suppressLineNumbers w:val="0"/>
              <w:jc w:val="center"/>
              <w:textAlignment w:val="center"/>
              <w:rPr>
                <w:rFonts w:hint="eastAsia" w:ascii="宋体" w:hAnsi="宋体" w:eastAsia="宋体" w:cs="宋体"/>
                <w:snapToGrid w:val="0"/>
                <w:color w:val="000000"/>
                <w:sz w:val="21"/>
                <w:szCs w:val="21"/>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2.5</w:t>
            </w:r>
          </w:p>
        </w:tc>
        <w:tc>
          <w:tcPr>
            <w:tcW w:w="3434" w:type="dxa"/>
            <w:vMerge w:val="continue"/>
            <w:tcBorders>
              <w:top w:val="single" w:color="000000" w:sz="4" w:space="0"/>
              <w:left w:val="single" w:color="000000" w:sz="4" w:space="0"/>
              <w:bottom w:val="single" w:color="000000" w:sz="4" w:space="0"/>
              <w:right w:val="single" w:color="auto" w:sz="4" w:space="0"/>
            </w:tcBorders>
            <w:noWrap w:val="0"/>
            <w:vAlign w:val="center"/>
          </w:tcPr>
          <w:p w14:paraId="1A4755B0">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410" w:type="dxa"/>
            <w:vMerge w:val="continue"/>
            <w:noWrap w:val="0"/>
            <w:vAlign w:val="center"/>
          </w:tcPr>
          <w:p w14:paraId="2C23F4D1">
            <w:pPr>
              <w:jc w:val="center"/>
              <w:rPr>
                <w:rFonts w:hint="eastAsia" w:ascii="宋体" w:hAnsi="宋体" w:eastAsia="宋体" w:cs="宋体"/>
                <w:sz w:val="24"/>
                <w:szCs w:val="24"/>
                <w:lang w:val="en-US" w:eastAsia="zh-CN"/>
              </w:rPr>
            </w:pPr>
          </w:p>
        </w:tc>
      </w:tr>
      <w:tr w14:paraId="68C63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 w:hRule="atLeast"/>
          <w:jc w:val="center"/>
        </w:trPr>
        <w:tc>
          <w:tcPr>
            <w:tcW w:w="694" w:type="dxa"/>
            <w:gridSpan w:val="2"/>
            <w:vMerge w:val="continue"/>
            <w:noWrap w:val="0"/>
            <w:vAlign w:val="center"/>
          </w:tcPr>
          <w:p w14:paraId="72BCD141">
            <w:pPr>
              <w:jc w:val="left"/>
              <w:rPr>
                <w:rFonts w:hint="eastAsia" w:ascii="宋体" w:hAnsi="宋体" w:eastAsia="宋体" w:cs="宋体"/>
                <w:sz w:val="24"/>
                <w:szCs w:val="24"/>
                <w:lang w:val="en-US" w:eastAsia="zh-CN"/>
              </w:rPr>
            </w:pPr>
          </w:p>
        </w:tc>
        <w:tc>
          <w:tcPr>
            <w:tcW w:w="1070" w:type="dxa"/>
            <w:gridSpan w:val="2"/>
            <w:vMerge w:val="continue"/>
            <w:noWrap w:val="0"/>
            <w:vAlign w:val="center"/>
          </w:tcPr>
          <w:p w14:paraId="5687807D">
            <w:pPr>
              <w:jc w:val="left"/>
              <w:rPr>
                <w:rFonts w:hint="eastAsia" w:ascii="宋体" w:hAnsi="宋体" w:eastAsia="宋体" w:cs="宋体"/>
                <w:sz w:val="24"/>
                <w:szCs w:val="24"/>
                <w:lang w:val="en-US" w:eastAsia="zh-CN"/>
              </w:rPr>
            </w:pPr>
          </w:p>
        </w:tc>
        <w:tc>
          <w:tcPr>
            <w:tcW w:w="846" w:type="dxa"/>
            <w:vMerge w:val="continue"/>
            <w:tcBorders>
              <w:right w:val="single" w:color="auto" w:sz="4" w:space="0"/>
            </w:tcBorders>
            <w:noWrap w:val="0"/>
            <w:vAlign w:val="center"/>
          </w:tcPr>
          <w:p w14:paraId="52C2C470">
            <w:pPr>
              <w:jc w:val="left"/>
              <w:rPr>
                <w:rFonts w:hint="eastAsia"/>
                <w:lang w:val="en-US" w:eastAsia="zh-CN"/>
              </w:rPr>
            </w:pPr>
          </w:p>
        </w:tc>
        <w:tc>
          <w:tcPr>
            <w:tcW w:w="1333" w:type="dxa"/>
            <w:tcBorders>
              <w:top w:val="single" w:color="auto" w:sz="4" w:space="0"/>
              <w:left w:val="single" w:color="auto" w:sz="4" w:space="0"/>
              <w:bottom w:val="single" w:color="auto" w:sz="4" w:space="0"/>
              <w:right w:val="single" w:color="000000" w:sz="4" w:space="0"/>
            </w:tcBorders>
            <w:noWrap w:val="0"/>
            <w:vAlign w:val="center"/>
          </w:tcPr>
          <w:p w14:paraId="61EFCEA9">
            <w:pPr>
              <w:keepNext w:val="0"/>
              <w:keepLines w:val="0"/>
              <w:widowControl/>
              <w:suppressLineNumbers w:val="0"/>
              <w:jc w:val="center"/>
              <w:textAlignment w:val="center"/>
              <w:rPr>
                <w:rFonts w:hint="eastAsia" w:ascii="宋体" w:hAnsi="宋体" w:eastAsia="宋体" w:cs="宋体"/>
                <w:snapToGrid w:val="0"/>
                <w:color w:val="000000"/>
                <w:sz w:val="21"/>
                <w:szCs w:val="21"/>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3.0~5.0</w:t>
            </w:r>
          </w:p>
        </w:tc>
        <w:tc>
          <w:tcPr>
            <w:tcW w:w="3434" w:type="dxa"/>
            <w:vMerge w:val="continue"/>
            <w:tcBorders>
              <w:top w:val="single" w:color="000000" w:sz="4" w:space="0"/>
              <w:left w:val="single" w:color="000000" w:sz="4" w:space="0"/>
              <w:bottom w:val="single" w:color="000000" w:sz="4" w:space="0"/>
              <w:right w:val="single" w:color="auto" w:sz="4" w:space="0"/>
            </w:tcBorders>
            <w:noWrap w:val="0"/>
            <w:vAlign w:val="center"/>
          </w:tcPr>
          <w:p w14:paraId="27DD8722">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410" w:type="dxa"/>
            <w:vMerge w:val="continue"/>
            <w:noWrap w:val="0"/>
            <w:vAlign w:val="center"/>
          </w:tcPr>
          <w:p w14:paraId="2827FE04">
            <w:pPr>
              <w:jc w:val="center"/>
              <w:rPr>
                <w:rFonts w:hint="eastAsia" w:ascii="宋体" w:hAnsi="宋体" w:eastAsia="宋体" w:cs="宋体"/>
                <w:sz w:val="24"/>
                <w:szCs w:val="24"/>
                <w:lang w:val="en-US" w:eastAsia="zh-CN"/>
              </w:rPr>
            </w:pPr>
          </w:p>
        </w:tc>
      </w:tr>
      <w:tr w14:paraId="78D47E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 w:hRule="atLeast"/>
          <w:jc w:val="center"/>
        </w:trPr>
        <w:tc>
          <w:tcPr>
            <w:tcW w:w="694" w:type="dxa"/>
            <w:gridSpan w:val="2"/>
            <w:vMerge w:val="continue"/>
            <w:noWrap w:val="0"/>
            <w:vAlign w:val="center"/>
          </w:tcPr>
          <w:p w14:paraId="4944F894">
            <w:pPr>
              <w:jc w:val="left"/>
              <w:rPr>
                <w:rFonts w:hint="eastAsia" w:ascii="宋体" w:hAnsi="宋体" w:eastAsia="宋体" w:cs="宋体"/>
                <w:sz w:val="24"/>
                <w:szCs w:val="24"/>
                <w:lang w:val="en-US" w:eastAsia="zh-CN"/>
              </w:rPr>
            </w:pPr>
          </w:p>
        </w:tc>
        <w:tc>
          <w:tcPr>
            <w:tcW w:w="1070" w:type="dxa"/>
            <w:gridSpan w:val="2"/>
            <w:vMerge w:val="continue"/>
            <w:noWrap w:val="0"/>
            <w:vAlign w:val="center"/>
          </w:tcPr>
          <w:p w14:paraId="75906E5D">
            <w:pPr>
              <w:jc w:val="left"/>
              <w:rPr>
                <w:rFonts w:hint="eastAsia" w:ascii="宋体" w:hAnsi="宋体" w:eastAsia="宋体" w:cs="宋体"/>
                <w:sz w:val="24"/>
                <w:szCs w:val="24"/>
                <w:lang w:val="en-US" w:eastAsia="zh-CN"/>
              </w:rPr>
            </w:pPr>
          </w:p>
        </w:tc>
        <w:tc>
          <w:tcPr>
            <w:tcW w:w="846" w:type="dxa"/>
            <w:vMerge w:val="continue"/>
            <w:tcBorders>
              <w:right w:val="single" w:color="auto" w:sz="4" w:space="0"/>
            </w:tcBorders>
            <w:noWrap w:val="0"/>
            <w:vAlign w:val="center"/>
          </w:tcPr>
          <w:p w14:paraId="5B24AD7D">
            <w:pPr>
              <w:jc w:val="left"/>
              <w:rPr>
                <w:rFonts w:hint="eastAsia"/>
                <w:lang w:val="en-US" w:eastAsia="zh-CN"/>
              </w:rPr>
            </w:pPr>
          </w:p>
        </w:tc>
        <w:tc>
          <w:tcPr>
            <w:tcW w:w="1333" w:type="dxa"/>
            <w:tcBorders>
              <w:top w:val="single" w:color="auto" w:sz="4" w:space="0"/>
              <w:left w:val="single" w:color="auto" w:sz="4" w:space="0"/>
              <w:bottom w:val="single" w:color="auto" w:sz="4" w:space="0"/>
              <w:right w:val="single" w:color="000000" w:sz="4" w:space="0"/>
            </w:tcBorders>
            <w:noWrap w:val="0"/>
            <w:vAlign w:val="center"/>
          </w:tcPr>
          <w:p w14:paraId="59E02240">
            <w:pPr>
              <w:keepNext w:val="0"/>
              <w:keepLines w:val="0"/>
              <w:widowControl/>
              <w:suppressLineNumbers w:val="0"/>
              <w:jc w:val="center"/>
              <w:textAlignment w:val="center"/>
              <w:rPr>
                <w:rFonts w:hint="eastAsia" w:ascii="宋体" w:hAnsi="宋体" w:eastAsia="宋体" w:cs="宋体"/>
                <w:snapToGrid w:val="0"/>
                <w:color w:val="000000"/>
                <w:sz w:val="21"/>
                <w:szCs w:val="21"/>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5.0~8.0</w:t>
            </w:r>
          </w:p>
        </w:tc>
        <w:tc>
          <w:tcPr>
            <w:tcW w:w="3434" w:type="dxa"/>
            <w:vMerge w:val="continue"/>
            <w:tcBorders>
              <w:top w:val="single" w:color="000000" w:sz="4" w:space="0"/>
              <w:left w:val="single" w:color="000000" w:sz="4" w:space="0"/>
              <w:bottom w:val="single" w:color="000000" w:sz="4" w:space="0"/>
              <w:right w:val="single" w:color="auto" w:sz="4" w:space="0"/>
            </w:tcBorders>
            <w:noWrap w:val="0"/>
            <w:vAlign w:val="center"/>
          </w:tcPr>
          <w:p w14:paraId="64A09B0D">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410" w:type="dxa"/>
            <w:vMerge w:val="continue"/>
            <w:noWrap w:val="0"/>
            <w:vAlign w:val="center"/>
          </w:tcPr>
          <w:p w14:paraId="654AECF5">
            <w:pPr>
              <w:jc w:val="center"/>
              <w:rPr>
                <w:rFonts w:hint="eastAsia" w:ascii="宋体" w:hAnsi="宋体" w:eastAsia="宋体" w:cs="宋体"/>
                <w:sz w:val="24"/>
                <w:szCs w:val="24"/>
                <w:lang w:val="en-US" w:eastAsia="zh-CN"/>
              </w:rPr>
            </w:pPr>
          </w:p>
        </w:tc>
      </w:tr>
      <w:tr w14:paraId="2A9CA5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 w:hRule="atLeast"/>
          <w:jc w:val="center"/>
        </w:trPr>
        <w:tc>
          <w:tcPr>
            <w:tcW w:w="694" w:type="dxa"/>
            <w:gridSpan w:val="2"/>
            <w:vMerge w:val="continue"/>
            <w:noWrap w:val="0"/>
            <w:vAlign w:val="center"/>
          </w:tcPr>
          <w:p w14:paraId="170771CD">
            <w:pPr>
              <w:jc w:val="left"/>
              <w:rPr>
                <w:rFonts w:hint="eastAsia" w:ascii="宋体" w:hAnsi="宋体" w:eastAsia="宋体" w:cs="宋体"/>
                <w:sz w:val="24"/>
                <w:szCs w:val="24"/>
                <w:lang w:val="en-US" w:eastAsia="zh-CN"/>
              </w:rPr>
            </w:pPr>
          </w:p>
        </w:tc>
        <w:tc>
          <w:tcPr>
            <w:tcW w:w="1070" w:type="dxa"/>
            <w:gridSpan w:val="2"/>
            <w:vMerge w:val="continue"/>
            <w:noWrap w:val="0"/>
            <w:vAlign w:val="center"/>
          </w:tcPr>
          <w:p w14:paraId="07C96A07">
            <w:pPr>
              <w:jc w:val="left"/>
              <w:rPr>
                <w:rFonts w:hint="eastAsia" w:ascii="宋体" w:hAnsi="宋体" w:eastAsia="宋体" w:cs="宋体"/>
                <w:sz w:val="24"/>
                <w:szCs w:val="24"/>
                <w:lang w:val="en-US" w:eastAsia="zh-CN"/>
              </w:rPr>
            </w:pPr>
          </w:p>
        </w:tc>
        <w:tc>
          <w:tcPr>
            <w:tcW w:w="846" w:type="dxa"/>
            <w:vMerge w:val="continue"/>
            <w:tcBorders>
              <w:right w:val="single" w:color="auto" w:sz="4" w:space="0"/>
            </w:tcBorders>
            <w:noWrap w:val="0"/>
            <w:vAlign w:val="center"/>
          </w:tcPr>
          <w:p w14:paraId="283971FC">
            <w:pPr>
              <w:jc w:val="left"/>
              <w:rPr>
                <w:rFonts w:hint="eastAsia"/>
                <w:lang w:val="en-US" w:eastAsia="zh-CN"/>
              </w:rPr>
            </w:pPr>
          </w:p>
        </w:tc>
        <w:tc>
          <w:tcPr>
            <w:tcW w:w="1333" w:type="dxa"/>
            <w:tcBorders>
              <w:top w:val="single" w:color="auto" w:sz="4" w:space="0"/>
              <w:left w:val="single" w:color="auto" w:sz="4" w:space="0"/>
              <w:bottom w:val="single" w:color="auto" w:sz="4" w:space="0"/>
              <w:right w:val="single" w:color="000000" w:sz="4" w:space="0"/>
            </w:tcBorders>
            <w:noWrap w:val="0"/>
            <w:vAlign w:val="center"/>
          </w:tcPr>
          <w:p w14:paraId="35DBE6C5">
            <w:pPr>
              <w:keepNext w:val="0"/>
              <w:keepLines w:val="0"/>
              <w:widowControl/>
              <w:suppressLineNumbers w:val="0"/>
              <w:jc w:val="center"/>
              <w:textAlignment w:val="center"/>
              <w:rPr>
                <w:rFonts w:hint="eastAsia" w:ascii="宋体" w:hAnsi="宋体" w:eastAsia="宋体" w:cs="宋体"/>
                <w:snapToGrid w:val="0"/>
                <w:color w:val="000000"/>
                <w:sz w:val="21"/>
                <w:szCs w:val="21"/>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8.0~15</w:t>
            </w:r>
          </w:p>
        </w:tc>
        <w:tc>
          <w:tcPr>
            <w:tcW w:w="3434" w:type="dxa"/>
            <w:vMerge w:val="continue"/>
            <w:tcBorders>
              <w:top w:val="single" w:color="000000" w:sz="4" w:space="0"/>
              <w:left w:val="single" w:color="000000" w:sz="4" w:space="0"/>
              <w:bottom w:val="single" w:color="000000" w:sz="4" w:space="0"/>
              <w:right w:val="single" w:color="auto" w:sz="4" w:space="0"/>
            </w:tcBorders>
            <w:noWrap w:val="0"/>
            <w:vAlign w:val="center"/>
          </w:tcPr>
          <w:p w14:paraId="44EE2B62">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410" w:type="dxa"/>
            <w:vMerge w:val="continue"/>
            <w:noWrap w:val="0"/>
            <w:vAlign w:val="center"/>
          </w:tcPr>
          <w:p w14:paraId="226C5929">
            <w:pPr>
              <w:jc w:val="center"/>
              <w:rPr>
                <w:rFonts w:hint="eastAsia" w:ascii="宋体" w:hAnsi="宋体" w:eastAsia="宋体" w:cs="宋体"/>
                <w:sz w:val="24"/>
                <w:szCs w:val="24"/>
                <w:lang w:val="en-US" w:eastAsia="zh-CN"/>
              </w:rPr>
            </w:pPr>
          </w:p>
        </w:tc>
      </w:tr>
      <w:tr w14:paraId="3C24D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 w:hRule="atLeast"/>
          <w:jc w:val="center"/>
        </w:trPr>
        <w:tc>
          <w:tcPr>
            <w:tcW w:w="694" w:type="dxa"/>
            <w:gridSpan w:val="2"/>
            <w:vMerge w:val="continue"/>
            <w:noWrap w:val="0"/>
            <w:vAlign w:val="center"/>
          </w:tcPr>
          <w:p w14:paraId="2387185E">
            <w:pPr>
              <w:jc w:val="left"/>
              <w:rPr>
                <w:rFonts w:hint="eastAsia" w:ascii="宋体" w:hAnsi="宋体" w:eastAsia="宋体" w:cs="宋体"/>
                <w:sz w:val="24"/>
                <w:szCs w:val="24"/>
                <w:lang w:val="en-US" w:eastAsia="zh-CN"/>
              </w:rPr>
            </w:pPr>
          </w:p>
        </w:tc>
        <w:tc>
          <w:tcPr>
            <w:tcW w:w="1070" w:type="dxa"/>
            <w:gridSpan w:val="2"/>
            <w:vMerge w:val="continue"/>
            <w:noWrap w:val="0"/>
            <w:vAlign w:val="center"/>
          </w:tcPr>
          <w:p w14:paraId="245053A9">
            <w:pPr>
              <w:jc w:val="left"/>
              <w:rPr>
                <w:rFonts w:hint="eastAsia" w:ascii="宋体" w:hAnsi="宋体" w:eastAsia="宋体" w:cs="宋体"/>
                <w:sz w:val="24"/>
                <w:szCs w:val="24"/>
                <w:lang w:val="en-US" w:eastAsia="zh-CN"/>
              </w:rPr>
            </w:pPr>
          </w:p>
        </w:tc>
        <w:tc>
          <w:tcPr>
            <w:tcW w:w="846" w:type="dxa"/>
            <w:vMerge w:val="continue"/>
            <w:tcBorders>
              <w:right w:val="single" w:color="auto" w:sz="4" w:space="0"/>
            </w:tcBorders>
            <w:noWrap w:val="0"/>
            <w:vAlign w:val="center"/>
          </w:tcPr>
          <w:p w14:paraId="65E06A21">
            <w:pPr>
              <w:jc w:val="left"/>
              <w:rPr>
                <w:rFonts w:hint="eastAsia"/>
                <w:lang w:val="en-US" w:eastAsia="zh-CN"/>
              </w:rPr>
            </w:pPr>
          </w:p>
        </w:tc>
        <w:tc>
          <w:tcPr>
            <w:tcW w:w="1333" w:type="dxa"/>
            <w:tcBorders>
              <w:top w:val="single" w:color="auto" w:sz="4" w:space="0"/>
              <w:left w:val="single" w:color="auto" w:sz="4" w:space="0"/>
              <w:bottom w:val="single" w:color="auto" w:sz="4" w:space="0"/>
              <w:right w:val="single" w:color="000000" w:sz="4" w:space="0"/>
            </w:tcBorders>
            <w:noWrap w:val="0"/>
            <w:vAlign w:val="center"/>
          </w:tcPr>
          <w:p w14:paraId="4734BA57">
            <w:pPr>
              <w:keepNext w:val="0"/>
              <w:keepLines w:val="0"/>
              <w:widowControl/>
              <w:suppressLineNumbers w:val="0"/>
              <w:jc w:val="center"/>
              <w:textAlignment w:val="center"/>
              <w:rPr>
                <w:rFonts w:hint="eastAsia" w:ascii="宋体" w:hAnsi="宋体" w:eastAsia="宋体" w:cs="宋体"/>
                <w:snapToGrid w:val="0"/>
                <w:color w:val="000000"/>
                <w:sz w:val="21"/>
                <w:szCs w:val="21"/>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15~25</w:t>
            </w:r>
          </w:p>
        </w:tc>
        <w:tc>
          <w:tcPr>
            <w:tcW w:w="3434" w:type="dxa"/>
            <w:vMerge w:val="continue"/>
            <w:tcBorders>
              <w:top w:val="single" w:color="000000" w:sz="4" w:space="0"/>
              <w:left w:val="single" w:color="000000" w:sz="4" w:space="0"/>
              <w:bottom w:val="single" w:color="000000" w:sz="4" w:space="0"/>
              <w:right w:val="single" w:color="auto" w:sz="4" w:space="0"/>
            </w:tcBorders>
            <w:noWrap w:val="0"/>
            <w:vAlign w:val="center"/>
          </w:tcPr>
          <w:p w14:paraId="454E290A">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410" w:type="dxa"/>
            <w:vMerge w:val="continue"/>
            <w:noWrap w:val="0"/>
            <w:vAlign w:val="center"/>
          </w:tcPr>
          <w:p w14:paraId="7E38E497">
            <w:pPr>
              <w:jc w:val="center"/>
              <w:rPr>
                <w:rFonts w:hint="eastAsia" w:ascii="宋体" w:hAnsi="宋体" w:eastAsia="宋体" w:cs="宋体"/>
                <w:sz w:val="24"/>
                <w:szCs w:val="24"/>
                <w:lang w:val="en-US" w:eastAsia="zh-CN"/>
              </w:rPr>
            </w:pPr>
          </w:p>
        </w:tc>
      </w:tr>
      <w:tr w14:paraId="059BDA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 w:hRule="atLeast"/>
          <w:jc w:val="center"/>
        </w:trPr>
        <w:tc>
          <w:tcPr>
            <w:tcW w:w="694" w:type="dxa"/>
            <w:gridSpan w:val="2"/>
            <w:vMerge w:val="continue"/>
            <w:noWrap w:val="0"/>
            <w:vAlign w:val="center"/>
          </w:tcPr>
          <w:p w14:paraId="4837D54C">
            <w:pPr>
              <w:jc w:val="left"/>
              <w:rPr>
                <w:rFonts w:hint="eastAsia" w:ascii="宋体" w:hAnsi="宋体" w:eastAsia="宋体" w:cs="宋体"/>
                <w:sz w:val="24"/>
                <w:szCs w:val="24"/>
                <w:lang w:val="en-US" w:eastAsia="zh-CN"/>
              </w:rPr>
            </w:pPr>
          </w:p>
        </w:tc>
        <w:tc>
          <w:tcPr>
            <w:tcW w:w="1070" w:type="dxa"/>
            <w:gridSpan w:val="2"/>
            <w:vMerge w:val="continue"/>
            <w:noWrap w:val="0"/>
            <w:vAlign w:val="center"/>
          </w:tcPr>
          <w:p w14:paraId="7693FF45">
            <w:pPr>
              <w:jc w:val="left"/>
              <w:rPr>
                <w:rFonts w:hint="eastAsia" w:ascii="宋体" w:hAnsi="宋体" w:eastAsia="宋体" w:cs="宋体"/>
                <w:sz w:val="24"/>
                <w:szCs w:val="24"/>
                <w:lang w:val="en-US" w:eastAsia="zh-CN"/>
              </w:rPr>
            </w:pPr>
          </w:p>
        </w:tc>
        <w:tc>
          <w:tcPr>
            <w:tcW w:w="846" w:type="dxa"/>
            <w:vMerge w:val="continue"/>
            <w:tcBorders>
              <w:right w:val="single" w:color="auto" w:sz="4" w:space="0"/>
            </w:tcBorders>
            <w:noWrap w:val="0"/>
            <w:vAlign w:val="center"/>
          </w:tcPr>
          <w:p w14:paraId="408E6A25">
            <w:pPr>
              <w:jc w:val="left"/>
              <w:rPr>
                <w:rFonts w:hint="eastAsia"/>
                <w:lang w:val="en-US" w:eastAsia="zh-CN"/>
              </w:rPr>
            </w:pPr>
          </w:p>
        </w:tc>
        <w:tc>
          <w:tcPr>
            <w:tcW w:w="1333" w:type="dxa"/>
            <w:tcBorders>
              <w:top w:val="single" w:color="auto" w:sz="4" w:space="0"/>
              <w:left w:val="single" w:color="auto" w:sz="4" w:space="0"/>
              <w:bottom w:val="single" w:color="auto" w:sz="4" w:space="0"/>
              <w:right w:val="single" w:color="000000" w:sz="4" w:space="0"/>
            </w:tcBorders>
            <w:noWrap w:val="0"/>
            <w:vAlign w:val="center"/>
          </w:tcPr>
          <w:p w14:paraId="37889EB4">
            <w:pPr>
              <w:keepNext w:val="0"/>
              <w:keepLines w:val="0"/>
              <w:widowControl/>
              <w:suppressLineNumbers w:val="0"/>
              <w:jc w:val="center"/>
              <w:textAlignment w:val="center"/>
              <w:rPr>
                <w:rFonts w:hint="eastAsia" w:ascii="宋体" w:hAnsi="宋体" w:eastAsia="宋体" w:cs="宋体"/>
                <w:snapToGrid w:val="0"/>
                <w:color w:val="000000"/>
                <w:sz w:val="21"/>
                <w:szCs w:val="21"/>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25~40</w:t>
            </w:r>
          </w:p>
        </w:tc>
        <w:tc>
          <w:tcPr>
            <w:tcW w:w="3434" w:type="dxa"/>
            <w:vMerge w:val="continue"/>
            <w:tcBorders>
              <w:top w:val="single" w:color="000000" w:sz="4" w:space="0"/>
              <w:left w:val="single" w:color="000000" w:sz="4" w:space="0"/>
              <w:bottom w:val="single" w:color="000000" w:sz="4" w:space="0"/>
              <w:right w:val="single" w:color="auto" w:sz="4" w:space="0"/>
            </w:tcBorders>
            <w:noWrap w:val="0"/>
            <w:vAlign w:val="center"/>
          </w:tcPr>
          <w:p w14:paraId="0BE49A86">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410" w:type="dxa"/>
            <w:vMerge w:val="continue"/>
            <w:tcBorders>
              <w:bottom w:val="single" w:color="auto" w:sz="4" w:space="0"/>
            </w:tcBorders>
            <w:noWrap w:val="0"/>
            <w:vAlign w:val="center"/>
          </w:tcPr>
          <w:p w14:paraId="66362618">
            <w:pPr>
              <w:jc w:val="center"/>
              <w:rPr>
                <w:rFonts w:hint="eastAsia" w:ascii="宋体" w:hAnsi="宋体" w:eastAsia="宋体" w:cs="宋体"/>
                <w:sz w:val="24"/>
                <w:szCs w:val="24"/>
                <w:lang w:val="en-US" w:eastAsia="zh-CN"/>
              </w:rPr>
            </w:pPr>
          </w:p>
        </w:tc>
      </w:tr>
      <w:tr w14:paraId="04E697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jc w:val="center"/>
        </w:trPr>
        <w:tc>
          <w:tcPr>
            <w:tcW w:w="8787" w:type="dxa"/>
            <w:gridSpan w:val="8"/>
            <w:tcBorders>
              <w:right w:val="single" w:color="000000" w:sz="4" w:space="0"/>
            </w:tcBorders>
            <w:noWrap w:val="0"/>
            <w:vAlign w:val="center"/>
          </w:tcPr>
          <w:p w14:paraId="03826965">
            <w:pPr>
              <w:adjustRightInd w:val="0"/>
              <w:snapToGrid w:val="0"/>
              <w:jc w:val="center"/>
              <w:rPr>
                <w:rFonts w:hint="eastAsia" w:ascii="宋体" w:hAnsi="宋体" w:eastAsia="宋体" w:cs="宋体"/>
                <w:b/>
                <w:sz w:val="22"/>
                <w:szCs w:val="22"/>
              </w:rPr>
            </w:pPr>
            <w:r>
              <w:rPr>
                <w:rFonts w:hint="eastAsia" w:ascii="宋体" w:hAnsi="宋体" w:eastAsia="宋体" w:cs="宋体"/>
                <w:sz w:val="22"/>
                <w:szCs w:val="22"/>
              </w:rPr>
              <w:t>其他独特方案请自行罗列，行数不够可自行添加</w:t>
            </w:r>
          </w:p>
        </w:tc>
      </w:tr>
      <w:tr w14:paraId="57302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jc w:val="center"/>
        </w:trPr>
        <w:tc>
          <w:tcPr>
            <w:tcW w:w="8787" w:type="dxa"/>
            <w:gridSpan w:val="8"/>
            <w:tcBorders>
              <w:right w:val="single" w:color="000000" w:sz="4" w:space="0"/>
            </w:tcBorders>
            <w:noWrap w:val="0"/>
            <w:vAlign w:val="center"/>
          </w:tcPr>
          <w:p w14:paraId="2B74AE50">
            <w:pPr>
              <w:adjustRightInd w:val="0"/>
              <w:snapToGrid w:val="0"/>
              <w:jc w:val="center"/>
              <w:rPr>
                <w:rFonts w:hint="eastAsia" w:ascii="宋体" w:hAnsi="宋体" w:eastAsia="宋体" w:cs="宋体"/>
                <w:b/>
                <w:sz w:val="22"/>
                <w:szCs w:val="22"/>
              </w:rPr>
            </w:pPr>
            <w:r>
              <w:rPr>
                <w:rFonts w:hint="eastAsia" w:ascii="宋体" w:hAnsi="宋体" w:eastAsia="宋体" w:cs="宋体"/>
                <w:b/>
                <w:sz w:val="22"/>
                <w:szCs w:val="22"/>
              </w:rPr>
              <w:t>以上所提供的参数必须真实，如实际运行过程中存在偏差，产生的费用将由投标方承担。</w:t>
            </w:r>
          </w:p>
        </w:tc>
      </w:tr>
    </w:tbl>
    <w:p w14:paraId="73DF5126">
      <w:pPr>
        <w:pStyle w:val="6"/>
        <w:numPr>
          <w:ilvl w:val="0"/>
          <w:numId w:val="0"/>
        </w:numPr>
        <w:kinsoku w:val="0"/>
        <w:autoSpaceDE w:val="0"/>
        <w:autoSpaceDN w:val="0"/>
        <w:adjustRightInd w:val="0"/>
        <w:snapToGrid w:val="0"/>
        <w:spacing w:line="360" w:lineRule="auto"/>
        <w:textAlignment w:val="baseline"/>
        <w:rPr>
          <w:rFonts w:hint="eastAsia" w:ascii="宋体" w:hAnsi="宋体" w:eastAsia="宋体" w:cs="宋体"/>
          <w:b/>
          <w:bCs/>
          <w:color w:val="auto"/>
          <w:lang w:val="en-US" w:eastAsia="zh-CN"/>
        </w:rPr>
      </w:pPr>
    </w:p>
    <w:p w14:paraId="00D82B61">
      <w:pPr>
        <w:pStyle w:val="6"/>
        <w:numPr>
          <w:ilvl w:val="0"/>
          <w:numId w:val="0"/>
        </w:numPr>
        <w:kinsoku w:val="0"/>
        <w:autoSpaceDE w:val="0"/>
        <w:autoSpaceDN w:val="0"/>
        <w:adjustRightInd w:val="0"/>
        <w:snapToGrid w:val="0"/>
        <w:spacing w:line="360" w:lineRule="auto"/>
        <w:textAlignment w:val="baseline"/>
        <w:rPr>
          <w:rFonts w:hint="eastAsia" w:ascii="宋体" w:hAnsi="宋体" w:eastAsia="宋体" w:cs="宋体"/>
          <w:color w:val="0000FF"/>
        </w:rPr>
      </w:pPr>
    </w:p>
    <w:p w14:paraId="1C038623">
      <w:pPr>
        <w:pStyle w:val="6"/>
        <w:numPr>
          <w:ilvl w:val="0"/>
          <w:numId w:val="0"/>
        </w:numPr>
        <w:kinsoku w:val="0"/>
        <w:autoSpaceDE w:val="0"/>
        <w:autoSpaceDN w:val="0"/>
        <w:adjustRightInd w:val="0"/>
        <w:snapToGrid w:val="0"/>
        <w:spacing w:line="360" w:lineRule="auto"/>
        <w:textAlignment w:val="baseline"/>
        <w:rPr>
          <w:rFonts w:hint="eastAsia" w:ascii="宋体" w:hAnsi="宋体" w:eastAsia="宋体" w:cs="宋体"/>
          <w:color w:val="0000FF"/>
        </w:rPr>
      </w:pPr>
    </w:p>
    <w:p w14:paraId="36C9EDB1">
      <w:pPr>
        <w:pStyle w:val="6"/>
        <w:numPr>
          <w:ilvl w:val="0"/>
          <w:numId w:val="0"/>
        </w:numPr>
        <w:kinsoku w:val="0"/>
        <w:autoSpaceDE w:val="0"/>
        <w:autoSpaceDN w:val="0"/>
        <w:adjustRightInd w:val="0"/>
        <w:snapToGrid w:val="0"/>
        <w:spacing w:line="360" w:lineRule="auto"/>
        <w:textAlignment w:val="baseline"/>
        <w:rPr>
          <w:rFonts w:hint="eastAsia" w:ascii="宋体" w:hAnsi="宋体" w:eastAsia="宋体" w:cs="宋体"/>
          <w:color w:val="0000FF"/>
        </w:rPr>
      </w:pPr>
    </w:p>
    <w:p w14:paraId="3001C24E">
      <w:pPr>
        <w:pStyle w:val="6"/>
        <w:numPr>
          <w:ilvl w:val="0"/>
          <w:numId w:val="0"/>
        </w:numPr>
        <w:kinsoku w:val="0"/>
        <w:autoSpaceDE w:val="0"/>
        <w:autoSpaceDN w:val="0"/>
        <w:adjustRightInd w:val="0"/>
        <w:snapToGrid w:val="0"/>
        <w:spacing w:line="360" w:lineRule="auto"/>
        <w:textAlignment w:val="baseline"/>
        <w:rPr>
          <w:rFonts w:hint="eastAsia" w:ascii="宋体" w:hAnsi="宋体" w:eastAsia="宋体" w:cs="宋体"/>
          <w:color w:val="0000FF"/>
        </w:rPr>
      </w:pPr>
    </w:p>
    <w:p w14:paraId="2FE43E24">
      <w:pPr>
        <w:pStyle w:val="6"/>
        <w:numPr>
          <w:ilvl w:val="0"/>
          <w:numId w:val="0"/>
        </w:numPr>
        <w:kinsoku w:val="0"/>
        <w:autoSpaceDE w:val="0"/>
        <w:autoSpaceDN w:val="0"/>
        <w:adjustRightInd w:val="0"/>
        <w:snapToGrid w:val="0"/>
        <w:spacing w:line="360" w:lineRule="auto"/>
        <w:textAlignment w:val="baseline"/>
        <w:rPr>
          <w:rFonts w:hint="eastAsia" w:ascii="宋体" w:hAnsi="宋体" w:eastAsia="宋体" w:cs="宋体"/>
          <w:color w:val="0000FF"/>
        </w:rPr>
      </w:pPr>
    </w:p>
    <w:p w14:paraId="6653BFBF">
      <w:pPr>
        <w:pStyle w:val="6"/>
        <w:spacing w:before="3" w:after="156" w:afterLines="50" w:line="360" w:lineRule="auto"/>
        <w:jc w:val="center"/>
        <w:outlineLvl w:val="9"/>
        <w:rPr>
          <w:rFonts w:hint="eastAsia" w:ascii="宋体" w:hAnsi="宋体" w:eastAsia="宋体" w:cs="宋体"/>
          <w:b/>
          <w:bCs/>
          <w:color w:val="auto"/>
          <w:sz w:val="36"/>
          <w:szCs w:val="36"/>
          <w:lang w:val="en-US" w:eastAsia="zh-CN"/>
        </w:rPr>
        <w:sectPr>
          <w:headerReference r:id="rId7" w:type="default"/>
          <w:footerReference r:id="rId8" w:type="default"/>
          <w:pgSz w:w="11905" w:h="16838"/>
          <w:pgMar w:top="1440" w:right="1080" w:bottom="1440" w:left="1080" w:header="851" w:footer="1020" w:gutter="0"/>
          <w:pgBorders>
            <w:top w:val="none" w:sz="0" w:space="0"/>
            <w:left w:val="none" w:sz="0" w:space="0"/>
            <w:bottom w:val="none" w:sz="0" w:space="0"/>
            <w:right w:val="none" w:sz="0" w:space="0"/>
          </w:pgBorders>
          <w:pgNumType w:fmt="decimal"/>
          <w:cols w:space="0" w:num="1"/>
          <w:docGrid w:linePitch="312" w:charSpace="0"/>
        </w:sectPr>
      </w:pPr>
    </w:p>
    <w:p w14:paraId="0E03C4EA">
      <w:pPr>
        <w:spacing w:before="240" w:beforeLines="100" w:after="120" w:afterLines="50" w:line="360" w:lineRule="auto"/>
        <w:jc w:val="center"/>
        <w:outlineLvl w:val="0"/>
        <w:rPr>
          <w:rFonts w:ascii="仿宋" w:hAnsi="仿宋" w:eastAsia="仿宋" w:cs="仿宋"/>
          <w:b/>
          <w:bCs/>
          <w:sz w:val="40"/>
          <w:szCs w:val="40"/>
        </w:rPr>
      </w:pPr>
      <w:bookmarkStart w:id="98" w:name="_Toc1084"/>
      <w:bookmarkStart w:id="99" w:name="_Toc30455"/>
      <w:bookmarkStart w:id="100" w:name="_Toc31981"/>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六、采购合同（模版</w:t>
      </w:r>
      <w:bookmarkEnd w:id="98"/>
      <w:bookmarkEnd w:id="99"/>
      <w:bookmarkEnd w:id="100"/>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w:t>
      </w:r>
    </w:p>
    <w:p w14:paraId="793F2503">
      <w:pPr>
        <w:keepNext w:val="0"/>
        <w:keepLines w:val="0"/>
        <w:pageBreakBefore w:val="0"/>
        <w:widowControl w:val="0"/>
        <w:shd w:val="clear" w:color="auto" w:fill="FFFFFF"/>
        <w:kinsoku/>
        <w:wordWrap/>
        <w:overflowPunct/>
        <w:topLinePunct w:val="0"/>
        <w:autoSpaceDE w:val="0"/>
        <w:autoSpaceDN w:val="0"/>
        <w:bidi w:val="0"/>
        <w:adjustRightInd/>
        <w:snapToGrid/>
        <w:spacing w:line="240" w:lineRule="auto"/>
        <w:ind w:left="0" w:leftChars="0" w:right="0"/>
        <w:textAlignment w:val="auto"/>
        <w:rPr>
          <w:rFonts w:hint="eastAsia" w:ascii="仿宋" w:hAnsi="仿宋" w:eastAsia="仿宋" w:cs="仿宋"/>
          <w:b/>
          <w:bCs/>
          <w:sz w:val="24"/>
          <w:szCs w:val="24"/>
          <w:lang w:eastAsia="zh-CN"/>
        </w:rPr>
      </w:pPr>
      <w:r>
        <w:rPr>
          <w:rFonts w:hint="eastAsia" w:ascii="仿宋" w:hAnsi="仿宋" w:eastAsia="仿宋" w:cs="华文仿宋"/>
          <w:sz w:val="24"/>
        </w:rPr>
        <w:t xml:space="preserve">       </w:t>
      </w:r>
      <w:r>
        <w:rPr>
          <w:rFonts w:hint="eastAsia" w:ascii="仿宋" w:hAnsi="仿宋" w:eastAsia="仿宋" w:cs="华文仿宋"/>
          <w:b/>
          <w:bCs/>
          <w:sz w:val="24"/>
        </w:rPr>
        <w:t xml:space="preserve">                                       </w:t>
      </w:r>
      <w:r>
        <w:rPr>
          <w:rFonts w:hint="eastAsia" w:ascii="仿宋" w:hAnsi="仿宋" w:eastAsia="仿宋" w:cs="华文仿宋"/>
          <w:b/>
          <w:bCs/>
          <w:sz w:val="24"/>
          <w:szCs w:val="24"/>
        </w:rPr>
        <w:t xml:space="preserve"> </w:t>
      </w:r>
      <w:r>
        <w:rPr>
          <w:rFonts w:ascii="仿宋" w:hAnsi="仿宋" w:eastAsia="仿宋" w:cs="华文仿宋"/>
          <w:b/>
          <w:bCs/>
          <w:sz w:val="24"/>
          <w:szCs w:val="24"/>
        </w:rPr>
        <w:t xml:space="preserve"> </w:t>
      </w:r>
      <w:r>
        <w:rPr>
          <w:rFonts w:hint="eastAsia" w:ascii="仿宋" w:hAnsi="仿宋" w:eastAsia="仿宋" w:cs="仿宋"/>
          <w:sz w:val="24"/>
          <w:szCs w:val="24"/>
        </w:rPr>
        <w:t>合同编号：</w:t>
      </w:r>
      <w:r>
        <w:rPr>
          <w:rFonts w:hint="eastAsia" w:ascii="仿宋" w:hAnsi="仿宋" w:eastAsia="仿宋" w:cs="仿宋"/>
          <w:sz w:val="24"/>
          <w:szCs w:val="24"/>
          <w:highlight w:val="none"/>
        </w:rPr>
        <w:t xml:space="preserve">  </w:t>
      </w:r>
      <w:r>
        <w:rPr>
          <w:rFonts w:hint="eastAsia" w:ascii="仿宋" w:hAnsi="仿宋" w:eastAsia="仿宋" w:cs="仿宋"/>
          <w:sz w:val="24"/>
          <w:szCs w:val="24"/>
        </w:rPr>
        <w:t xml:space="preserve">         </w:t>
      </w:r>
    </w:p>
    <w:p w14:paraId="5E428CE2">
      <w:pPr>
        <w:keepNext w:val="0"/>
        <w:keepLines w:val="0"/>
        <w:pageBreakBefore w:val="0"/>
        <w:widowControl w:val="0"/>
        <w:kinsoku/>
        <w:wordWrap/>
        <w:overflowPunct/>
        <w:topLinePunct w:val="0"/>
        <w:autoSpaceDE w:val="0"/>
        <w:autoSpaceDN w:val="0"/>
        <w:bidi w:val="0"/>
        <w:adjustRightInd/>
        <w:snapToGrid/>
        <w:spacing w:line="240" w:lineRule="auto"/>
        <w:ind w:left="0" w:leftChars="0" w:right="0"/>
        <w:textAlignment w:val="auto"/>
        <w:rPr>
          <w:rFonts w:hint="eastAsia" w:ascii="仿宋" w:hAnsi="仿宋" w:eastAsia="仿宋" w:cs="仿宋"/>
          <w:sz w:val="24"/>
          <w:szCs w:val="24"/>
        </w:rPr>
      </w:pPr>
      <w:r>
        <w:rPr>
          <w:rFonts w:hint="eastAsia" w:ascii="仿宋" w:hAnsi="仿宋" w:eastAsia="仿宋" w:cs="仿宋"/>
          <w:sz w:val="24"/>
          <w:szCs w:val="24"/>
        </w:rPr>
        <w:t>甲方（</w:t>
      </w:r>
      <w:r>
        <w:rPr>
          <w:rFonts w:hint="eastAsia" w:ascii="仿宋" w:hAnsi="仿宋" w:eastAsia="仿宋" w:cs="仿宋"/>
          <w:sz w:val="24"/>
          <w:szCs w:val="24"/>
          <w:lang w:eastAsia="zh-CN"/>
        </w:rPr>
        <w:t>甲方</w:t>
      </w:r>
      <w:r>
        <w:rPr>
          <w:rFonts w:hint="eastAsia" w:ascii="仿宋" w:hAnsi="仿宋" w:eastAsia="仿宋" w:cs="仿宋"/>
          <w:sz w:val="24"/>
          <w:szCs w:val="24"/>
        </w:rPr>
        <w:t xml:space="preserve">）：中国机械总院集团海西（福建）分院有限公司 </w:t>
      </w:r>
    </w:p>
    <w:p w14:paraId="6E95E20D">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5760" w:firstLineChars="2400"/>
        <w:textAlignment w:val="auto"/>
        <w:rPr>
          <w:rFonts w:hint="eastAsia" w:ascii="仿宋" w:hAnsi="仿宋" w:eastAsia="仿宋" w:cs="仿宋"/>
          <w:color w:val="0000FF"/>
          <w:sz w:val="24"/>
          <w:szCs w:val="24"/>
        </w:rPr>
      </w:pPr>
      <w:r>
        <w:rPr>
          <w:rFonts w:hint="eastAsia" w:ascii="仿宋" w:hAnsi="仿宋" w:eastAsia="仿宋" w:cs="仿宋"/>
          <w:sz w:val="24"/>
          <w:szCs w:val="24"/>
        </w:rPr>
        <w:t>签订地点：</w:t>
      </w:r>
      <w:r>
        <w:rPr>
          <w:rFonts w:hint="eastAsia" w:ascii="仿宋" w:hAnsi="仿宋" w:eastAsia="仿宋" w:cs="仿宋"/>
          <w:sz w:val="24"/>
          <w:szCs w:val="24"/>
          <w:lang w:val="en-US" w:eastAsia="zh-CN"/>
        </w:rPr>
        <w:t>福建省三明市沙县区</w:t>
      </w:r>
      <w:r>
        <w:rPr>
          <w:rFonts w:hint="eastAsia" w:ascii="仿宋" w:hAnsi="仿宋" w:eastAsia="仿宋" w:cs="仿宋"/>
          <w:sz w:val="24"/>
          <w:szCs w:val="24"/>
          <w:shd w:val="clear" w:color="auto" w:fill="FFFFFF"/>
        </w:rPr>
        <w:t xml:space="preserve"> </w:t>
      </w:r>
    </w:p>
    <w:p w14:paraId="2FCF2036">
      <w:pPr>
        <w:keepNext w:val="0"/>
        <w:keepLines w:val="0"/>
        <w:pageBreakBefore w:val="0"/>
        <w:widowControl w:val="0"/>
        <w:kinsoku/>
        <w:wordWrap/>
        <w:overflowPunct/>
        <w:topLinePunct w:val="0"/>
        <w:autoSpaceDE w:val="0"/>
        <w:autoSpaceDN w:val="0"/>
        <w:bidi w:val="0"/>
        <w:adjustRightInd/>
        <w:snapToGrid/>
        <w:spacing w:line="240" w:lineRule="auto"/>
        <w:ind w:left="0" w:leftChars="0" w:right="0"/>
        <w:textAlignment w:val="auto"/>
        <w:rPr>
          <w:rFonts w:hint="eastAsia" w:ascii="仿宋" w:hAnsi="仿宋" w:eastAsia="仿宋" w:cs="仿宋"/>
          <w:sz w:val="24"/>
          <w:szCs w:val="24"/>
        </w:rPr>
      </w:pPr>
      <w:r>
        <w:rPr>
          <w:rFonts w:hint="eastAsia" w:ascii="仿宋" w:hAnsi="仿宋" w:eastAsia="仿宋" w:cs="仿宋"/>
          <w:sz w:val="24"/>
          <w:szCs w:val="24"/>
        </w:rPr>
        <w:t>乙方（</w:t>
      </w:r>
      <w:r>
        <w:rPr>
          <w:rFonts w:hint="eastAsia" w:ascii="仿宋" w:hAnsi="仿宋" w:eastAsia="仿宋" w:cs="仿宋"/>
          <w:sz w:val="24"/>
          <w:szCs w:val="24"/>
          <w:lang w:eastAsia="zh-CN"/>
        </w:rPr>
        <w:t>乙方</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签订日期：</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年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月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日    </w:t>
      </w:r>
    </w:p>
    <w:p w14:paraId="59C69155">
      <w:pPr>
        <w:pStyle w:val="32"/>
        <w:keepNext w:val="0"/>
        <w:keepLines w:val="0"/>
        <w:pageBreakBefore w:val="0"/>
        <w:widowControl w:val="0"/>
        <w:kinsoku/>
        <w:wordWrap/>
        <w:overflowPunct/>
        <w:topLinePunct w:val="0"/>
        <w:autoSpaceDE w:val="0"/>
        <w:autoSpaceDN w:val="0"/>
        <w:bidi w:val="0"/>
        <w:adjustRightInd/>
        <w:snapToGrid/>
        <w:spacing w:line="240" w:lineRule="auto"/>
        <w:ind w:left="0" w:leftChars="0" w:right="0"/>
        <w:textAlignment w:val="auto"/>
        <w:outlineLvl w:val="0"/>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根据</w:t>
      </w:r>
      <w:r>
        <w:rPr>
          <w:rFonts w:hint="eastAsia" w:ascii="仿宋" w:hAnsi="仿宋" w:eastAsia="仿宋" w:cs="仿宋"/>
          <w:sz w:val="24"/>
          <w:szCs w:val="24"/>
        </w:rPr>
        <w:t>《中华人民共和国民法典》，并经甲乙双方友好协商，就以下事项达成一致并签订本合同：</w:t>
      </w:r>
    </w:p>
    <w:p w14:paraId="51B5480E">
      <w:pPr>
        <w:keepNext w:val="0"/>
        <w:keepLines w:val="0"/>
        <w:pageBreakBefore w:val="0"/>
        <w:widowControl w:val="0"/>
        <w:shd w:val="clear" w:color="auto" w:fill="FFFFFF"/>
        <w:kinsoku/>
        <w:wordWrap/>
        <w:overflowPunct/>
        <w:topLinePunct w:val="0"/>
        <w:autoSpaceDE w:val="0"/>
        <w:autoSpaceDN w:val="0"/>
        <w:bidi w:val="0"/>
        <w:adjustRightInd/>
        <w:snapToGrid/>
        <w:spacing w:line="240" w:lineRule="auto"/>
        <w:ind w:left="0" w:leftChars="0" w:right="0" w:firstLine="360" w:firstLineChars="150"/>
        <w:textAlignment w:val="auto"/>
        <w:rPr>
          <w:rFonts w:hint="eastAsia" w:ascii="仿宋" w:hAnsi="仿宋" w:eastAsia="仿宋" w:cs="仿宋"/>
          <w:sz w:val="24"/>
          <w:szCs w:val="24"/>
        </w:rPr>
      </w:pPr>
      <w:r>
        <w:rPr>
          <w:rFonts w:hint="eastAsia" w:ascii="仿宋" w:hAnsi="仿宋" w:eastAsia="仿宋" w:cs="仿宋"/>
          <w:sz w:val="24"/>
          <w:szCs w:val="24"/>
        </w:rPr>
        <w:t>一、品种、型号、数量</w:t>
      </w:r>
    </w:p>
    <w:p w14:paraId="33CD7596">
      <w:pPr>
        <w:keepNext w:val="0"/>
        <w:keepLines w:val="0"/>
        <w:pageBreakBefore w:val="0"/>
        <w:widowControl w:val="0"/>
        <w:shd w:val="clear" w:color="auto" w:fill="FFFFFF"/>
        <w:kinsoku/>
        <w:wordWrap/>
        <w:overflowPunct/>
        <w:topLinePunct w:val="0"/>
        <w:autoSpaceDE w:val="0"/>
        <w:autoSpaceDN w:val="0"/>
        <w:bidi w:val="0"/>
        <w:adjustRightInd/>
        <w:snapToGrid/>
        <w:spacing w:line="240" w:lineRule="auto"/>
        <w:ind w:left="0" w:leftChars="0" w:right="0" w:firstLine="360" w:firstLineChars="150"/>
        <w:textAlignment w:val="auto"/>
        <w:rPr>
          <w:rFonts w:hint="eastAsia" w:ascii="仿宋" w:hAnsi="仿宋" w:eastAsia="仿宋" w:cs="仿宋"/>
          <w:sz w:val="24"/>
          <w:szCs w:val="24"/>
        </w:rPr>
      </w:pPr>
      <w:r>
        <w:rPr>
          <w:rFonts w:hint="eastAsia" w:ascii="仿宋" w:hAnsi="仿宋" w:eastAsia="仿宋" w:cs="仿宋"/>
          <w:sz w:val="24"/>
          <w:szCs w:val="24"/>
        </w:rPr>
        <w:t xml:space="preserve">1、该项目供应的材料按照设计预算规格、数量具体如下： </w:t>
      </w:r>
    </w:p>
    <w:tbl>
      <w:tblPr>
        <w:tblStyle w:val="16"/>
        <w:tblpPr w:leftFromText="180" w:rightFromText="180" w:vertAnchor="text" w:horzAnchor="page" w:tblpX="1480" w:tblpY="107"/>
        <w:tblOverlap w:val="never"/>
        <w:tblW w:w="93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19"/>
        <w:gridCol w:w="2313"/>
        <w:gridCol w:w="742"/>
        <w:gridCol w:w="930"/>
        <w:gridCol w:w="1456"/>
        <w:gridCol w:w="1768"/>
      </w:tblGrid>
      <w:tr w14:paraId="6358B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119" w:type="dxa"/>
            <w:tcBorders>
              <w:top w:val="single" w:color="000000" w:sz="4" w:space="0"/>
              <w:left w:val="single" w:color="000000" w:sz="4" w:space="0"/>
              <w:bottom w:val="single" w:color="000000" w:sz="4" w:space="0"/>
              <w:right w:val="single" w:color="000000" w:sz="4" w:space="0"/>
            </w:tcBorders>
            <w:noWrap/>
            <w:vAlign w:val="center"/>
          </w:tcPr>
          <w:p w14:paraId="554FCADE">
            <w:pPr>
              <w:keepNext w:val="0"/>
              <w:keepLines w:val="0"/>
              <w:pageBreakBefore w:val="0"/>
              <w:widowControl/>
              <w:suppressLineNumbers w:val="0"/>
              <w:wordWrap/>
              <w:overflowPunct/>
              <w:topLinePunct w:val="0"/>
              <w:autoSpaceDE w:val="0"/>
              <w:autoSpaceDN w:val="0"/>
              <w:bidi w:val="0"/>
              <w:adjustRightInd/>
              <w:snapToGrid/>
              <w:spacing w:line="24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名称</w:t>
            </w:r>
          </w:p>
        </w:tc>
        <w:tc>
          <w:tcPr>
            <w:tcW w:w="2313" w:type="dxa"/>
            <w:tcBorders>
              <w:top w:val="single" w:color="000000" w:sz="4" w:space="0"/>
              <w:left w:val="single" w:color="000000" w:sz="4" w:space="0"/>
              <w:bottom w:val="single" w:color="000000" w:sz="4" w:space="0"/>
              <w:right w:val="single" w:color="000000" w:sz="4" w:space="0"/>
            </w:tcBorders>
            <w:noWrap/>
            <w:vAlign w:val="center"/>
          </w:tcPr>
          <w:p w14:paraId="112F41AB">
            <w:pPr>
              <w:keepNext w:val="0"/>
              <w:keepLines w:val="0"/>
              <w:pageBreakBefore w:val="0"/>
              <w:widowControl/>
              <w:suppressLineNumbers w:val="0"/>
              <w:wordWrap/>
              <w:overflowPunct/>
              <w:topLinePunct w:val="0"/>
              <w:autoSpaceDE w:val="0"/>
              <w:autoSpaceDN w:val="0"/>
              <w:bidi w:val="0"/>
              <w:adjustRightInd/>
              <w:snapToGrid/>
              <w:spacing w:line="24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规格</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05D01559">
            <w:pPr>
              <w:keepNext w:val="0"/>
              <w:keepLines w:val="0"/>
              <w:pageBreakBefore w:val="0"/>
              <w:widowControl/>
              <w:suppressLineNumbers w:val="0"/>
              <w:wordWrap/>
              <w:overflowPunct/>
              <w:topLinePunct w:val="0"/>
              <w:autoSpaceDE w:val="0"/>
              <w:autoSpaceDN w:val="0"/>
              <w:bidi w:val="0"/>
              <w:adjustRightInd/>
              <w:snapToGrid/>
              <w:spacing w:line="24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0D8A0EB3">
            <w:pPr>
              <w:keepNext w:val="0"/>
              <w:keepLines w:val="0"/>
              <w:pageBreakBefore w:val="0"/>
              <w:widowControl/>
              <w:suppressLineNumbers w:val="0"/>
              <w:wordWrap/>
              <w:overflowPunct/>
              <w:topLinePunct w:val="0"/>
              <w:autoSpaceDE w:val="0"/>
              <w:autoSpaceDN w:val="0"/>
              <w:bidi w:val="0"/>
              <w:adjustRightInd/>
              <w:snapToGrid/>
              <w:spacing w:line="24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1456" w:type="dxa"/>
            <w:tcBorders>
              <w:top w:val="single" w:color="000000" w:sz="4" w:space="0"/>
              <w:left w:val="single" w:color="000000" w:sz="4" w:space="0"/>
              <w:bottom w:val="single" w:color="000000" w:sz="4" w:space="0"/>
              <w:right w:val="single" w:color="000000" w:sz="4" w:space="0"/>
            </w:tcBorders>
            <w:noWrap/>
            <w:vAlign w:val="center"/>
          </w:tcPr>
          <w:p w14:paraId="0A255C34">
            <w:pPr>
              <w:keepNext w:val="0"/>
              <w:keepLines w:val="0"/>
              <w:pageBreakBefore w:val="0"/>
              <w:widowControl/>
              <w:suppressLineNumbers w:val="0"/>
              <w:wordWrap/>
              <w:overflowPunct/>
              <w:topLinePunct w:val="0"/>
              <w:autoSpaceDE w:val="0"/>
              <w:autoSpaceDN w:val="0"/>
              <w:bidi w:val="0"/>
              <w:adjustRightInd/>
              <w:snapToGrid/>
              <w:spacing w:line="24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单价（元）</w:t>
            </w:r>
          </w:p>
        </w:tc>
        <w:tc>
          <w:tcPr>
            <w:tcW w:w="1768" w:type="dxa"/>
            <w:tcBorders>
              <w:top w:val="single" w:color="000000" w:sz="4" w:space="0"/>
              <w:left w:val="single" w:color="000000" w:sz="4" w:space="0"/>
              <w:bottom w:val="single" w:color="000000" w:sz="4" w:space="0"/>
              <w:right w:val="single" w:color="000000" w:sz="4" w:space="0"/>
            </w:tcBorders>
            <w:noWrap/>
            <w:vAlign w:val="center"/>
          </w:tcPr>
          <w:p w14:paraId="41F7806F">
            <w:pPr>
              <w:keepNext w:val="0"/>
              <w:keepLines w:val="0"/>
              <w:pageBreakBefore w:val="0"/>
              <w:widowControl/>
              <w:suppressLineNumbers w:val="0"/>
              <w:wordWrap/>
              <w:overflowPunct/>
              <w:topLinePunct w:val="0"/>
              <w:autoSpaceDE w:val="0"/>
              <w:autoSpaceDN w:val="0"/>
              <w:bidi w:val="0"/>
              <w:adjustRightInd/>
              <w:snapToGrid/>
              <w:spacing w:line="24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总价（元）</w:t>
            </w:r>
          </w:p>
        </w:tc>
      </w:tr>
      <w:tr w14:paraId="121F2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119" w:type="dxa"/>
            <w:tcBorders>
              <w:top w:val="single" w:color="000000" w:sz="4" w:space="0"/>
              <w:left w:val="single" w:color="000000" w:sz="4" w:space="0"/>
              <w:bottom w:val="single" w:color="000000" w:sz="4" w:space="0"/>
              <w:right w:val="single" w:color="000000" w:sz="4" w:space="0"/>
            </w:tcBorders>
            <w:noWrap w:val="0"/>
            <w:vAlign w:val="center"/>
          </w:tcPr>
          <w:p w14:paraId="5BE9B41D">
            <w:pPr>
              <w:jc w:val="center"/>
              <w:rPr>
                <w:rFonts w:hint="eastAsia" w:ascii="仿宋" w:hAnsi="仿宋" w:eastAsia="仿宋" w:cs="仿宋"/>
                <w:i w:val="0"/>
                <w:iCs w:val="0"/>
                <w:color w:val="000000"/>
                <w:sz w:val="24"/>
                <w:szCs w:val="24"/>
                <w:u w:val="none"/>
                <w:lang w:val="en-US"/>
              </w:rPr>
            </w:pPr>
          </w:p>
        </w:tc>
        <w:tc>
          <w:tcPr>
            <w:tcW w:w="2313" w:type="dxa"/>
            <w:tcBorders>
              <w:top w:val="single" w:color="000000" w:sz="4" w:space="0"/>
              <w:left w:val="single" w:color="000000" w:sz="4" w:space="0"/>
              <w:bottom w:val="single" w:color="000000" w:sz="4" w:space="0"/>
              <w:right w:val="single" w:color="000000" w:sz="4" w:space="0"/>
            </w:tcBorders>
            <w:noWrap w:val="0"/>
            <w:vAlign w:val="center"/>
          </w:tcPr>
          <w:p w14:paraId="1ACC335A">
            <w:pPr>
              <w:pStyle w:val="15"/>
              <w:ind w:left="0" w:leftChars="0" w:firstLine="0" w:firstLineChars="0"/>
              <w:jc w:val="center"/>
              <w:rPr>
                <w:rFonts w:hint="eastAsia" w:ascii="仿宋" w:hAnsi="仿宋" w:eastAsia="仿宋" w:cs="仿宋"/>
                <w:i w:val="0"/>
                <w:iCs w:val="0"/>
                <w:color w:val="000000"/>
                <w:sz w:val="24"/>
                <w:szCs w:val="24"/>
                <w:u w:val="none"/>
              </w:rPr>
            </w:pP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55C91AFB">
            <w:pPr>
              <w:keepNext w:val="0"/>
              <w:keepLines w:val="0"/>
              <w:pageBreakBefore w:val="0"/>
              <w:widowControl/>
              <w:suppressLineNumbers w:val="0"/>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Kg</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074D15AA">
            <w:pPr>
              <w:keepNext w:val="0"/>
              <w:keepLines w:val="0"/>
              <w:pageBreakBefore w:val="0"/>
              <w:widowControl/>
              <w:suppressLineNumbers w:val="0"/>
              <w:wordWrap/>
              <w:overflowPunct/>
              <w:topLinePunct w:val="0"/>
              <w:autoSpaceDE w:val="0"/>
              <w:autoSpaceDN w:val="0"/>
              <w:bidi w:val="0"/>
              <w:adjustRightInd/>
              <w:snapToGrid/>
              <w:spacing w:line="240" w:lineRule="auto"/>
              <w:ind w:left="0" w:leftChars="0" w:right="0"/>
              <w:jc w:val="center"/>
              <w:textAlignment w:val="center"/>
              <w:rPr>
                <w:rFonts w:hint="eastAsia" w:ascii="仿宋" w:hAnsi="仿宋" w:eastAsia="仿宋" w:cs="仿宋"/>
                <w:i w:val="0"/>
                <w:iCs w:val="0"/>
                <w:color w:val="000000"/>
                <w:sz w:val="24"/>
                <w:szCs w:val="24"/>
                <w:u w:val="none"/>
                <w:lang w:val="en-US"/>
              </w:rPr>
            </w:pPr>
          </w:p>
        </w:tc>
        <w:tc>
          <w:tcPr>
            <w:tcW w:w="1456" w:type="dxa"/>
            <w:tcBorders>
              <w:top w:val="single" w:color="000000" w:sz="4" w:space="0"/>
              <w:left w:val="single" w:color="000000" w:sz="4" w:space="0"/>
              <w:bottom w:val="single" w:color="000000" w:sz="4" w:space="0"/>
              <w:right w:val="single" w:color="000000" w:sz="4" w:space="0"/>
            </w:tcBorders>
            <w:noWrap/>
            <w:vAlign w:val="center"/>
          </w:tcPr>
          <w:p w14:paraId="0A5D2D05">
            <w:pPr>
              <w:keepNext w:val="0"/>
              <w:keepLines w:val="0"/>
              <w:pageBreakBefore w:val="0"/>
              <w:widowControl/>
              <w:suppressLineNumbers w:val="0"/>
              <w:wordWrap/>
              <w:overflowPunct/>
              <w:topLinePunct w:val="0"/>
              <w:autoSpaceDE w:val="0"/>
              <w:autoSpaceDN w:val="0"/>
              <w:bidi w:val="0"/>
              <w:adjustRightInd/>
              <w:snapToGrid/>
              <w:spacing w:line="240" w:lineRule="auto"/>
              <w:ind w:left="0" w:leftChars="0" w:right="0"/>
              <w:jc w:val="center"/>
              <w:textAlignment w:val="center"/>
              <w:rPr>
                <w:rFonts w:hint="eastAsia" w:ascii="仿宋" w:hAnsi="仿宋" w:eastAsia="仿宋" w:cs="仿宋"/>
                <w:i w:val="0"/>
                <w:iCs w:val="0"/>
                <w:color w:val="000000"/>
                <w:sz w:val="24"/>
                <w:szCs w:val="24"/>
                <w:u w:val="none"/>
                <w:lang w:val="en-US"/>
              </w:rPr>
            </w:pPr>
          </w:p>
        </w:tc>
        <w:tc>
          <w:tcPr>
            <w:tcW w:w="1768" w:type="dxa"/>
            <w:tcBorders>
              <w:top w:val="single" w:color="000000" w:sz="4" w:space="0"/>
              <w:left w:val="single" w:color="000000" w:sz="4" w:space="0"/>
              <w:bottom w:val="single" w:color="000000" w:sz="4" w:space="0"/>
              <w:right w:val="single" w:color="000000" w:sz="4" w:space="0"/>
            </w:tcBorders>
            <w:noWrap/>
            <w:vAlign w:val="center"/>
          </w:tcPr>
          <w:p w14:paraId="6EBD5C19">
            <w:pPr>
              <w:keepNext w:val="0"/>
              <w:keepLines w:val="0"/>
              <w:pageBreakBefore w:val="0"/>
              <w:widowControl/>
              <w:suppressLineNumbers w:val="0"/>
              <w:wordWrap/>
              <w:overflowPunct/>
              <w:topLinePunct w:val="0"/>
              <w:autoSpaceDE w:val="0"/>
              <w:autoSpaceDN w:val="0"/>
              <w:bidi w:val="0"/>
              <w:adjustRightInd/>
              <w:snapToGrid/>
              <w:spacing w:line="240" w:lineRule="auto"/>
              <w:ind w:left="0" w:leftChars="0" w:right="0"/>
              <w:jc w:val="center"/>
              <w:textAlignment w:val="center"/>
              <w:rPr>
                <w:rFonts w:hint="eastAsia" w:ascii="仿宋" w:hAnsi="仿宋" w:eastAsia="仿宋" w:cs="仿宋"/>
                <w:i w:val="0"/>
                <w:iCs w:val="0"/>
                <w:color w:val="000000"/>
                <w:sz w:val="24"/>
                <w:szCs w:val="24"/>
                <w:u w:val="none"/>
              </w:rPr>
            </w:pPr>
          </w:p>
        </w:tc>
      </w:tr>
      <w:tr w14:paraId="70A45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2119" w:type="dxa"/>
            <w:tcBorders>
              <w:top w:val="single" w:color="000000" w:sz="4" w:space="0"/>
              <w:left w:val="single" w:color="000000" w:sz="4" w:space="0"/>
              <w:bottom w:val="single" w:color="000000" w:sz="4" w:space="0"/>
              <w:right w:val="single" w:color="000000" w:sz="4" w:space="0"/>
            </w:tcBorders>
            <w:noWrap w:val="0"/>
            <w:vAlign w:val="center"/>
          </w:tcPr>
          <w:p w14:paraId="7A1F7773">
            <w:pPr>
              <w:jc w:val="center"/>
              <w:rPr>
                <w:rFonts w:hint="eastAsia" w:ascii="仿宋" w:hAnsi="仿宋" w:eastAsia="仿宋" w:cs="仿宋"/>
                <w:i w:val="0"/>
                <w:iCs w:val="0"/>
                <w:color w:val="000000"/>
                <w:kern w:val="0"/>
                <w:sz w:val="24"/>
                <w:szCs w:val="24"/>
                <w:u w:val="none"/>
                <w:lang w:val="en-US" w:eastAsia="zh-CN" w:bidi="ar"/>
              </w:rPr>
            </w:pPr>
          </w:p>
        </w:tc>
        <w:tc>
          <w:tcPr>
            <w:tcW w:w="2313" w:type="dxa"/>
            <w:tcBorders>
              <w:top w:val="single" w:color="000000" w:sz="4" w:space="0"/>
              <w:left w:val="single" w:color="000000" w:sz="4" w:space="0"/>
              <w:bottom w:val="single" w:color="000000" w:sz="4" w:space="0"/>
              <w:right w:val="single" w:color="000000" w:sz="4" w:space="0"/>
            </w:tcBorders>
            <w:noWrap w:val="0"/>
            <w:vAlign w:val="center"/>
          </w:tcPr>
          <w:p w14:paraId="46FEC224">
            <w:pPr>
              <w:pStyle w:val="15"/>
              <w:ind w:left="0" w:leftChars="0" w:firstLine="0" w:firstLineChars="0"/>
              <w:jc w:val="center"/>
              <w:rPr>
                <w:rFonts w:hint="eastAsia" w:ascii="仿宋" w:hAnsi="仿宋" w:eastAsia="仿宋" w:cs="仿宋"/>
                <w:i w:val="0"/>
                <w:iCs w:val="0"/>
                <w:color w:val="000000"/>
                <w:kern w:val="0"/>
                <w:sz w:val="24"/>
                <w:szCs w:val="24"/>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5B8665D2">
            <w:pPr>
              <w:keepNext w:val="0"/>
              <w:keepLines w:val="0"/>
              <w:pageBreakBefore w:val="0"/>
              <w:widowControl/>
              <w:suppressLineNumbers w:val="0"/>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Kg</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71A7E485">
            <w:pPr>
              <w:keepNext w:val="0"/>
              <w:keepLines w:val="0"/>
              <w:pageBreakBefore w:val="0"/>
              <w:widowControl/>
              <w:suppressLineNumbers w:val="0"/>
              <w:wordWrap/>
              <w:overflowPunct/>
              <w:topLinePunct w:val="0"/>
              <w:autoSpaceDE w:val="0"/>
              <w:autoSpaceDN w:val="0"/>
              <w:bidi w:val="0"/>
              <w:adjustRightInd/>
              <w:snapToGrid/>
              <w:spacing w:line="240" w:lineRule="auto"/>
              <w:ind w:left="0" w:leftChars="0" w:right="0"/>
              <w:jc w:val="center"/>
              <w:textAlignment w:val="center"/>
              <w:rPr>
                <w:rFonts w:hint="eastAsia" w:ascii="仿宋" w:hAnsi="仿宋" w:eastAsia="仿宋" w:cs="仿宋"/>
                <w:i w:val="0"/>
                <w:iCs w:val="0"/>
                <w:color w:val="000000"/>
                <w:sz w:val="24"/>
                <w:szCs w:val="24"/>
                <w:u w:val="none"/>
                <w:lang w:val="en-US"/>
              </w:rPr>
            </w:pPr>
          </w:p>
        </w:tc>
        <w:tc>
          <w:tcPr>
            <w:tcW w:w="1456" w:type="dxa"/>
            <w:tcBorders>
              <w:top w:val="single" w:color="000000" w:sz="4" w:space="0"/>
              <w:left w:val="single" w:color="000000" w:sz="4" w:space="0"/>
              <w:bottom w:val="single" w:color="000000" w:sz="4" w:space="0"/>
              <w:right w:val="single" w:color="000000" w:sz="4" w:space="0"/>
            </w:tcBorders>
            <w:noWrap/>
            <w:vAlign w:val="center"/>
          </w:tcPr>
          <w:p w14:paraId="65A1A282">
            <w:pPr>
              <w:keepNext w:val="0"/>
              <w:keepLines w:val="0"/>
              <w:pageBreakBefore w:val="0"/>
              <w:widowControl/>
              <w:suppressLineNumbers w:val="0"/>
              <w:wordWrap/>
              <w:overflowPunct/>
              <w:topLinePunct w:val="0"/>
              <w:autoSpaceDE w:val="0"/>
              <w:autoSpaceDN w:val="0"/>
              <w:bidi w:val="0"/>
              <w:adjustRightInd/>
              <w:snapToGrid/>
              <w:spacing w:line="240" w:lineRule="auto"/>
              <w:ind w:left="0" w:leftChars="0" w:right="0"/>
              <w:jc w:val="center"/>
              <w:textAlignment w:val="center"/>
              <w:rPr>
                <w:rFonts w:hint="eastAsia" w:ascii="仿宋" w:hAnsi="仿宋" w:eastAsia="仿宋" w:cs="仿宋"/>
                <w:i w:val="0"/>
                <w:iCs w:val="0"/>
                <w:color w:val="000000"/>
                <w:sz w:val="24"/>
                <w:szCs w:val="24"/>
                <w:u w:val="none"/>
                <w:lang w:val="en-US"/>
              </w:rPr>
            </w:pPr>
          </w:p>
        </w:tc>
        <w:tc>
          <w:tcPr>
            <w:tcW w:w="1768" w:type="dxa"/>
            <w:tcBorders>
              <w:top w:val="single" w:color="000000" w:sz="4" w:space="0"/>
              <w:left w:val="single" w:color="000000" w:sz="4" w:space="0"/>
              <w:bottom w:val="single" w:color="000000" w:sz="4" w:space="0"/>
              <w:right w:val="single" w:color="000000" w:sz="4" w:space="0"/>
            </w:tcBorders>
            <w:noWrap/>
            <w:vAlign w:val="center"/>
          </w:tcPr>
          <w:p w14:paraId="36813B9B">
            <w:pPr>
              <w:keepNext w:val="0"/>
              <w:keepLines w:val="0"/>
              <w:pageBreakBefore w:val="0"/>
              <w:widowControl/>
              <w:suppressLineNumbers w:val="0"/>
              <w:wordWrap/>
              <w:overflowPunct/>
              <w:topLinePunct w:val="0"/>
              <w:autoSpaceDE w:val="0"/>
              <w:autoSpaceDN w:val="0"/>
              <w:bidi w:val="0"/>
              <w:adjustRightInd/>
              <w:snapToGrid/>
              <w:spacing w:line="240" w:lineRule="auto"/>
              <w:ind w:left="0" w:leftChars="0" w:right="0"/>
              <w:jc w:val="center"/>
              <w:textAlignment w:val="center"/>
              <w:rPr>
                <w:rFonts w:hint="eastAsia" w:ascii="仿宋" w:hAnsi="仿宋" w:eastAsia="仿宋" w:cs="仿宋"/>
                <w:i w:val="0"/>
                <w:iCs w:val="0"/>
                <w:color w:val="000000"/>
                <w:sz w:val="24"/>
                <w:szCs w:val="24"/>
                <w:u w:val="none"/>
              </w:rPr>
            </w:pPr>
          </w:p>
        </w:tc>
      </w:tr>
      <w:tr w14:paraId="2490E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32" w:type="dxa"/>
            <w:gridSpan w:val="2"/>
            <w:tcBorders>
              <w:top w:val="single" w:color="000000" w:sz="4" w:space="0"/>
              <w:left w:val="single" w:color="000000" w:sz="4" w:space="0"/>
              <w:bottom w:val="single" w:color="000000" w:sz="4" w:space="0"/>
              <w:right w:val="single" w:color="000000" w:sz="4" w:space="0"/>
            </w:tcBorders>
            <w:noWrap/>
            <w:vAlign w:val="center"/>
          </w:tcPr>
          <w:p w14:paraId="55C1C2C3">
            <w:pPr>
              <w:keepNext w:val="0"/>
              <w:keepLines w:val="0"/>
              <w:pageBreakBefore w:val="0"/>
              <w:widowControl/>
              <w:suppressLineNumbers w:val="0"/>
              <w:wordWrap/>
              <w:overflowPunct/>
              <w:topLinePunct w:val="0"/>
              <w:autoSpaceDE w:val="0"/>
              <w:autoSpaceDN w:val="0"/>
              <w:bidi w:val="0"/>
              <w:adjustRightInd/>
              <w:snapToGrid/>
              <w:spacing w:line="240" w:lineRule="auto"/>
              <w:ind w:left="0" w:leftChars="0" w:right="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小写金额：￥         .00</w:t>
            </w:r>
          </w:p>
        </w:tc>
        <w:tc>
          <w:tcPr>
            <w:tcW w:w="4896" w:type="dxa"/>
            <w:gridSpan w:val="4"/>
            <w:tcBorders>
              <w:top w:val="single" w:color="000000" w:sz="4" w:space="0"/>
              <w:left w:val="single" w:color="000000" w:sz="4" w:space="0"/>
              <w:bottom w:val="single" w:color="000000" w:sz="4" w:space="0"/>
              <w:right w:val="single" w:color="000000" w:sz="4" w:space="0"/>
            </w:tcBorders>
            <w:noWrap/>
            <w:vAlign w:val="center"/>
          </w:tcPr>
          <w:p w14:paraId="3E42987D">
            <w:pPr>
              <w:keepNext w:val="0"/>
              <w:keepLines w:val="0"/>
              <w:pageBreakBefore w:val="0"/>
              <w:widowControl/>
              <w:suppressLineNumbers w:val="0"/>
              <w:wordWrap/>
              <w:overflowPunct/>
              <w:topLinePunct w:val="0"/>
              <w:autoSpaceDE w:val="0"/>
              <w:autoSpaceDN w:val="0"/>
              <w:bidi w:val="0"/>
              <w:adjustRightInd/>
              <w:snapToGrid/>
              <w:spacing w:line="240" w:lineRule="auto"/>
              <w:ind w:left="0" w:leftChars="0" w:right="0"/>
              <w:jc w:val="left"/>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不含税金额：</w:t>
            </w:r>
            <w:r>
              <w:rPr>
                <w:rFonts w:hint="eastAsia" w:ascii="仿宋" w:hAnsi="仿宋" w:eastAsia="仿宋" w:cs="仿宋"/>
                <w:i w:val="0"/>
                <w:iCs w:val="0"/>
                <w:color w:val="000000"/>
                <w:kern w:val="0"/>
                <w:sz w:val="24"/>
                <w:szCs w:val="24"/>
                <w:u w:val="none"/>
                <w:lang w:val="en-US" w:eastAsia="zh-CN" w:bidi="ar"/>
              </w:rPr>
              <w:t>￥         .00</w:t>
            </w:r>
          </w:p>
        </w:tc>
      </w:tr>
      <w:tr w14:paraId="121C2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32" w:type="dxa"/>
            <w:gridSpan w:val="2"/>
            <w:tcBorders>
              <w:top w:val="single" w:color="000000" w:sz="4" w:space="0"/>
              <w:left w:val="single" w:color="000000" w:sz="4" w:space="0"/>
              <w:bottom w:val="single" w:color="000000" w:sz="4" w:space="0"/>
              <w:right w:val="single" w:color="000000" w:sz="4" w:space="0"/>
            </w:tcBorders>
            <w:noWrap/>
            <w:vAlign w:val="center"/>
          </w:tcPr>
          <w:p w14:paraId="58540B31">
            <w:pPr>
              <w:keepNext w:val="0"/>
              <w:keepLines w:val="0"/>
              <w:pageBreakBefore w:val="0"/>
              <w:widowControl/>
              <w:suppressLineNumbers w:val="0"/>
              <w:wordWrap/>
              <w:overflowPunct/>
              <w:topLinePunct w:val="0"/>
              <w:autoSpaceDE w:val="0"/>
              <w:autoSpaceDN w:val="0"/>
              <w:bidi w:val="0"/>
              <w:adjustRightInd/>
              <w:snapToGrid/>
              <w:spacing w:line="240" w:lineRule="auto"/>
              <w:ind w:left="0" w:leftChars="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人民币大写：                元整</w:t>
            </w:r>
          </w:p>
        </w:tc>
        <w:tc>
          <w:tcPr>
            <w:tcW w:w="4896" w:type="dxa"/>
            <w:gridSpan w:val="4"/>
            <w:tcBorders>
              <w:top w:val="single" w:color="000000" w:sz="4" w:space="0"/>
              <w:left w:val="single" w:color="000000" w:sz="4" w:space="0"/>
              <w:bottom w:val="single" w:color="000000" w:sz="4" w:space="0"/>
              <w:right w:val="single" w:color="000000" w:sz="4" w:space="0"/>
            </w:tcBorders>
            <w:noWrap/>
            <w:vAlign w:val="center"/>
          </w:tcPr>
          <w:p w14:paraId="0B2820AB">
            <w:pPr>
              <w:keepNext w:val="0"/>
              <w:keepLines w:val="0"/>
              <w:pageBreakBefore w:val="0"/>
              <w:widowControl/>
              <w:suppressLineNumbers w:val="0"/>
              <w:wordWrap/>
              <w:overflowPunct/>
              <w:topLinePunct w:val="0"/>
              <w:autoSpaceDE w:val="0"/>
              <w:autoSpaceDN w:val="0"/>
              <w:bidi w:val="0"/>
              <w:adjustRightInd/>
              <w:snapToGrid/>
              <w:spacing w:line="24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含13%增值税票</w:t>
            </w:r>
          </w:p>
        </w:tc>
      </w:tr>
    </w:tbl>
    <w:p w14:paraId="5F6B6E2E">
      <w:pPr>
        <w:keepNext w:val="0"/>
        <w:keepLines w:val="0"/>
        <w:pageBreakBefore w:val="0"/>
        <w:widowControl w:val="0"/>
        <w:kinsoku/>
        <w:wordWrap/>
        <w:overflowPunct/>
        <w:topLinePunct w:val="0"/>
        <w:autoSpaceDE w:val="0"/>
        <w:autoSpaceDN w:val="0"/>
        <w:bidi w:val="0"/>
        <w:adjustRightInd w:val="0"/>
        <w:snapToGrid/>
        <w:spacing w:line="420" w:lineRule="exact"/>
        <w:ind w:firstLine="480" w:firstLineChars="200"/>
        <w:textAlignment w:val="auto"/>
        <w:rPr>
          <w:rFonts w:hint="eastAsia" w:ascii="仿宋" w:hAnsi="仿宋" w:eastAsia="仿宋" w:cs="仿宋"/>
          <w:color w:val="000000"/>
          <w:kern w:val="0"/>
          <w:sz w:val="24"/>
          <w:lang w:val="zh-CN"/>
        </w:rPr>
      </w:pPr>
      <w:r>
        <w:rPr>
          <w:rFonts w:hint="eastAsia" w:ascii="仿宋" w:hAnsi="仿宋" w:eastAsia="仿宋" w:cs="仿宋"/>
          <w:color w:val="000000"/>
          <w:kern w:val="0"/>
          <w:sz w:val="24"/>
          <w:lang w:val="zh-CN"/>
        </w:rPr>
        <w:t>以上货物价格为固定单价，采购货物的实际数量以</w:t>
      </w:r>
      <w:r>
        <w:rPr>
          <w:rFonts w:hint="eastAsia" w:ascii="仿宋" w:hAnsi="仿宋" w:eastAsia="仿宋" w:cs="华文仿宋"/>
          <w:color w:val="000000"/>
          <w:sz w:val="24"/>
          <w:lang w:val="en-US" w:eastAsia="zh-CN"/>
        </w:rPr>
        <w:t>最终以实际过磅重量结算。</w:t>
      </w:r>
      <w:r>
        <w:rPr>
          <w:rFonts w:hint="eastAsia" w:ascii="仿宋" w:hAnsi="仿宋" w:eastAsia="仿宋" w:cs="华文仿宋"/>
          <w:color w:val="000000"/>
          <w:sz w:val="24"/>
          <w:lang w:val="zh-CN"/>
        </w:rPr>
        <w:t>（</w:t>
      </w:r>
      <w:r>
        <w:rPr>
          <w:rFonts w:hint="eastAsia" w:ascii="仿宋" w:hAnsi="仿宋" w:eastAsia="仿宋" w:cs="华文仿宋"/>
          <w:color w:val="000000"/>
          <w:sz w:val="24"/>
        </w:rPr>
        <w:t>如采购总金额有超过5%-10％范围内需签订补充协议</w:t>
      </w:r>
      <w:r>
        <w:rPr>
          <w:rFonts w:hint="eastAsia" w:ascii="仿宋" w:hAnsi="仿宋" w:eastAsia="仿宋" w:cs="仿宋"/>
          <w:color w:val="000000"/>
          <w:kern w:val="0"/>
          <w:sz w:val="24"/>
        </w:rPr>
        <w:t>）</w:t>
      </w:r>
      <w:r>
        <w:rPr>
          <w:rFonts w:hint="eastAsia" w:ascii="仿宋" w:hAnsi="仿宋" w:eastAsia="仿宋" w:cs="仿宋"/>
          <w:color w:val="000000"/>
          <w:kern w:val="0"/>
          <w:sz w:val="24"/>
          <w:lang w:val="zh-CN"/>
        </w:rPr>
        <w:t>，货物价格包括产品制造、损耗、售后服务、税收｛</w:t>
      </w:r>
      <w:r>
        <w:rPr>
          <w:rFonts w:hint="eastAsia" w:ascii="仿宋" w:hAnsi="仿宋" w:eastAsia="仿宋" w:cs="仿宋"/>
          <w:color w:val="000000"/>
          <w:kern w:val="0"/>
          <w:sz w:val="24"/>
        </w:rPr>
        <w:t>乙方</w:t>
      </w:r>
      <w:r>
        <w:rPr>
          <w:rFonts w:hint="eastAsia" w:ascii="仿宋" w:hAnsi="仿宋" w:eastAsia="仿宋" w:cs="仿宋"/>
          <w:color w:val="000000"/>
          <w:kern w:val="0"/>
          <w:sz w:val="24"/>
          <w:lang w:val="zh-CN"/>
        </w:rPr>
        <w:t xml:space="preserve">提供13%的增值税专用发票（若国家政策法规另有规定的，按新规定执行, 价格调整以不含税价为基准）以及相关规定须交纳的其它费用等。 </w:t>
      </w:r>
      <w:r>
        <w:rPr>
          <w:rFonts w:ascii="仿宋" w:hAnsi="仿宋" w:eastAsia="仿宋" w:cs="仿宋"/>
          <w:color w:val="000000"/>
          <w:kern w:val="0"/>
          <w:sz w:val="24"/>
          <w:lang w:val="zh-CN"/>
        </w:rPr>
        <w:t xml:space="preserve"> </w:t>
      </w:r>
    </w:p>
    <w:p w14:paraId="3D0118D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sz w:val="24"/>
          <w:szCs w:val="24"/>
        </w:rPr>
      </w:pPr>
      <w:r>
        <w:rPr>
          <w:rFonts w:hint="eastAsia" w:ascii="仿宋" w:hAnsi="仿宋" w:eastAsia="仿宋" w:cs="仿宋"/>
          <w:b/>
          <w:bCs/>
          <w:color w:val="000000"/>
          <w:sz w:val="24"/>
          <w:szCs w:val="24"/>
        </w:rPr>
        <w:t>二</w:t>
      </w:r>
      <w:r>
        <w:rPr>
          <w:rFonts w:hint="eastAsia" w:ascii="仿宋" w:hAnsi="仿宋" w:eastAsia="仿宋" w:cs="仿宋"/>
          <w:b w:val="0"/>
          <w:bCs w:val="0"/>
          <w:color w:val="000000"/>
          <w:sz w:val="24"/>
          <w:szCs w:val="24"/>
        </w:rPr>
        <w:t>、质量要求技术标准、供方对质量的条件和期限：</w:t>
      </w:r>
    </w:p>
    <w:p w14:paraId="3A2FCAE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1、按国家标准验收。</w:t>
      </w:r>
    </w:p>
    <w:p w14:paraId="087A4C5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需方收货注意事项：（1）需方有化验设备的，请务必化验合格后才卸货。（2）需方若无化验设备的，请仓管和供方司机一起取样两包并双方签名封存，并在送货单上注明样板包编号并签名确认，各留一包作为产品检测的依据。若需方对产品质量有异议，应自留存样板之日起7天内向供方书面提出：否则，视为需方默认产品质量符合约定。若检测出质量问题，供方只负责按所销售产品的价值赔付，其余责任概不负责。（3）若需方既无化验又不留样，卸货后出现质量问题的，均由需方负责。</w:t>
      </w:r>
    </w:p>
    <w:p w14:paraId="28A009D3">
      <w:pPr>
        <w:keepNext w:val="0"/>
        <w:keepLines w:val="0"/>
        <w:pageBreakBefore w:val="0"/>
        <w:kinsoku/>
        <w:wordWrap/>
        <w:overflowPunct/>
        <w:topLinePunct w:val="0"/>
        <w:autoSpaceDE w:val="0"/>
        <w:autoSpaceDN w:val="0"/>
        <w:bidi w:val="0"/>
        <w:adjustRightInd w:val="0"/>
        <w:spacing w:line="420" w:lineRule="exact"/>
        <w:ind w:firstLine="480" w:firstLineChars="200"/>
        <w:rPr>
          <w:rFonts w:hint="eastAsia" w:ascii="仿宋" w:hAnsi="仿宋" w:eastAsia="仿宋" w:cs="仿宋"/>
          <w:color w:val="000000"/>
          <w:kern w:val="0"/>
          <w:sz w:val="24"/>
          <w:lang w:val="zh-CN"/>
        </w:rPr>
      </w:pPr>
      <w:r>
        <w:rPr>
          <w:rFonts w:hint="eastAsia" w:ascii="仿宋" w:hAnsi="仿宋" w:eastAsia="仿宋" w:cs="仿宋"/>
          <w:color w:val="000000"/>
          <w:kern w:val="0"/>
          <w:sz w:val="24"/>
          <w:lang w:val="zh-CN"/>
        </w:rPr>
        <w:t>2、若产品</w:t>
      </w:r>
      <w:r>
        <w:rPr>
          <w:rFonts w:hint="eastAsia" w:ascii="仿宋" w:hAnsi="仿宋" w:eastAsia="仿宋" w:cs="仿宋"/>
          <w:color w:val="000000"/>
          <w:kern w:val="0"/>
          <w:sz w:val="24"/>
          <w:lang w:val="en-US" w:eastAsia="zh-CN"/>
        </w:rPr>
        <w:t>经检测未达到国家标准的优等品等</w:t>
      </w:r>
      <w:r>
        <w:rPr>
          <w:rFonts w:hint="eastAsia" w:ascii="仿宋" w:hAnsi="仿宋" w:eastAsia="仿宋" w:cs="仿宋"/>
          <w:color w:val="000000"/>
          <w:kern w:val="0"/>
          <w:sz w:val="24"/>
          <w:lang w:val="zh-CN"/>
        </w:rPr>
        <w:t>质量问题，</w:t>
      </w:r>
      <w:r>
        <w:rPr>
          <w:rFonts w:hint="eastAsia" w:ascii="仿宋" w:hAnsi="仿宋" w:eastAsia="仿宋" w:cs="仿宋"/>
          <w:color w:val="000000"/>
          <w:kern w:val="0"/>
          <w:sz w:val="24"/>
          <w:lang w:val="en-US" w:eastAsia="zh-CN"/>
        </w:rPr>
        <w:t>乙</w:t>
      </w:r>
      <w:r>
        <w:rPr>
          <w:rFonts w:hint="eastAsia" w:ascii="仿宋" w:hAnsi="仿宋" w:eastAsia="仿宋" w:cs="仿宋"/>
          <w:color w:val="000000"/>
          <w:kern w:val="0"/>
          <w:sz w:val="24"/>
          <w:lang w:val="zh-CN"/>
        </w:rPr>
        <w:t>方无条件退货，退货的往返运费、延误工期等损失均由</w:t>
      </w:r>
      <w:r>
        <w:rPr>
          <w:rFonts w:hint="eastAsia" w:ascii="仿宋" w:hAnsi="仿宋" w:eastAsia="仿宋" w:cs="仿宋"/>
          <w:color w:val="000000"/>
          <w:kern w:val="0"/>
          <w:sz w:val="24"/>
          <w:lang w:val="en-US" w:eastAsia="zh-CN"/>
        </w:rPr>
        <w:t>乙</w:t>
      </w:r>
      <w:r>
        <w:rPr>
          <w:rFonts w:hint="eastAsia" w:ascii="仿宋" w:hAnsi="仿宋" w:eastAsia="仿宋" w:cs="仿宋"/>
          <w:color w:val="000000"/>
          <w:kern w:val="0"/>
          <w:sz w:val="24"/>
          <w:lang w:val="zh-CN"/>
        </w:rPr>
        <w:t>方承担。</w:t>
      </w:r>
    </w:p>
    <w:p w14:paraId="663B719F">
      <w:pPr>
        <w:keepNext w:val="0"/>
        <w:keepLines w:val="0"/>
        <w:pageBreakBefore w:val="0"/>
        <w:kinsoku/>
        <w:wordWrap/>
        <w:overflowPunct/>
        <w:topLinePunct w:val="0"/>
        <w:autoSpaceDE w:val="0"/>
        <w:autoSpaceDN w:val="0"/>
        <w:bidi w:val="0"/>
        <w:adjustRightInd w:val="0"/>
        <w:spacing w:line="420" w:lineRule="exact"/>
        <w:ind w:left="479"/>
        <w:rPr>
          <w:rFonts w:hint="eastAsia" w:ascii="仿宋" w:hAnsi="仿宋" w:eastAsia="仿宋" w:cs="仿宋"/>
          <w:color w:val="000000"/>
          <w:kern w:val="0"/>
          <w:sz w:val="24"/>
          <w:lang w:val="zh-CN"/>
        </w:rPr>
      </w:pPr>
      <w:r>
        <w:rPr>
          <w:rFonts w:hint="eastAsia" w:ascii="仿宋" w:hAnsi="仿宋" w:eastAsia="仿宋" w:cs="仿宋"/>
          <w:color w:val="000000"/>
          <w:kern w:val="0"/>
          <w:sz w:val="24"/>
          <w:lang w:val="zh-CN"/>
        </w:rPr>
        <w:t>三、交货方式、交货地点、履行地点、接收单位：</w:t>
      </w:r>
    </w:p>
    <w:p w14:paraId="59160C60">
      <w:pPr>
        <w:keepNext w:val="0"/>
        <w:keepLines w:val="0"/>
        <w:pageBreakBefore w:val="0"/>
        <w:kinsoku/>
        <w:wordWrap/>
        <w:overflowPunct/>
        <w:topLinePunct w:val="0"/>
        <w:bidi w:val="0"/>
        <w:spacing w:line="420" w:lineRule="exact"/>
        <w:ind w:firstLine="480" w:firstLineChars="200"/>
        <w:rPr>
          <w:rFonts w:hint="eastAsia" w:ascii="仿宋" w:hAnsi="仿宋" w:eastAsia="仿宋" w:cs="仿宋"/>
          <w:color w:val="000000"/>
          <w:kern w:val="0"/>
          <w:sz w:val="24"/>
          <w:lang w:val="zh-CN"/>
        </w:rPr>
      </w:pPr>
      <w:r>
        <w:rPr>
          <w:rFonts w:hint="eastAsia" w:ascii="仿宋" w:hAnsi="仿宋" w:eastAsia="仿宋" w:cs="仿宋"/>
          <w:color w:val="000000"/>
          <w:kern w:val="0"/>
          <w:sz w:val="24"/>
          <w:lang w:val="zh-CN"/>
        </w:rPr>
        <w:t>1、交货方式：由</w:t>
      </w:r>
      <w:r>
        <w:rPr>
          <w:rFonts w:hint="eastAsia" w:ascii="仿宋" w:hAnsi="仿宋" w:eastAsia="仿宋" w:cs="仿宋"/>
          <w:color w:val="000000"/>
          <w:kern w:val="0"/>
          <w:sz w:val="24"/>
          <w:lang w:val="en-US" w:eastAsia="zh-CN"/>
        </w:rPr>
        <w:t>乙</w:t>
      </w:r>
      <w:r>
        <w:rPr>
          <w:rFonts w:hint="eastAsia" w:ascii="仿宋" w:hAnsi="仿宋" w:eastAsia="仿宋" w:cs="仿宋"/>
          <w:color w:val="000000"/>
          <w:kern w:val="0"/>
          <w:sz w:val="24"/>
          <w:lang w:val="zh-CN"/>
        </w:rPr>
        <w:t>方代办托运至指定地点，运费、</w:t>
      </w:r>
      <w:r>
        <w:rPr>
          <w:rFonts w:hint="eastAsia" w:ascii="仿宋" w:hAnsi="仿宋" w:eastAsia="仿宋" w:cs="仿宋"/>
          <w:color w:val="000000"/>
          <w:kern w:val="0"/>
          <w:sz w:val="24"/>
          <w:lang w:val="en-US" w:eastAsia="zh-CN"/>
        </w:rPr>
        <w:t>过磅</w:t>
      </w:r>
      <w:r>
        <w:rPr>
          <w:rFonts w:hint="eastAsia" w:ascii="仿宋" w:hAnsi="仿宋" w:eastAsia="仿宋" w:cs="仿宋"/>
          <w:color w:val="000000"/>
          <w:kern w:val="0"/>
          <w:sz w:val="24"/>
          <w:lang w:val="zh-CN"/>
        </w:rPr>
        <w:t>费、和运输保险等费用由</w:t>
      </w:r>
      <w:r>
        <w:rPr>
          <w:rFonts w:hint="eastAsia" w:ascii="仿宋" w:hAnsi="仿宋" w:eastAsia="仿宋" w:cs="仿宋"/>
          <w:color w:val="000000"/>
          <w:kern w:val="0"/>
          <w:sz w:val="24"/>
          <w:lang w:val="en-US" w:eastAsia="zh-CN"/>
        </w:rPr>
        <w:t>乙</w:t>
      </w:r>
      <w:r>
        <w:rPr>
          <w:rFonts w:hint="eastAsia" w:ascii="仿宋" w:hAnsi="仿宋" w:eastAsia="仿宋" w:cs="仿宋"/>
          <w:color w:val="000000"/>
          <w:kern w:val="0"/>
          <w:sz w:val="24"/>
          <w:lang w:val="zh-CN"/>
        </w:rPr>
        <w:t>方承担。</w:t>
      </w:r>
    </w:p>
    <w:p w14:paraId="61397C19">
      <w:pPr>
        <w:keepNext w:val="0"/>
        <w:keepLines w:val="0"/>
        <w:pageBreakBefore w:val="0"/>
        <w:kinsoku/>
        <w:wordWrap/>
        <w:overflowPunct/>
        <w:topLinePunct w:val="0"/>
        <w:bidi w:val="0"/>
        <w:spacing w:line="420" w:lineRule="exact"/>
        <w:ind w:firstLine="480" w:firstLineChars="200"/>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zh-CN"/>
        </w:rPr>
        <w:t>2、交货地点：福建省三明市沙县区金沙园</w:t>
      </w:r>
      <w:r>
        <w:rPr>
          <w:rFonts w:hint="eastAsia" w:ascii="仿宋" w:hAnsi="仿宋" w:eastAsia="仿宋" w:cs="仿宋"/>
          <w:color w:val="000000"/>
          <w:kern w:val="0"/>
          <w:sz w:val="24"/>
          <w:lang w:val="en-US" w:eastAsia="zh-CN"/>
        </w:rPr>
        <w:t>金富路189</w:t>
      </w:r>
      <w:r>
        <w:rPr>
          <w:rFonts w:hint="eastAsia" w:ascii="仿宋" w:hAnsi="仿宋" w:eastAsia="仿宋" w:cs="仿宋"/>
          <w:color w:val="000000"/>
          <w:kern w:val="0"/>
          <w:sz w:val="24"/>
          <w:lang w:val="zh-CN"/>
        </w:rPr>
        <w:t>号</w:t>
      </w:r>
      <w:r>
        <w:rPr>
          <w:rFonts w:hint="eastAsia" w:ascii="仿宋" w:hAnsi="仿宋" w:eastAsia="仿宋" w:cs="仿宋"/>
          <w:color w:val="000000"/>
          <w:kern w:val="0"/>
          <w:sz w:val="24"/>
          <w:lang w:val="en-US" w:eastAsia="zh-CN"/>
        </w:rPr>
        <w:t xml:space="preserve"> 。</w:t>
      </w:r>
    </w:p>
    <w:p w14:paraId="60508C62">
      <w:pPr>
        <w:keepNext w:val="0"/>
        <w:keepLines w:val="0"/>
        <w:pageBreakBefore w:val="0"/>
        <w:kinsoku/>
        <w:wordWrap/>
        <w:overflowPunct/>
        <w:topLinePunct w:val="0"/>
        <w:bidi w:val="0"/>
        <w:spacing w:line="420" w:lineRule="exact"/>
        <w:ind w:firstLine="480" w:firstLineChars="200"/>
        <w:rPr>
          <w:rFonts w:hint="eastAsia" w:ascii="仿宋" w:hAnsi="仿宋" w:eastAsia="仿宋" w:cs="仿宋"/>
          <w:color w:val="000000"/>
          <w:kern w:val="0"/>
          <w:sz w:val="24"/>
          <w:lang w:val="zh-CN"/>
        </w:rPr>
      </w:pPr>
      <w:r>
        <w:rPr>
          <w:rFonts w:hint="eastAsia" w:ascii="仿宋" w:hAnsi="仿宋" w:eastAsia="仿宋" w:cs="仿宋"/>
          <w:color w:val="000000"/>
          <w:kern w:val="0"/>
          <w:sz w:val="24"/>
          <w:lang w:val="zh-CN"/>
        </w:rPr>
        <w:t>3、履行地点：</w:t>
      </w:r>
      <w:r>
        <w:rPr>
          <w:rFonts w:hint="eastAsia" w:ascii="仿宋" w:hAnsi="仿宋" w:eastAsia="仿宋" w:cs="仿宋"/>
          <w:color w:val="000000"/>
          <w:kern w:val="0"/>
          <w:sz w:val="24"/>
          <w:lang w:val="en-US" w:eastAsia="zh-CN"/>
        </w:rPr>
        <w:t xml:space="preserve">福建省三明市沙县区 </w:t>
      </w:r>
      <w:r>
        <w:rPr>
          <w:rFonts w:hint="eastAsia" w:ascii="仿宋" w:hAnsi="仿宋" w:eastAsia="仿宋" w:cs="仿宋"/>
          <w:color w:val="000000"/>
          <w:kern w:val="0"/>
          <w:sz w:val="24"/>
          <w:lang w:val="zh-CN"/>
        </w:rPr>
        <w:t xml:space="preserve"> </w:t>
      </w:r>
    </w:p>
    <w:p w14:paraId="5EAF2219">
      <w:pPr>
        <w:keepNext w:val="0"/>
        <w:keepLines w:val="0"/>
        <w:pageBreakBefore w:val="0"/>
        <w:kinsoku/>
        <w:wordWrap/>
        <w:overflowPunct/>
        <w:topLinePunct w:val="0"/>
        <w:bidi w:val="0"/>
        <w:spacing w:line="420" w:lineRule="exact"/>
        <w:ind w:firstLine="480" w:firstLineChars="200"/>
        <w:rPr>
          <w:rFonts w:hint="eastAsia" w:ascii="仿宋" w:hAnsi="仿宋" w:eastAsia="仿宋" w:cs="仿宋"/>
          <w:color w:val="000000"/>
          <w:kern w:val="0"/>
          <w:sz w:val="24"/>
          <w:lang w:val="zh-CN"/>
        </w:rPr>
      </w:pPr>
      <w:r>
        <w:rPr>
          <w:rFonts w:hint="eastAsia" w:ascii="仿宋" w:hAnsi="仿宋" w:eastAsia="仿宋" w:cs="仿宋"/>
          <w:color w:val="000000"/>
          <w:kern w:val="0"/>
          <w:sz w:val="24"/>
          <w:highlight w:val="none"/>
          <w:lang w:val="zh-CN"/>
        </w:rPr>
        <w:t>4.供货清单：</w:t>
      </w:r>
      <w:r>
        <w:rPr>
          <w:rFonts w:hint="eastAsia" w:ascii="仿宋" w:hAnsi="仿宋" w:eastAsia="仿宋" w:cs="仿宋"/>
          <w:color w:val="000000"/>
          <w:kern w:val="0"/>
          <w:sz w:val="24"/>
          <w:highlight w:val="none"/>
          <w:lang w:val="en-US" w:eastAsia="zh-CN"/>
        </w:rPr>
        <w:t>送货单、过磅单</w:t>
      </w:r>
      <w:r>
        <w:rPr>
          <w:rFonts w:hint="eastAsia" w:ascii="仿宋" w:hAnsi="仿宋" w:eastAsia="仿宋" w:cs="仿宋"/>
          <w:color w:val="000000"/>
          <w:kern w:val="0"/>
          <w:sz w:val="24"/>
          <w:lang w:val="zh-CN"/>
        </w:rPr>
        <w:t>。</w:t>
      </w:r>
    </w:p>
    <w:p w14:paraId="07D7280E">
      <w:pPr>
        <w:keepNext w:val="0"/>
        <w:keepLines w:val="0"/>
        <w:pageBreakBefore w:val="0"/>
        <w:kinsoku/>
        <w:wordWrap/>
        <w:overflowPunct/>
        <w:topLinePunct w:val="0"/>
        <w:autoSpaceDE w:val="0"/>
        <w:autoSpaceDN w:val="0"/>
        <w:bidi w:val="0"/>
        <w:adjustRightInd w:val="0"/>
        <w:spacing w:line="420" w:lineRule="exact"/>
        <w:ind w:firstLine="480"/>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lang w:val="zh-CN"/>
        </w:rPr>
        <w:t>四、交货日期：</w:t>
      </w:r>
      <w:r>
        <w:rPr>
          <w:rFonts w:hint="eastAsia" w:ascii="仿宋" w:hAnsi="仿宋" w:eastAsia="仿宋" w:cs="仿宋"/>
          <w:color w:val="000000"/>
          <w:kern w:val="0"/>
          <w:sz w:val="24"/>
          <w:lang w:val="en-US" w:eastAsia="zh-CN"/>
        </w:rPr>
        <w:t>合同签订后按甲方通知发货数量,2天内发出。</w:t>
      </w:r>
    </w:p>
    <w:p w14:paraId="2ED280D8">
      <w:pPr>
        <w:keepNext w:val="0"/>
        <w:keepLines w:val="0"/>
        <w:pageBreakBefore w:val="0"/>
        <w:kinsoku/>
        <w:wordWrap/>
        <w:overflowPunct/>
        <w:topLinePunct w:val="0"/>
        <w:autoSpaceDE w:val="0"/>
        <w:autoSpaceDN w:val="0"/>
        <w:bidi w:val="0"/>
        <w:adjustRightInd w:val="0"/>
        <w:spacing w:line="420" w:lineRule="exact"/>
        <w:ind w:left="479"/>
        <w:rPr>
          <w:rFonts w:hint="eastAsia" w:ascii="仿宋" w:hAnsi="仿宋" w:eastAsia="仿宋" w:cs="仿宋"/>
          <w:color w:val="000000"/>
          <w:kern w:val="0"/>
          <w:sz w:val="24"/>
          <w:lang w:val="zh-CN"/>
        </w:rPr>
      </w:pPr>
      <w:r>
        <w:rPr>
          <w:rFonts w:hint="eastAsia" w:ascii="仿宋" w:hAnsi="仿宋" w:eastAsia="仿宋" w:cs="仿宋"/>
          <w:color w:val="000000"/>
          <w:kern w:val="0"/>
          <w:sz w:val="24"/>
          <w:lang w:val="zh-CN"/>
        </w:rPr>
        <w:t>五、包装标准与回收方法：满足运输及甲方要求的包装方式，乙方负责包装并承担包装费用。</w:t>
      </w:r>
    </w:p>
    <w:p w14:paraId="3BA0F9E0">
      <w:pPr>
        <w:keepNext w:val="0"/>
        <w:keepLines w:val="0"/>
        <w:pageBreakBefore w:val="0"/>
        <w:tabs>
          <w:tab w:val="left" w:pos="1200"/>
        </w:tabs>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lang w:val="zh-CN"/>
        </w:rPr>
      </w:pPr>
      <w:r>
        <w:rPr>
          <w:rFonts w:hint="eastAsia" w:ascii="仿宋" w:hAnsi="仿宋" w:eastAsia="仿宋" w:cs="仿宋"/>
          <w:color w:val="000000"/>
          <w:kern w:val="0"/>
          <w:sz w:val="24"/>
          <w:lang w:val="zh-CN"/>
        </w:rPr>
        <w:t>六、验收标准及方法：产品按本合同第二条约定的质量标准进行验收，由甲方和乙方共同完成。乙方在验收前必须向甲方提供产品</w:t>
      </w:r>
      <w:r>
        <w:rPr>
          <w:rFonts w:hint="eastAsia" w:ascii="仿宋" w:hAnsi="仿宋" w:eastAsia="仿宋" w:cs="仿宋"/>
          <w:color w:val="000000"/>
          <w:kern w:val="0"/>
          <w:sz w:val="24"/>
          <w:lang w:val="en-US" w:eastAsia="zh-CN"/>
        </w:rPr>
        <w:t>送货单、过磅单</w:t>
      </w:r>
      <w:r>
        <w:rPr>
          <w:rFonts w:hint="eastAsia" w:ascii="仿宋" w:hAnsi="仿宋" w:eastAsia="仿宋" w:cs="仿宋"/>
          <w:color w:val="000000"/>
          <w:kern w:val="0"/>
          <w:sz w:val="24"/>
          <w:lang w:val="zh-CN"/>
        </w:rPr>
        <w:t>等资料。</w:t>
      </w:r>
    </w:p>
    <w:p w14:paraId="78F0E7D9">
      <w:pPr>
        <w:keepNext w:val="0"/>
        <w:keepLines w:val="0"/>
        <w:pageBreakBefore w:val="0"/>
        <w:kinsoku/>
        <w:wordWrap/>
        <w:overflowPunct/>
        <w:topLinePunct w:val="0"/>
        <w:autoSpaceDE w:val="0"/>
        <w:autoSpaceDN w:val="0"/>
        <w:bidi w:val="0"/>
        <w:adjustRightInd w:val="0"/>
        <w:spacing w:line="420" w:lineRule="exact"/>
        <w:ind w:left="540"/>
        <w:rPr>
          <w:rFonts w:hint="eastAsia" w:ascii="仿宋" w:hAnsi="仿宋" w:eastAsia="仿宋" w:cs="仿宋"/>
          <w:color w:val="000000"/>
          <w:kern w:val="0"/>
          <w:sz w:val="24"/>
          <w:lang w:val="zh-CN"/>
        </w:rPr>
      </w:pPr>
      <w:r>
        <w:rPr>
          <w:rFonts w:hint="eastAsia" w:ascii="仿宋" w:hAnsi="仿宋" w:eastAsia="仿宋" w:cs="仿宋"/>
          <w:color w:val="000000"/>
          <w:kern w:val="0"/>
          <w:sz w:val="24"/>
          <w:lang w:val="zh-CN"/>
        </w:rPr>
        <w:t>验收规则</w:t>
      </w:r>
    </w:p>
    <w:p w14:paraId="604DB5BC">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lang w:val="zh-CN"/>
        </w:rPr>
      </w:pPr>
      <w:r>
        <w:rPr>
          <w:rFonts w:hint="eastAsia" w:ascii="仿宋" w:hAnsi="仿宋" w:eastAsia="仿宋" w:cs="仿宋"/>
          <w:color w:val="000000"/>
          <w:kern w:val="0"/>
          <w:sz w:val="24"/>
          <w:lang w:val="zh-CN"/>
        </w:rPr>
        <w:t>1、验收标准：所有产品均按国家及行业标准的相关规定、本采购文件、谈判文件及投标样品相关内容进行验收。</w:t>
      </w:r>
    </w:p>
    <w:p w14:paraId="39C0F387">
      <w:pPr>
        <w:keepNext w:val="0"/>
        <w:keepLines w:val="0"/>
        <w:pageBreakBefore w:val="0"/>
        <w:tabs>
          <w:tab w:val="left" w:pos="0"/>
        </w:tabs>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lang w:val="zh-CN"/>
        </w:rPr>
      </w:pPr>
      <w:r>
        <w:rPr>
          <w:rFonts w:hint="eastAsia" w:ascii="仿宋" w:hAnsi="仿宋" w:eastAsia="仿宋" w:cs="仿宋"/>
          <w:color w:val="000000"/>
          <w:kern w:val="0"/>
          <w:sz w:val="24"/>
          <w:lang w:val="zh-CN"/>
        </w:rPr>
        <w:t>2、验收程序如下：</w:t>
      </w:r>
    </w:p>
    <w:p w14:paraId="1A5FA04A">
      <w:pPr>
        <w:keepNext w:val="0"/>
        <w:keepLines w:val="0"/>
        <w:pageBreakBefore w:val="0"/>
        <w:tabs>
          <w:tab w:val="left" w:pos="0"/>
        </w:tabs>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lang w:val="zh-CN"/>
        </w:rPr>
      </w:pPr>
      <w:r>
        <w:rPr>
          <w:rFonts w:hint="eastAsia" w:ascii="仿宋" w:hAnsi="仿宋" w:eastAsia="仿宋" w:cs="仿宋"/>
          <w:color w:val="000000"/>
          <w:kern w:val="0"/>
          <w:sz w:val="24"/>
          <w:lang w:val="zh-CN"/>
        </w:rPr>
        <w:t>(1)出厂检验：乙方在产品出厂前，应按产品技术标准规定的检验项目和试验方法进行全面检验。乙方应随同产品出具原产地证书、出厂检验报告及产品质量合格证等，结果必须符合前款验收标准的要求。</w:t>
      </w:r>
    </w:p>
    <w:p w14:paraId="4106DC11">
      <w:pPr>
        <w:keepNext w:val="0"/>
        <w:keepLines w:val="0"/>
        <w:pageBreakBefore w:val="0"/>
        <w:kinsoku/>
        <w:wordWrap/>
        <w:overflowPunct/>
        <w:topLinePunct w:val="0"/>
        <w:bidi w:val="0"/>
        <w:spacing w:line="420" w:lineRule="exact"/>
        <w:ind w:firstLine="480" w:firstLineChars="200"/>
        <w:rPr>
          <w:rFonts w:hint="eastAsia" w:ascii="仿宋" w:hAnsi="仿宋" w:eastAsia="仿宋" w:cs="仿宋"/>
          <w:color w:val="000000"/>
          <w:kern w:val="0"/>
          <w:sz w:val="24"/>
          <w:lang w:val="zh-CN"/>
        </w:rPr>
      </w:pPr>
      <w:r>
        <w:rPr>
          <w:rFonts w:hint="eastAsia" w:ascii="仿宋" w:hAnsi="仿宋" w:eastAsia="仿宋" w:cs="仿宋"/>
          <w:color w:val="000000"/>
          <w:kern w:val="0"/>
          <w:sz w:val="24"/>
          <w:lang w:val="zh-CN"/>
        </w:rPr>
        <w:t>(2）</w:t>
      </w:r>
      <w:r>
        <w:rPr>
          <w:rFonts w:hint="eastAsia" w:ascii="仿宋" w:hAnsi="仿宋" w:eastAsia="仿宋" w:cs="仿宋"/>
          <w:color w:val="000000"/>
          <w:kern w:val="0"/>
          <w:sz w:val="24"/>
        </w:rPr>
        <w:t>最终验收：</w:t>
      </w:r>
      <w:r>
        <w:rPr>
          <w:rFonts w:hint="eastAsia" w:ascii="仿宋" w:hAnsi="仿宋" w:eastAsia="仿宋" w:cs="仿宋"/>
          <w:color w:val="000000"/>
          <w:kern w:val="0"/>
          <w:sz w:val="24"/>
          <w:lang w:val="zh-CN"/>
        </w:rPr>
        <w:t>验收时，乙方所供到场货物与本合同约定的质量标准或样品（产品经双方确认后封样各自保存，出现偏差时以样品为准）不相符，甲方可要求退货，退货的往返运费均由乙方承担。</w:t>
      </w:r>
    </w:p>
    <w:p w14:paraId="63D913BF">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lang w:val="zh-CN"/>
        </w:rPr>
      </w:pPr>
      <w:r>
        <w:rPr>
          <w:rFonts w:hint="eastAsia" w:ascii="仿宋" w:hAnsi="仿宋" w:eastAsia="仿宋" w:cs="仿宋"/>
          <w:color w:val="000000"/>
          <w:kern w:val="0"/>
          <w:sz w:val="24"/>
          <w:lang w:val="zh-CN"/>
        </w:rPr>
        <w:t>七、结算</w:t>
      </w:r>
      <w:r>
        <w:rPr>
          <w:rFonts w:hint="eastAsia" w:ascii="仿宋" w:hAnsi="仿宋" w:eastAsia="仿宋" w:cs="仿宋"/>
          <w:color w:val="000000"/>
          <w:kern w:val="0"/>
          <w:sz w:val="24"/>
        </w:rPr>
        <w:t>条件与</w:t>
      </w:r>
      <w:r>
        <w:rPr>
          <w:rFonts w:hint="eastAsia" w:ascii="仿宋" w:hAnsi="仿宋" w:eastAsia="仿宋" w:cs="仿宋"/>
          <w:color w:val="000000"/>
          <w:kern w:val="0"/>
          <w:sz w:val="24"/>
          <w:lang w:val="zh-CN"/>
        </w:rPr>
        <w:t>方式：</w:t>
      </w:r>
    </w:p>
    <w:p w14:paraId="02E0A9C5">
      <w:pPr>
        <w:pStyle w:val="15"/>
        <w:keepNext w:val="0"/>
        <w:keepLines w:val="0"/>
        <w:pageBreakBefore w:val="0"/>
        <w:kinsoku/>
        <w:wordWrap/>
        <w:overflowPunct/>
        <w:topLinePunct w:val="0"/>
        <w:bidi w:val="0"/>
        <w:spacing w:line="420" w:lineRule="exact"/>
        <w:ind w:firstLine="480"/>
        <w:rPr>
          <w:rFonts w:hint="eastAsia" w:ascii="仿宋" w:hAnsi="仿宋" w:eastAsia="仿宋" w:cs="仿宋"/>
          <w:color w:val="000000"/>
        </w:rPr>
      </w:pPr>
      <w:r>
        <w:rPr>
          <w:rFonts w:hint="eastAsia" w:ascii="仿宋" w:hAnsi="仿宋" w:eastAsia="仿宋" w:cs="仿宋"/>
          <w:color w:val="000000"/>
        </w:rPr>
        <w:t>1</w:t>
      </w:r>
      <w:r>
        <w:rPr>
          <w:rFonts w:hint="eastAsia" w:ascii="仿宋" w:hAnsi="仿宋" w:eastAsia="仿宋" w:cs="仿宋"/>
          <w:color w:val="000000"/>
          <w:lang w:eastAsia="zh-CN"/>
        </w:rPr>
        <w:t>、</w:t>
      </w:r>
      <w:r>
        <w:rPr>
          <w:rFonts w:hint="eastAsia" w:ascii="仿宋" w:hAnsi="仿宋" w:eastAsia="仿宋" w:cs="仿宋"/>
          <w:color w:val="000000"/>
        </w:rPr>
        <w:t>结算条件</w:t>
      </w:r>
    </w:p>
    <w:p w14:paraId="2FD76E5E">
      <w:pPr>
        <w:pStyle w:val="15"/>
        <w:keepNext w:val="0"/>
        <w:keepLines w:val="0"/>
        <w:pageBreakBefore w:val="0"/>
        <w:kinsoku/>
        <w:wordWrap/>
        <w:overflowPunct/>
        <w:topLinePunct w:val="0"/>
        <w:bidi w:val="0"/>
        <w:spacing w:line="420" w:lineRule="exact"/>
        <w:ind w:firstLine="480"/>
        <w:rPr>
          <w:rFonts w:hint="eastAsia" w:ascii="仿宋" w:hAnsi="仿宋" w:eastAsia="仿宋" w:cs="仿宋"/>
          <w:color w:val="000000"/>
        </w:rPr>
      </w:pPr>
      <w:r>
        <w:rPr>
          <w:rFonts w:hint="eastAsia" w:ascii="仿宋" w:hAnsi="仿宋" w:eastAsia="仿宋" w:cs="仿宋"/>
          <w:color w:val="000000"/>
        </w:rPr>
        <w:t xml:space="preserve"> </w:t>
      </w:r>
      <w:r>
        <w:rPr>
          <w:rFonts w:hint="eastAsia" w:ascii="仿宋" w:hAnsi="仿宋" w:eastAsia="仿宋" w:cs="仿宋"/>
          <w:color w:val="000000"/>
          <w:lang w:val="en-US" w:eastAsia="zh-CN"/>
        </w:rPr>
        <w:t>货到甲方指定工厂</w:t>
      </w:r>
      <w:r>
        <w:rPr>
          <w:rFonts w:hint="eastAsia" w:ascii="仿宋" w:hAnsi="仿宋" w:eastAsia="仿宋" w:cs="仿宋"/>
          <w:color w:val="000000"/>
        </w:rPr>
        <w:t>，要求</w:t>
      </w:r>
      <w:r>
        <w:rPr>
          <w:rFonts w:hint="eastAsia" w:ascii="仿宋" w:hAnsi="仿宋" w:eastAsia="仿宋" w:cs="仿宋"/>
          <w:color w:val="000000"/>
          <w:lang w:val="en-US" w:eastAsia="zh-CN"/>
        </w:rPr>
        <w:t>乙方提供</w:t>
      </w:r>
      <w:r>
        <w:rPr>
          <w:rFonts w:hint="eastAsia" w:ascii="仿宋" w:hAnsi="仿宋" w:eastAsia="仿宋" w:cs="仿宋"/>
          <w:color w:val="000000"/>
        </w:rPr>
        <w:t>提交下列单证和文件。</w:t>
      </w:r>
    </w:p>
    <w:p w14:paraId="39248A38">
      <w:pPr>
        <w:keepNext w:val="0"/>
        <w:keepLines w:val="0"/>
        <w:pageBreakBefore w:val="0"/>
        <w:kinsoku/>
        <w:wordWrap/>
        <w:overflowPunct/>
        <w:topLinePunct w:val="0"/>
        <w:bidi w:val="0"/>
        <w:spacing w:line="42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a.乙方开具合同等额的正式发票。</w:t>
      </w:r>
    </w:p>
    <w:p w14:paraId="00F9B8A6">
      <w:pPr>
        <w:keepNext w:val="0"/>
        <w:keepLines w:val="0"/>
        <w:pageBreakBefore w:val="0"/>
        <w:widowControl w:val="0"/>
        <w:kinsoku/>
        <w:wordWrap/>
        <w:overflowPunct/>
        <w:topLinePunct w:val="0"/>
        <w:autoSpaceDE/>
        <w:autoSpaceDN/>
        <w:bidi w:val="0"/>
        <w:adjustRightInd/>
        <w:snapToGrid/>
        <w:spacing w:line="0" w:lineRule="atLeas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rPr>
        <w:t>2</w:t>
      </w:r>
      <w:r>
        <w:rPr>
          <w:rFonts w:ascii="仿宋" w:hAnsi="仿宋" w:eastAsia="仿宋" w:cs="仿宋"/>
          <w:color w:val="000000"/>
          <w:sz w:val="24"/>
        </w:rPr>
        <w:t xml:space="preserve"> </w:t>
      </w: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rPr>
        <w:t>结算方式：</w:t>
      </w:r>
      <w:r>
        <w:rPr>
          <w:rFonts w:hint="eastAsia" w:ascii="仿宋" w:hAnsi="仿宋" w:eastAsia="仿宋" w:cs="仿宋"/>
          <w:color w:val="000000"/>
          <w:sz w:val="24"/>
          <w:highlight w:val="none"/>
          <w:lang w:val="en-US" w:eastAsia="zh-CN"/>
        </w:rPr>
        <w:t>货</w:t>
      </w:r>
      <w:r>
        <w:rPr>
          <w:rFonts w:hint="eastAsia" w:ascii="仿宋" w:hAnsi="仿宋" w:eastAsia="仿宋" w:cs="仿宋"/>
          <w:color w:val="000000"/>
          <w:sz w:val="24"/>
          <w:szCs w:val="24"/>
          <w:highlight w:val="none"/>
          <w:lang w:val="en-US" w:eastAsia="zh-CN"/>
        </w:rPr>
        <w:t>到票到付款。需方收到供方货物，验收合格后7日内，供方开具全额13%增值税专票，需方将相应合同货款转到供方指定账号。</w:t>
      </w:r>
    </w:p>
    <w:p w14:paraId="349635DA">
      <w:pPr>
        <w:keepNext w:val="0"/>
        <w:keepLines w:val="0"/>
        <w:pageBreakBefore w:val="0"/>
        <w:kinsoku/>
        <w:wordWrap/>
        <w:overflowPunct/>
        <w:topLinePunct w:val="0"/>
        <w:bidi w:val="0"/>
        <w:spacing w:line="42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lang w:val="en-US" w:eastAsia="zh-CN"/>
        </w:rPr>
        <w:t>3</w:t>
      </w:r>
      <w:r>
        <w:rPr>
          <w:rFonts w:hint="eastAsia" w:ascii="仿宋" w:hAnsi="仿宋" w:eastAsia="仿宋" w:cs="仿宋"/>
          <w:color w:val="000000"/>
          <w:sz w:val="24"/>
        </w:rPr>
        <w:t>、由于</w:t>
      </w:r>
      <w:r>
        <w:rPr>
          <w:rFonts w:hint="eastAsia" w:ascii="仿宋" w:hAnsi="仿宋" w:eastAsia="仿宋" w:cs="仿宋"/>
          <w:color w:val="000000"/>
          <w:sz w:val="24"/>
          <w:lang w:val="en-US" w:eastAsia="zh-CN"/>
        </w:rPr>
        <w:t>乙</w:t>
      </w:r>
      <w:r>
        <w:rPr>
          <w:rFonts w:hint="eastAsia" w:ascii="仿宋" w:hAnsi="仿宋" w:eastAsia="仿宋" w:cs="仿宋"/>
          <w:color w:val="000000"/>
          <w:sz w:val="24"/>
        </w:rPr>
        <w:t>方开具发票不真实、不合格而引起的一切责任（包括商业责任和法律责任)和损失，由</w:t>
      </w:r>
      <w:r>
        <w:rPr>
          <w:rFonts w:hint="eastAsia" w:ascii="仿宋" w:hAnsi="仿宋" w:eastAsia="仿宋" w:cs="仿宋"/>
          <w:color w:val="000000"/>
          <w:sz w:val="24"/>
          <w:lang w:val="en-US" w:eastAsia="zh-CN"/>
        </w:rPr>
        <w:t>乙</w:t>
      </w:r>
      <w:r>
        <w:rPr>
          <w:rFonts w:hint="eastAsia" w:ascii="仿宋" w:hAnsi="仿宋" w:eastAsia="仿宋" w:cs="仿宋"/>
          <w:color w:val="000000"/>
          <w:sz w:val="24"/>
        </w:rPr>
        <w:t>方承担。</w:t>
      </w:r>
    </w:p>
    <w:p w14:paraId="73156A27">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lang w:val="zh-CN"/>
        </w:rPr>
      </w:pPr>
      <w:r>
        <w:rPr>
          <w:rFonts w:hint="eastAsia" w:ascii="仿宋" w:hAnsi="仿宋" w:eastAsia="仿宋" w:cs="仿宋"/>
          <w:color w:val="000000"/>
          <w:kern w:val="0"/>
          <w:sz w:val="24"/>
          <w:lang w:val="zh-CN"/>
        </w:rPr>
        <w:t>八、质量保证期：</w:t>
      </w:r>
    </w:p>
    <w:p w14:paraId="79541262">
      <w:pPr>
        <w:keepNext w:val="0"/>
        <w:keepLines w:val="0"/>
        <w:pageBreakBefore w:val="0"/>
        <w:widowControl/>
        <w:suppressLineNumbers w:val="0"/>
        <w:kinsoku/>
        <w:wordWrap/>
        <w:overflowPunct/>
        <w:topLinePunct w:val="0"/>
        <w:bidi w:val="0"/>
        <w:spacing w:line="420" w:lineRule="exact"/>
        <w:ind w:firstLine="480" w:firstLineChars="200"/>
        <w:jc w:val="left"/>
        <w:rPr>
          <w:rFonts w:hint="eastAsia" w:ascii="仿宋" w:hAnsi="仿宋" w:eastAsia="仿宋" w:cs="仿宋"/>
          <w:color w:val="000000"/>
          <w:kern w:val="0"/>
          <w:sz w:val="24"/>
          <w:szCs w:val="24"/>
          <w:lang w:val="zh-CN"/>
        </w:rPr>
      </w:pPr>
      <w:r>
        <w:rPr>
          <w:rFonts w:hint="eastAsia" w:ascii="仿宋" w:hAnsi="仿宋" w:eastAsia="仿宋" w:cs="仿宋"/>
          <w:color w:val="000000"/>
          <w:kern w:val="0"/>
          <w:sz w:val="24"/>
          <w:lang w:val="zh-CN"/>
        </w:rPr>
        <w:t>1、质量保证期为：</w:t>
      </w:r>
      <w:r>
        <w:rPr>
          <w:rFonts w:hint="eastAsia" w:ascii="仿宋" w:hAnsi="仿宋" w:eastAsia="仿宋" w:cs="仿宋"/>
          <w:color w:val="000000"/>
          <w:kern w:val="0"/>
          <w:sz w:val="24"/>
          <w:lang w:val="en-US" w:eastAsia="zh-CN"/>
        </w:rPr>
        <w:t>1</w:t>
      </w:r>
      <w:r>
        <w:rPr>
          <w:rFonts w:hint="eastAsia" w:ascii="仿宋" w:hAnsi="仿宋" w:eastAsia="仿宋" w:cs="仿宋"/>
          <w:color w:val="000000"/>
          <w:kern w:val="0"/>
          <w:sz w:val="24"/>
          <w:lang w:val="zh-CN"/>
        </w:rPr>
        <w:t>年，从全部材料进场经签收之日起计算，在质保期内出现问题，乙方必须免费予以退换。</w:t>
      </w:r>
    </w:p>
    <w:p w14:paraId="060ED77D">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lang w:val="zh-CN"/>
        </w:rPr>
      </w:pPr>
      <w:r>
        <w:rPr>
          <w:rFonts w:hint="eastAsia" w:ascii="仿宋" w:hAnsi="仿宋" w:eastAsia="仿宋" w:cs="仿宋"/>
          <w:color w:val="000000"/>
          <w:kern w:val="0"/>
          <w:sz w:val="24"/>
          <w:lang w:val="zh-CN"/>
        </w:rPr>
        <w:t>九、产品交接：</w:t>
      </w:r>
    </w:p>
    <w:p w14:paraId="5CC64ECC">
      <w:pPr>
        <w:keepNext w:val="0"/>
        <w:keepLines w:val="0"/>
        <w:pageBreakBefore w:val="0"/>
        <w:widowControl/>
        <w:suppressLineNumbers w:val="0"/>
        <w:kinsoku/>
        <w:wordWrap/>
        <w:overflowPunct/>
        <w:topLinePunct w:val="0"/>
        <w:bidi w:val="0"/>
        <w:spacing w:line="420" w:lineRule="exact"/>
        <w:ind w:firstLine="480" w:firstLineChars="200"/>
        <w:jc w:val="left"/>
        <w:rPr>
          <w:rFonts w:hint="eastAsia" w:ascii="仿宋" w:hAnsi="仿宋" w:eastAsia="仿宋" w:cs="仿宋"/>
          <w:color w:val="000000"/>
          <w:kern w:val="0"/>
          <w:sz w:val="24"/>
          <w:szCs w:val="24"/>
          <w:lang w:val="zh-CN"/>
        </w:rPr>
      </w:pPr>
      <w:r>
        <w:rPr>
          <w:rFonts w:hint="eastAsia" w:ascii="仿宋" w:hAnsi="仿宋" w:eastAsia="仿宋" w:cs="仿宋"/>
          <w:color w:val="000000"/>
          <w:kern w:val="0"/>
          <w:sz w:val="24"/>
          <w:lang w:val="zh-CN"/>
        </w:rPr>
        <w:t>甲方根据产品交接清单清点数量，检查产品外观质量。数量清点当场验收，质量验收以检测结果为准，</w:t>
      </w:r>
      <w:r>
        <w:rPr>
          <w:rFonts w:hint="eastAsia" w:ascii="仿宋" w:hAnsi="仿宋" w:eastAsia="仿宋" w:cs="仿宋"/>
          <w:b w:val="0"/>
          <w:bCs w:val="0"/>
          <w:color w:val="000000"/>
          <w:kern w:val="0"/>
          <w:sz w:val="24"/>
          <w:szCs w:val="24"/>
          <w:lang w:val="en-US" w:eastAsia="zh-CN" w:bidi="ar"/>
        </w:rPr>
        <w:t>发现货物质量规格型号不符，应在交付之日起七日内通知乙方：若涉及产品试用的由双方另行约定；发现货物破损短缺的，应在货物交付时立即向承运人或仓库提出，或交付之日起三日内向乙方提供有关破损短缺的书面证据；甲方怠于通知或不能提供有关证据证明的，视为甲方已接受质量数量符合约定之货物。因货物固有属性引致的缺损应免除乙方责任。</w:t>
      </w:r>
    </w:p>
    <w:p w14:paraId="21F577AF">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rPr>
      </w:pPr>
      <w:r>
        <w:rPr>
          <w:rFonts w:hint="eastAsia" w:ascii="仿宋" w:hAnsi="仿宋" w:eastAsia="仿宋" w:cs="仿宋"/>
          <w:color w:val="000000"/>
          <w:kern w:val="0"/>
          <w:sz w:val="24"/>
          <w:lang w:val="zh-CN"/>
        </w:rPr>
        <w:t>十、违</w:t>
      </w:r>
      <w:r>
        <w:rPr>
          <w:rFonts w:hint="eastAsia" w:ascii="仿宋" w:hAnsi="仿宋" w:eastAsia="仿宋" w:cs="仿宋"/>
          <w:color w:val="000000"/>
          <w:kern w:val="0"/>
          <w:sz w:val="24"/>
        </w:rPr>
        <w:t>约责任：</w:t>
      </w:r>
    </w:p>
    <w:p w14:paraId="3B7C9AA1">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rPr>
      </w:pPr>
      <w:r>
        <w:rPr>
          <w:rFonts w:hint="eastAsia" w:ascii="仿宋" w:hAnsi="仿宋" w:eastAsia="仿宋" w:cs="仿宋"/>
          <w:color w:val="000000"/>
          <w:kern w:val="0"/>
          <w:sz w:val="24"/>
        </w:rPr>
        <w:t>1、如果乙方未能按合同规定的时间或双方另行确定的延期交货期按时足额交货的（不可抗力除外），每逾期1天，乙方应按迟交货物金额的1%向甲方支付逾期交货的违约金。若乙方逾期交货达30天（含30天）以上的，甲方有权单方解除本合同，乙方仍应按上述约定支付延期交货违约金。若因此给甲方造成损失的，还应赔偿甲方所受的损失。</w:t>
      </w:r>
    </w:p>
    <w:p w14:paraId="404479BF">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rPr>
      </w:pPr>
      <w:r>
        <w:rPr>
          <w:rFonts w:hint="eastAsia" w:ascii="仿宋" w:hAnsi="仿宋" w:eastAsia="仿宋" w:cs="仿宋"/>
          <w:color w:val="000000"/>
          <w:kern w:val="0"/>
          <w:sz w:val="24"/>
        </w:rPr>
        <w:t>2.若乙方不能交货的（逾期15个工作日视为不能交货，因不可抗拒的因素除外）或交货不合格从而影响甲方正常使用的，乙方应向甲方偿付不能交货部分货款10%的违约金。违约金不足以补偿损失的，甲方有权要求乙方赔偿损失。</w:t>
      </w:r>
    </w:p>
    <w:p w14:paraId="41E9B40B">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rPr>
      </w:pPr>
      <w:r>
        <w:rPr>
          <w:rFonts w:hint="eastAsia" w:ascii="仿宋" w:hAnsi="仿宋" w:eastAsia="仿宋" w:cs="仿宋"/>
          <w:color w:val="000000"/>
          <w:kern w:val="0"/>
          <w:sz w:val="24"/>
        </w:rPr>
        <w:t>3、如果乙方未能按照合同约定的时间提供服务的，每逾期1天的，乙方应按本合同总金额的1</w:t>
      </w:r>
      <w:r>
        <w:rPr>
          <w:rFonts w:ascii="仿宋" w:hAnsi="仿宋" w:eastAsia="仿宋" w:cs="仿宋"/>
          <w:color w:val="000000"/>
          <w:kern w:val="0"/>
          <w:sz w:val="24"/>
        </w:rPr>
        <w:t>%</w:t>
      </w:r>
      <w:r>
        <w:rPr>
          <w:rFonts w:hint="eastAsia" w:ascii="仿宋" w:hAnsi="仿宋" w:eastAsia="仿宋" w:cs="仿宋"/>
          <w:color w:val="000000"/>
          <w:kern w:val="0"/>
          <w:sz w:val="24"/>
        </w:rPr>
        <w:t>向甲方支付违约金，若因此给甲方造成损失的，乙方还应赔偿甲方所受的损失。</w:t>
      </w:r>
    </w:p>
    <w:p w14:paraId="3535DF6A">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rPr>
      </w:pPr>
      <w:r>
        <w:rPr>
          <w:rFonts w:hint="eastAsia" w:ascii="仿宋" w:hAnsi="仿宋" w:eastAsia="仿宋" w:cs="仿宋"/>
          <w:color w:val="000000"/>
          <w:kern w:val="0"/>
          <w:sz w:val="24"/>
        </w:rPr>
        <w:t>十</w:t>
      </w:r>
      <w:r>
        <w:rPr>
          <w:rFonts w:hint="eastAsia" w:ascii="仿宋" w:hAnsi="仿宋" w:eastAsia="仿宋" w:cs="仿宋"/>
          <w:color w:val="000000"/>
          <w:kern w:val="0"/>
          <w:sz w:val="24"/>
          <w:lang w:eastAsia="zh-CN"/>
        </w:rPr>
        <w:t>一</w:t>
      </w:r>
      <w:r>
        <w:rPr>
          <w:rFonts w:hint="eastAsia" w:ascii="仿宋" w:hAnsi="仿宋" w:eastAsia="仿宋" w:cs="仿宋"/>
          <w:color w:val="000000"/>
          <w:kern w:val="0"/>
          <w:sz w:val="24"/>
        </w:rPr>
        <w:t>、违约终止合同</w:t>
      </w:r>
    </w:p>
    <w:p w14:paraId="7899C1C6">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rPr>
      </w:pPr>
      <w:r>
        <w:rPr>
          <w:rFonts w:hint="eastAsia" w:ascii="仿宋" w:hAnsi="仿宋" w:eastAsia="仿宋" w:cs="仿宋"/>
          <w:color w:val="000000"/>
          <w:kern w:val="0"/>
          <w:sz w:val="24"/>
        </w:rPr>
        <w:t>1</w:t>
      </w:r>
      <w:r>
        <w:rPr>
          <w:rFonts w:hint="eastAsia" w:ascii="仿宋" w:hAnsi="仿宋" w:eastAsia="仿宋" w:cs="仿宋"/>
          <w:color w:val="000000"/>
          <w:kern w:val="0"/>
          <w:sz w:val="24"/>
          <w:lang w:eastAsia="zh-CN"/>
        </w:rPr>
        <w:t>、</w:t>
      </w:r>
      <w:r>
        <w:rPr>
          <w:rFonts w:hint="eastAsia" w:ascii="仿宋" w:hAnsi="仿宋" w:eastAsia="仿宋" w:cs="仿宋"/>
          <w:color w:val="000000"/>
          <w:kern w:val="0"/>
          <w:sz w:val="24"/>
        </w:rPr>
        <w:t>在补救违约而采取的任何其他措施未能实现的情况下，即在甲方发出的违约通知后30天内（或经甲方书面确认的更长时间内）仍未纠正其下述任何一种违约行为，甲方有权向乙方发出书面违约通知，同时甲方有权单方解除本合同。</w:t>
      </w:r>
    </w:p>
    <w:p w14:paraId="4FAF034B">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2、</w:t>
      </w:r>
      <w:r>
        <w:rPr>
          <w:rFonts w:hint="eastAsia" w:ascii="仿宋" w:hAnsi="仿宋" w:eastAsia="仿宋" w:cs="仿宋"/>
          <w:color w:val="000000"/>
          <w:kern w:val="0"/>
          <w:sz w:val="24"/>
        </w:rPr>
        <w:t>如果乙方未能在合同规定的期限内或双方另行确定的延期交货时间内交付合同约定的货物。</w:t>
      </w:r>
    </w:p>
    <w:p w14:paraId="7D6623B4">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3、</w:t>
      </w:r>
      <w:r>
        <w:rPr>
          <w:rFonts w:hint="eastAsia" w:ascii="仿宋" w:hAnsi="仿宋" w:eastAsia="仿宋" w:cs="仿宋"/>
          <w:color w:val="000000"/>
          <w:kern w:val="0"/>
          <w:sz w:val="24"/>
        </w:rPr>
        <w:t>乙方未能履行合同项下的任何其它义务。</w:t>
      </w:r>
    </w:p>
    <w:p w14:paraId="7956E031">
      <w:pPr>
        <w:keepNext w:val="0"/>
        <w:keepLines w:val="0"/>
        <w:pageBreakBefore w:val="0"/>
        <w:kinsoku/>
        <w:wordWrap/>
        <w:overflowPunct/>
        <w:topLinePunct w:val="0"/>
        <w:autoSpaceDE w:val="0"/>
        <w:autoSpaceDN w:val="0"/>
        <w:bidi w:val="0"/>
        <w:adjustRightInd w:val="0"/>
        <w:spacing w:line="420" w:lineRule="exact"/>
        <w:ind w:firstLine="480"/>
        <w:rPr>
          <w:rFonts w:hint="eastAsia" w:eastAsia="仿宋"/>
          <w:color w:val="000000"/>
          <w:lang w:val="en-US" w:eastAsia="zh-CN"/>
        </w:rPr>
      </w:pPr>
      <w:r>
        <w:rPr>
          <w:rFonts w:hint="eastAsia" w:ascii="仿宋" w:hAnsi="仿宋" w:eastAsia="仿宋" w:cs="仿宋"/>
          <w:color w:val="000000"/>
          <w:kern w:val="0"/>
          <w:sz w:val="24"/>
          <w:lang w:val="en-US" w:eastAsia="zh-CN"/>
        </w:rPr>
        <w:t>4、</w:t>
      </w:r>
      <w:r>
        <w:rPr>
          <w:rFonts w:hint="eastAsia" w:ascii="仿宋" w:hAnsi="仿宋" w:eastAsia="仿宋" w:cs="仿宋"/>
          <w:color w:val="000000"/>
          <w:kern w:val="0"/>
          <w:sz w:val="24"/>
          <w:lang w:val="zh-CN"/>
        </w:rPr>
        <w:t>因上述原因造成的合同解除，因</w:t>
      </w:r>
      <w:r>
        <w:rPr>
          <w:rFonts w:hint="eastAsia" w:ascii="仿宋" w:hAnsi="仿宋" w:eastAsia="仿宋" w:cs="仿宋"/>
          <w:color w:val="000000"/>
          <w:kern w:val="0"/>
          <w:sz w:val="24"/>
          <w:lang w:val="en-US" w:eastAsia="zh-CN"/>
        </w:rPr>
        <w:t>乙</w:t>
      </w:r>
      <w:r>
        <w:rPr>
          <w:rFonts w:hint="eastAsia" w:ascii="仿宋" w:hAnsi="仿宋" w:eastAsia="仿宋" w:cs="仿宋"/>
          <w:color w:val="000000"/>
          <w:kern w:val="0"/>
          <w:sz w:val="24"/>
          <w:lang w:val="zh-CN"/>
        </w:rPr>
        <w:t>方责任时应全额退还</w:t>
      </w:r>
      <w:r>
        <w:rPr>
          <w:rFonts w:hint="eastAsia" w:ascii="仿宋" w:hAnsi="仿宋" w:eastAsia="仿宋" w:cs="仿宋"/>
          <w:color w:val="000000"/>
          <w:kern w:val="0"/>
          <w:sz w:val="24"/>
          <w:lang w:val="en-US" w:eastAsia="zh-CN"/>
        </w:rPr>
        <w:t>甲</w:t>
      </w:r>
      <w:r>
        <w:rPr>
          <w:rFonts w:hint="eastAsia" w:ascii="仿宋" w:hAnsi="仿宋" w:eastAsia="仿宋" w:cs="仿宋"/>
          <w:color w:val="000000"/>
          <w:kern w:val="0"/>
          <w:sz w:val="24"/>
          <w:lang w:val="zh-CN"/>
        </w:rPr>
        <w:t>方已付货款，并双倍返还合同预付款。当只能提供部分货物时，视为</w:t>
      </w:r>
      <w:r>
        <w:rPr>
          <w:rFonts w:hint="eastAsia" w:ascii="仿宋" w:hAnsi="仿宋" w:eastAsia="仿宋" w:cs="仿宋"/>
          <w:color w:val="000000"/>
          <w:kern w:val="0"/>
          <w:sz w:val="24"/>
          <w:lang w:val="en-US" w:eastAsia="zh-CN"/>
        </w:rPr>
        <w:t>乙</w:t>
      </w:r>
      <w:r>
        <w:rPr>
          <w:rFonts w:hint="eastAsia" w:ascii="仿宋" w:hAnsi="仿宋" w:eastAsia="仿宋" w:cs="仿宋"/>
          <w:color w:val="000000"/>
          <w:kern w:val="0"/>
          <w:sz w:val="24"/>
          <w:lang w:val="zh-CN"/>
        </w:rPr>
        <w:t>方违约，</w:t>
      </w:r>
      <w:r>
        <w:rPr>
          <w:rFonts w:hint="eastAsia" w:ascii="仿宋" w:hAnsi="仿宋" w:eastAsia="仿宋" w:cs="仿宋"/>
          <w:color w:val="000000"/>
          <w:kern w:val="0"/>
          <w:sz w:val="24"/>
          <w:lang w:val="en-US" w:eastAsia="zh-CN"/>
        </w:rPr>
        <w:t>甲</w:t>
      </w:r>
      <w:r>
        <w:rPr>
          <w:rFonts w:hint="eastAsia" w:ascii="仿宋" w:hAnsi="仿宋" w:eastAsia="仿宋" w:cs="仿宋"/>
          <w:color w:val="000000"/>
          <w:kern w:val="0"/>
          <w:sz w:val="24"/>
          <w:lang w:val="zh-CN"/>
        </w:rPr>
        <w:t>方可另购其余部分</w:t>
      </w:r>
      <w:r>
        <w:rPr>
          <w:rFonts w:hint="eastAsia" w:ascii="仿宋" w:hAnsi="仿宋" w:eastAsia="仿宋" w:cs="仿宋"/>
          <w:color w:val="000000"/>
          <w:kern w:val="0"/>
          <w:sz w:val="24"/>
          <w:lang w:val="en-US" w:eastAsia="zh-CN"/>
        </w:rPr>
        <w:t>材料</w:t>
      </w:r>
      <w:r>
        <w:rPr>
          <w:rFonts w:hint="eastAsia" w:ascii="仿宋" w:hAnsi="仿宋" w:eastAsia="仿宋" w:cs="仿宋"/>
          <w:color w:val="000000"/>
          <w:kern w:val="0"/>
          <w:sz w:val="24"/>
          <w:lang w:val="zh-CN"/>
        </w:rPr>
        <w:t>，</w:t>
      </w:r>
      <w:r>
        <w:rPr>
          <w:rFonts w:hint="eastAsia" w:ascii="仿宋" w:hAnsi="仿宋" w:eastAsia="仿宋" w:cs="仿宋"/>
          <w:color w:val="000000"/>
          <w:kern w:val="0"/>
          <w:sz w:val="24"/>
          <w:lang w:val="en-US" w:eastAsia="zh-CN"/>
        </w:rPr>
        <w:t>乙</w:t>
      </w:r>
      <w:r>
        <w:rPr>
          <w:rFonts w:hint="eastAsia" w:ascii="仿宋" w:hAnsi="仿宋" w:eastAsia="仿宋" w:cs="仿宋"/>
          <w:color w:val="000000"/>
          <w:kern w:val="0"/>
          <w:sz w:val="24"/>
          <w:lang w:val="zh-CN"/>
        </w:rPr>
        <w:t>方应承担购置费用和给</w:t>
      </w:r>
      <w:r>
        <w:rPr>
          <w:rFonts w:hint="eastAsia" w:ascii="仿宋" w:hAnsi="仿宋" w:eastAsia="仿宋" w:cs="仿宋"/>
          <w:color w:val="000000"/>
          <w:kern w:val="0"/>
          <w:sz w:val="24"/>
          <w:lang w:val="en-US" w:eastAsia="zh-CN"/>
        </w:rPr>
        <w:t>甲</w:t>
      </w:r>
      <w:r>
        <w:rPr>
          <w:rFonts w:hint="eastAsia" w:ascii="仿宋" w:hAnsi="仿宋" w:eastAsia="仿宋" w:cs="仿宋"/>
          <w:color w:val="000000"/>
          <w:kern w:val="0"/>
          <w:sz w:val="24"/>
          <w:lang w:val="zh-CN"/>
        </w:rPr>
        <w:t>方带来的相关经济损失并按照合同约定向</w:t>
      </w:r>
      <w:r>
        <w:rPr>
          <w:rFonts w:hint="eastAsia" w:ascii="仿宋" w:hAnsi="仿宋" w:eastAsia="仿宋" w:cs="仿宋"/>
          <w:color w:val="000000"/>
          <w:kern w:val="0"/>
          <w:sz w:val="24"/>
          <w:lang w:val="en-US" w:eastAsia="zh-CN"/>
        </w:rPr>
        <w:t>甲</w:t>
      </w:r>
      <w:r>
        <w:rPr>
          <w:rFonts w:hint="eastAsia" w:ascii="仿宋" w:hAnsi="仿宋" w:eastAsia="仿宋" w:cs="仿宋"/>
          <w:color w:val="000000"/>
          <w:kern w:val="0"/>
          <w:sz w:val="24"/>
          <w:lang w:val="zh-CN"/>
        </w:rPr>
        <w:t>方支付违约金。</w:t>
      </w:r>
    </w:p>
    <w:p w14:paraId="585531D9">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rPr>
      </w:pPr>
      <w:r>
        <w:rPr>
          <w:rFonts w:hint="eastAsia" w:ascii="仿宋" w:hAnsi="仿宋" w:eastAsia="仿宋" w:cs="仿宋"/>
          <w:color w:val="000000"/>
          <w:kern w:val="0"/>
          <w:sz w:val="24"/>
          <w:lang w:eastAsia="zh-CN"/>
        </w:rPr>
        <w:t>十二、</w:t>
      </w:r>
      <w:r>
        <w:rPr>
          <w:rFonts w:hint="eastAsia" w:ascii="仿宋" w:hAnsi="仿宋" w:eastAsia="仿宋" w:cs="仿宋"/>
          <w:color w:val="000000"/>
          <w:kern w:val="0"/>
          <w:sz w:val="24"/>
        </w:rPr>
        <w:t>不可抗力</w:t>
      </w:r>
    </w:p>
    <w:p w14:paraId="502D51E1">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rPr>
      </w:pPr>
      <w:r>
        <w:rPr>
          <w:rFonts w:hint="eastAsia" w:ascii="仿宋" w:hAnsi="仿宋" w:eastAsia="仿宋" w:cs="仿宋"/>
          <w:color w:val="000000"/>
          <w:kern w:val="0"/>
          <w:sz w:val="24"/>
        </w:rPr>
        <w:t>因不可抗力造成违约的，遭受不可抗力一方应及时向对方通报不能履行或不能完全履行的理由，并在随后取得有关主管机关证明后的15日内向另一方提供不可抗力发生以及持续期间的充分证据。基本于以上行为，允许遭受不可抗力一方延期履行、部分履行或者不履行合同，并根据情况可部分或全部免于承担违约责任。</w:t>
      </w:r>
    </w:p>
    <w:p w14:paraId="0CD3102B">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rPr>
      </w:pPr>
      <w:r>
        <w:rPr>
          <w:rFonts w:hint="eastAsia" w:ascii="仿宋" w:hAnsi="仿宋" w:eastAsia="仿宋" w:cs="仿宋"/>
          <w:color w:val="000000"/>
          <w:kern w:val="0"/>
          <w:sz w:val="24"/>
        </w:rPr>
        <w:t>本合同中的不可抗力指不能预见、不能避免并不能克服的客观情况。包括但不限于：自然灾害如地震、台风、洪水、火灾；政府行为、法律规定或其适用的变化或者其他任何无法预见、避免或者控制的事件。</w:t>
      </w:r>
    </w:p>
    <w:p w14:paraId="363CBC91">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十三、</w:t>
      </w:r>
      <w:r>
        <w:rPr>
          <w:rFonts w:hint="eastAsia" w:ascii="仿宋" w:hAnsi="仿宋" w:eastAsia="仿宋" w:cs="仿宋"/>
          <w:color w:val="000000"/>
          <w:kern w:val="0"/>
          <w:sz w:val="24"/>
        </w:rPr>
        <w:t>权利义务转移和违法违规条款</w:t>
      </w:r>
    </w:p>
    <w:p w14:paraId="450ACBEB">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1、</w:t>
      </w:r>
      <w:r>
        <w:rPr>
          <w:rFonts w:hint="eastAsia" w:ascii="仿宋" w:hAnsi="仿宋" w:eastAsia="仿宋" w:cs="仿宋"/>
          <w:color w:val="000000"/>
          <w:kern w:val="0"/>
          <w:sz w:val="24"/>
        </w:rPr>
        <w:t>基于诚信原则，本合同项下未经</w:t>
      </w:r>
      <w:r>
        <w:rPr>
          <w:rFonts w:hint="eastAsia" w:ascii="仿宋" w:hAnsi="仿宋" w:eastAsia="仿宋" w:cs="仿宋"/>
          <w:color w:val="000000"/>
          <w:kern w:val="0"/>
          <w:sz w:val="24"/>
          <w:lang w:eastAsia="zh-CN"/>
        </w:rPr>
        <w:t>甲方</w:t>
      </w:r>
      <w:r>
        <w:rPr>
          <w:rFonts w:hint="eastAsia" w:ascii="仿宋" w:hAnsi="仿宋" w:eastAsia="仿宋" w:cs="仿宋"/>
          <w:color w:val="000000"/>
          <w:kern w:val="0"/>
          <w:sz w:val="24"/>
        </w:rPr>
        <w:t>书面同意，</w:t>
      </w:r>
      <w:r>
        <w:rPr>
          <w:rFonts w:hint="eastAsia" w:ascii="仿宋" w:hAnsi="仿宋" w:eastAsia="仿宋" w:cs="仿宋"/>
          <w:color w:val="000000"/>
          <w:kern w:val="0"/>
          <w:sz w:val="24"/>
          <w:lang w:val="en-US" w:eastAsia="zh-CN"/>
        </w:rPr>
        <w:t>乙</w:t>
      </w:r>
      <w:r>
        <w:rPr>
          <w:rFonts w:hint="eastAsia" w:ascii="仿宋" w:hAnsi="仿宋" w:eastAsia="仿宋" w:cs="仿宋"/>
          <w:color w:val="000000"/>
          <w:kern w:val="0"/>
          <w:sz w:val="24"/>
        </w:rPr>
        <w:t>方不得转让或者变相转让本合同的权利义务，否则向</w:t>
      </w:r>
      <w:r>
        <w:rPr>
          <w:rFonts w:hint="eastAsia" w:ascii="仿宋" w:hAnsi="仿宋" w:eastAsia="仿宋" w:cs="仿宋"/>
          <w:color w:val="000000"/>
          <w:kern w:val="0"/>
          <w:sz w:val="24"/>
          <w:lang w:val="en-US" w:eastAsia="zh-CN"/>
        </w:rPr>
        <w:t>甲</w:t>
      </w:r>
      <w:r>
        <w:rPr>
          <w:rFonts w:hint="eastAsia" w:ascii="仿宋" w:hAnsi="仿宋" w:eastAsia="仿宋" w:cs="仿宋"/>
          <w:color w:val="000000"/>
          <w:kern w:val="0"/>
          <w:sz w:val="24"/>
        </w:rPr>
        <w:t>方支付合同总金额30％的违约金。</w:t>
      </w:r>
    </w:p>
    <w:p w14:paraId="42F9FDFC">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2、</w:t>
      </w:r>
      <w:r>
        <w:rPr>
          <w:rFonts w:hint="eastAsia" w:ascii="仿宋" w:hAnsi="仿宋" w:eastAsia="仿宋" w:cs="仿宋"/>
          <w:color w:val="000000"/>
          <w:kern w:val="0"/>
          <w:sz w:val="24"/>
        </w:rPr>
        <w:t>在本合同项下如</w:t>
      </w:r>
      <w:r>
        <w:rPr>
          <w:rFonts w:hint="eastAsia" w:ascii="仿宋" w:hAnsi="仿宋" w:eastAsia="仿宋" w:cs="仿宋"/>
          <w:color w:val="000000"/>
          <w:kern w:val="0"/>
          <w:sz w:val="24"/>
          <w:lang w:val="en-US" w:eastAsia="zh-CN"/>
        </w:rPr>
        <w:t>乙</w:t>
      </w:r>
      <w:r>
        <w:rPr>
          <w:rFonts w:hint="eastAsia" w:ascii="仿宋" w:hAnsi="仿宋" w:eastAsia="仿宋" w:cs="仿宋"/>
          <w:color w:val="000000"/>
          <w:kern w:val="0"/>
          <w:sz w:val="24"/>
        </w:rPr>
        <w:t>方违法违规造成</w:t>
      </w:r>
      <w:r>
        <w:rPr>
          <w:rFonts w:hint="eastAsia" w:ascii="仿宋" w:hAnsi="仿宋" w:eastAsia="仿宋" w:cs="仿宋"/>
          <w:color w:val="000000"/>
          <w:kern w:val="0"/>
          <w:sz w:val="24"/>
          <w:lang w:val="en-US" w:eastAsia="zh-CN"/>
        </w:rPr>
        <w:t>甲</w:t>
      </w:r>
      <w:r>
        <w:rPr>
          <w:rFonts w:hint="eastAsia" w:ascii="仿宋" w:hAnsi="仿宋" w:eastAsia="仿宋" w:cs="仿宋"/>
          <w:color w:val="000000"/>
          <w:kern w:val="0"/>
          <w:sz w:val="24"/>
        </w:rPr>
        <w:t>方损失的，</w:t>
      </w:r>
      <w:r>
        <w:rPr>
          <w:rFonts w:hint="eastAsia" w:ascii="仿宋" w:hAnsi="仿宋" w:eastAsia="仿宋" w:cs="仿宋"/>
          <w:color w:val="000000"/>
          <w:kern w:val="0"/>
          <w:sz w:val="24"/>
          <w:lang w:val="en-US" w:eastAsia="zh-CN"/>
        </w:rPr>
        <w:t>乙</w:t>
      </w:r>
      <w:r>
        <w:rPr>
          <w:rFonts w:hint="eastAsia" w:ascii="仿宋" w:hAnsi="仿宋" w:eastAsia="仿宋" w:cs="仿宋"/>
          <w:color w:val="000000"/>
          <w:kern w:val="0"/>
          <w:sz w:val="24"/>
        </w:rPr>
        <w:t>方须全额赔偿，赔偿金额从</w:t>
      </w:r>
      <w:r>
        <w:rPr>
          <w:rFonts w:hint="eastAsia" w:ascii="仿宋" w:hAnsi="仿宋" w:eastAsia="仿宋" w:cs="仿宋"/>
          <w:color w:val="000000"/>
          <w:kern w:val="0"/>
          <w:sz w:val="24"/>
          <w:lang w:val="en-US" w:eastAsia="zh-CN"/>
        </w:rPr>
        <w:t>乙</w:t>
      </w:r>
      <w:r>
        <w:rPr>
          <w:rFonts w:hint="eastAsia" w:ascii="仿宋" w:hAnsi="仿宋" w:eastAsia="仿宋" w:cs="仿宋"/>
          <w:color w:val="000000"/>
          <w:kern w:val="0"/>
          <w:sz w:val="24"/>
        </w:rPr>
        <w:t>方货款或者履约保证金等款项中扣除，不足部分，</w:t>
      </w:r>
      <w:r>
        <w:rPr>
          <w:rFonts w:hint="eastAsia" w:ascii="仿宋" w:hAnsi="仿宋" w:eastAsia="仿宋" w:cs="仿宋"/>
          <w:color w:val="000000"/>
          <w:kern w:val="0"/>
          <w:sz w:val="24"/>
          <w:lang w:val="en-US" w:eastAsia="zh-CN"/>
        </w:rPr>
        <w:t>甲</w:t>
      </w:r>
      <w:r>
        <w:rPr>
          <w:rFonts w:hint="eastAsia" w:ascii="仿宋" w:hAnsi="仿宋" w:eastAsia="仿宋" w:cs="仿宋"/>
          <w:color w:val="000000"/>
          <w:kern w:val="0"/>
          <w:sz w:val="24"/>
        </w:rPr>
        <w:t>方依法享有向</w:t>
      </w:r>
      <w:r>
        <w:rPr>
          <w:rFonts w:hint="eastAsia" w:ascii="仿宋" w:hAnsi="仿宋" w:eastAsia="仿宋" w:cs="仿宋"/>
          <w:color w:val="000000"/>
          <w:kern w:val="0"/>
          <w:sz w:val="24"/>
          <w:lang w:val="en-US" w:eastAsia="zh-CN"/>
        </w:rPr>
        <w:t>乙</w:t>
      </w:r>
      <w:r>
        <w:rPr>
          <w:rFonts w:hint="eastAsia" w:ascii="仿宋" w:hAnsi="仿宋" w:eastAsia="仿宋" w:cs="仿宋"/>
          <w:color w:val="000000"/>
          <w:kern w:val="0"/>
          <w:sz w:val="24"/>
        </w:rPr>
        <w:t>方追索的权利。</w:t>
      </w:r>
    </w:p>
    <w:p w14:paraId="3A70D41A">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lang w:val="zh-CN"/>
        </w:rPr>
      </w:pPr>
      <w:r>
        <w:rPr>
          <w:rFonts w:hint="eastAsia" w:ascii="仿宋" w:hAnsi="仿宋" w:eastAsia="仿宋" w:cs="仿宋"/>
          <w:color w:val="000000"/>
          <w:kern w:val="0"/>
          <w:sz w:val="24"/>
          <w:lang w:eastAsia="zh-CN"/>
        </w:rPr>
        <w:t>十四、</w:t>
      </w:r>
      <w:r>
        <w:rPr>
          <w:rFonts w:hint="eastAsia" w:ascii="仿宋" w:hAnsi="仿宋" w:eastAsia="仿宋" w:cs="仿宋"/>
          <w:color w:val="000000"/>
          <w:kern w:val="0"/>
          <w:sz w:val="24"/>
          <w:lang w:val="zh-CN"/>
        </w:rPr>
        <w:t>反商业贿赂条款</w:t>
      </w:r>
    </w:p>
    <w:p w14:paraId="3CDCB5B6">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lang w:val="zh-CN"/>
        </w:rPr>
      </w:pPr>
      <w:r>
        <w:rPr>
          <w:rFonts w:hint="eastAsia" w:ascii="仿宋" w:hAnsi="仿宋" w:eastAsia="仿宋" w:cs="仿宋"/>
          <w:color w:val="000000"/>
          <w:kern w:val="0"/>
          <w:sz w:val="24"/>
          <w:lang w:val="zh-CN"/>
        </w:rPr>
        <w:t>为保障双方合法权益不受侵害，保持</w:t>
      </w:r>
      <w:r>
        <w:rPr>
          <w:rFonts w:hint="eastAsia" w:ascii="仿宋" w:hAnsi="仿宋" w:eastAsia="仿宋" w:cs="仿宋"/>
          <w:color w:val="000000"/>
          <w:kern w:val="0"/>
          <w:sz w:val="24"/>
          <w:lang w:val="en-US" w:eastAsia="zh-CN"/>
        </w:rPr>
        <w:t>甲乙</w:t>
      </w:r>
      <w:r>
        <w:rPr>
          <w:rFonts w:hint="eastAsia" w:ascii="仿宋" w:hAnsi="仿宋" w:eastAsia="仿宋" w:cs="仿宋"/>
          <w:color w:val="000000"/>
          <w:kern w:val="0"/>
          <w:sz w:val="24"/>
          <w:lang w:val="zh-CN"/>
        </w:rPr>
        <w:t>双方长久、良好的合作关系，根据《中华人民共和国反不正当竞争法》《关于禁止商业贿赂行为的暂行规定》及有关法律、法规的规定，</w:t>
      </w:r>
      <w:r>
        <w:rPr>
          <w:rFonts w:hint="eastAsia" w:ascii="仿宋" w:hAnsi="仿宋" w:eastAsia="仿宋" w:cs="仿宋"/>
          <w:color w:val="000000"/>
          <w:kern w:val="0"/>
          <w:sz w:val="24"/>
          <w:lang w:val="en-US" w:eastAsia="zh-CN"/>
        </w:rPr>
        <w:t>甲乙</w:t>
      </w:r>
      <w:r>
        <w:rPr>
          <w:rFonts w:hint="eastAsia" w:ascii="仿宋" w:hAnsi="仿宋" w:eastAsia="仿宋" w:cs="仿宋"/>
          <w:color w:val="000000"/>
          <w:kern w:val="0"/>
          <w:sz w:val="24"/>
          <w:lang w:val="zh-CN"/>
        </w:rPr>
        <w:t>双方约定如下：</w:t>
      </w:r>
    </w:p>
    <w:p w14:paraId="4B8F6AF0">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lang w:val="zh-CN"/>
        </w:rPr>
      </w:pPr>
      <w:r>
        <w:rPr>
          <w:rFonts w:hint="eastAsia" w:ascii="仿宋" w:hAnsi="仿宋" w:eastAsia="仿宋" w:cs="仿宋"/>
          <w:color w:val="000000"/>
          <w:kern w:val="0"/>
          <w:sz w:val="24"/>
          <w:lang w:val="en-US" w:eastAsia="zh-CN"/>
        </w:rPr>
        <w:t>1、甲乙</w:t>
      </w:r>
      <w:r>
        <w:rPr>
          <w:rFonts w:hint="eastAsia" w:ascii="仿宋" w:hAnsi="仿宋" w:eastAsia="仿宋" w:cs="仿宋"/>
          <w:color w:val="000000"/>
          <w:kern w:val="0"/>
          <w:sz w:val="24"/>
          <w:lang w:val="zh-CN"/>
        </w:rPr>
        <w:t>双方共同约定，不论在任何情况下，禁止提议、给予、索取或者接受任何形式的商业贿赂，亦不寻求通过给予商业贿赂或者其他酬谢而谋取任何利益。</w:t>
      </w:r>
      <w:r>
        <w:rPr>
          <w:rFonts w:hint="eastAsia" w:ascii="仿宋" w:hAnsi="仿宋" w:eastAsia="仿宋" w:cs="仿宋"/>
          <w:color w:val="000000"/>
          <w:kern w:val="0"/>
          <w:sz w:val="24"/>
          <w:lang w:val="en-US" w:eastAsia="zh-CN"/>
        </w:rPr>
        <w:t>甲乙</w:t>
      </w:r>
      <w:r>
        <w:rPr>
          <w:rFonts w:hint="eastAsia" w:ascii="仿宋" w:hAnsi="仿宋" w:eastAsia="仿宋" w:cs="仿宋"/>
          <w:color w:val="000000"/>
          <w:kern w:val="0"/>
          <w:sz w:val="24"/>
          <w:lang w:val="zh-CN"/>
        </w:rPr>
        <w:t>双方均有义务拒绝对方员工的索贿、行贿行为。</w:t>
      </w:r>
    </w:p>
    <w:p w14:paraId="51D20166">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lang w:val="zh-CN"/>
        </w:rPr>
      </w:pPr>
      <w:r>
        <w:rPr>
          <w:rFonts w:hint="eastAsia" w:ascii="仿宋" w:hAnsi="仿宋" w:eastAsia="仿宋" w:cs="仿宋"/>
          <w:color w:val="000000"/>
          <w:kern w:val="0"/>
          <w:sz w:val="24"/>
          <w:lang w:val="en-US" w:eastAsia="zh-CN"/>
        </w:rPr>
        <w:t>2、甲乙</w:t>
      </w:r>
      <w:r>
        <w:rPr>
          <w:rFonts w:hint="eastAsia" w:ascii="仿宋" w:hAnsi="仿宋" w:eastAsia="仿宋" w:cs="仿宋"/>
          <w:color w:val="000000"/>
          <w:kern w:val="0"/>
          <w:sz w:val="24"/>
          <w:lang w:val="zh-CN"/>
        </w:rPr>
        <w:t>双方员工按照商业惯例收取对方的礼品、纪念品，必须统一上交各自所在公司，由公司负责处理。双方互有义务将此事通知对方。</w:t>
      </w:r>
    </w:p>
    <w:p w14:paraId="22BE6367">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lang w:val="zh-CN"/>
        </w:rPr>
      </w:pPr>
      <w:r>
        <w:rPr>
          <w:rFonts w:hint="eastAsia" w:ascii="仿宋" w:hAnsi="仿宋" w:eastAsia="仿宋" w:cs="仿宋"/>
          <w:color w:val="000000"/>
          <w:kern w:val="0"/>
          <w:sz w:val="24"/>
          <w:lang w:val="en-US" w:eastAsia="zh-CN"/>
        </w:rPr>
        <w:t>3、</w:t>
      </w:r>
      <w:r>
        <w:rPr>
          <w:rFonts w:hint="eastAsia" w:ascii="仿宋" w:hAnsi="仿宋" w:eastAsia="仿宋" w:cs="仿宋"/>
          <w:color w:val="000000"/>
          <w:kern w:val="0"/>
          <w:sz w:val="24"/>
          <w:lang w:val="zh-CN"/>
        </w:rPr>
        <w:t>在合作过程中，如出现</w:t>
      </w:r>
      <w:r>
        <w:rPr>
          <w:rFonts w:hint="eastAsia" w:ascii="仿宋" w:hAnsi="仿宋" w:eastAsia="仿宋" w:cs="仿宋"/>
          <w:color w:val="000000"/>
          <w:kern w:val="0"/>
          <w:sz w:val="24"/>
          <w:lang w:val="en-US" w:eastAsia="zh-CN"/>
        </w:rPr>
        <w:t>甲方</w:t>
      </w:r>
      <w:r>
        <w:rPr>
          <w:rFonts w:hint="eastAsia" w:ascii="仿宋" w:hAnsi="仿宋" w:eastAsia="仿宋" w:cs="仿宋"/>
          <w:color w:val="000000"/>
          <w:kern w:val="0"/>
          <w:sz w:val="24"/>
          <w:lang w:val="zh-CN"/>
        </w:rPr>
        <w:t>员工索贿、接受贿赂的现象，</w:t>
      </w:r>
      <w:r>
        <w:rPr>
          <w:rFonts w:hint="eastAsia" w:ascii="仿宋" w:hAnsi="仿宋" w:eastAsia="仿宋" w:cs="仿宋"/>
          <w:color w:val="000000"/>
          <w:kern w:val="0"/>
          <w:sz w:val="24"/>
          <w:lang w:val="en-US" w:eastAsia="zh-CN"/>
        </w:rPr>
        <w:t>乙</w:t>
      </w:r>
      <w:r>
        <w:rPr>
          <w:rFonts w:hint="eastAsia" w:ascii="仿宋" w:hAnsi="仿宋" w:eastAsia="仿宋" w:cs="仿宋"/>
          <w:color w:val="000000"/>
          <w:kern w:val="0"/>
          <w:sz w:val="24"/>
          <w:lang w:val="zh-CN"/>
        </w:rPr>
        <w:t>方应及时向</w:t>
      </w:r>
      <w:r>
        <w:rPr>
          <w:rFonts w:hint="eastAsia" w:ascii="仿宋" w:hAnsi="仿宋" w:eastAsia="仿宋" w:cs="仿宋"/>
          <w:color w:val="000000"/>
          <w:kern w:val="0"/>
          <w:sz w:val="24"/>
          <w:lang w:val="en-US" w:eastAsia="zh-CN"/>
        </w:rPr>
        <w:t>甲</w:t>
      </w:r>
      <w:r>
        <w:rPr>
          <w:rFonts w:hint="eastAsia" w:ascii="仿宋" w:hAnsi="仿宋" w:eastAsia="仿宋" w:cs="仿宋"/>
          <w:color w:val="000000"/>
          <w:kern w:val="0"/>
          <w:sz w:val="24"/>
          <w:lang w:val="zh-CN"/>
        </w:rPr>
        <w:t>方进行举报。</w:t>
      </w:r>
    </w:p>
    <w:p w14:paraId="6F4BBBAC">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lang w:val="zh-CN"/>
        </w:rPr>
      </w:pPr>
      <w:r>
        <w:rPr>
          <w:rFonts w:hint="eastAsia" w:ascii="仿宋" w:hAnsi="仿宋" w:eastAsia="仿宋" w:cs="仿宋"/>
          <w:color w:val="000000"/>
          <w:kern w:val="0"/>
          <w:sz w:val="24"/>
          <w:lang w:val="en-US" w:eastAsia="zh-CN"/>
        </w:rPr>
        <w:t>4、甲乙</w:t>
      </w:r>
      <w:r>
        <w:rPr>
          <w:rFonts w:hint="eastAsia" w:ascii="仿宋" w:hAnsi="仿宋" w:eastAsia="仿宋" w:cs="仿宋"/>
          <w:color w:val="000000"/>
          <w:kern w:val="0"/>
          <w:sz w:val="24"/>
          <w:lang w:val="zh-CN"/>
        </w:rPr>
        <w:t>双方承诺愿意配合对其员工索取、接受贿赂的行为进行调查。</w:t>
      </w:r>
    </w:p>
    <w:p w14:paraId="28519CF7">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lang w:val="zh-CN"/>
        </w:rPr>
      </w:pPr>
      <w:r>
        <w:rPr>
          <w:rFonts w:hint="eastAsia" w:ascii="仿宋" w:hAnsi="仿宋" w:eastAsia="仿宋" w:cs="仿宋"/>
          <w:color w:val="000000"/>
          <w:kern w:val="0"/>
          <w:sz w:val="24"/>
          <w:lang w:val="en-US" w:eastAsia="zh-CN"/>
        </w:rPr>
        <w:t>5、</w:t>
      </w:r>
      <w:r>
        <w:rPr>
          <w:rFonts w:hint="eastAsia" w:ascii="仿宋" w:hAnsi="仿宋" w:eastAsia="仿宋" w:cs="仿宋"/>
          <w:color w:val="000000"/>
          <w:kern w:val="0"/>
          <w:sz w:val="24"/>
          <w:lang w:val="zh-CN"/>
        </w:rPr>
        <w:t>如</w:t>
      </w:r>
      <w:r>
        <w:rPr>
          <w:rFonts w:hint="eastAsia" w:ascii="仿宋" w:hAnsi="仿宋" w:eastAsia="仿宋" w:cs="仿宋"/>
          <w:color w:val="000000"/>
          <w:kern w:val="0"/>
          <w:sz w:val="24"/>
          <w:lang w:val="en-US" w:eastAsia="zh-CN"/>
        </w:rPr>
        <w:t>甲乙</w:t>
      </w:r>
      <w:r>
        <w:rPr>
          <w:rFonts w:hint="eastAsia" w:ascii="仿宋" w:hAnsi="仿宋" w:eastAsia="仿宋" w:cs="仿宋"/>
          <w:color w:val="000000"/>
          <w:kern w:val="0"/>
          <w:sz w:val="24"/>
          <w:lang w:val="zh-CN"/>
        </w:rPr>
        <w:t>双方为谋取商业利益给对方员工贿赂或者不拒绝对方员工索取贿赂的，违约方承担相关法律责任。</w:t>
      </w:r>
    </w:p>
    <w:p w14:paraId="117CC76F">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lang w:val="zh-CN"/>
        </w:rPr>
      </w:pPr>
      <w:r>
        <w:rPr>
          <w:rFonts w:hint="eastAsia" w:ascii="仿宋" w:hAnsi="仿宋" w:eastAsia="仿宋" w:cs="仿宋"/>
          <w:color w:val="000000"/>
          <w:kern w:val="0"/>
          <w:sz w:val="24"/>
          <w:lang w:val="en-US" w:eastAsia="zh-CN"/>
        </w:rPr>
        <w:t>6、</w:t>
      </w:r>
      <w:r>
        <w:rPr>
          <w:rFonts w:hint="eastAsia" w:ascii="仿宋" w:hAnsi="仿宋" w:eastAsia="仿宋" w:cs="仿宋"/>
          <w:color w:val="000000"/>
          <w:kern w:val="0"/>
          <w:sz w:val="24"/>
          <w:lang w:val="zh-CN"/>
        </w:rPr>
        <w:t>如</w:t>
      </w:r>
      <w:r>
        <w:rPr>
          <w:rFonts w:hint="eastAsia" w:ascii="仿宋" w:hAnsi="仿宋" w:eastAsia="仿宋" w:cs="仿宋"/>
          <w:color w:val="000000"/>
          <w:kern w:val="0"/>
          <w:sz w:val="24"/>
          <w:lang w:val="en-US" w:eastAsia="zh-CN"/>
        </w:rPr>
        <w:t>甲乙</w:t>
      </w:r>
      <w:r>
        <w:rPr>
          <w:rFonts w:hint="eastAsia" w:ascii="仿宋" w:hAnsi="仿宋" w:eastAsia="仿宋" w:cs="仿宋"/>
          <w:color w:val="000000"/>
          <w:kern w:val="0"/>
          <w:sz w:val="24"/>
          <w:lang w:val="zh-CN"/>
        </w:rPr>
        <w:t>双方违反本条约定，任何一方有权单方解除合同或协议，并不承担任何违约责任及赔偿责任，但提出解除合同方应向对方出具司法机关出具的证据。</w:t>
      </w:r>
    </w:p>
    <w:p w14:paraId="193C6508">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lang w:val="zh-CN"/>
        </w:rPr>
      </w:pPr>
      <w:r>
        <w:rPr>
          <w:rFonts w:hint="eastAsia" w:ascii="仿宋" w:hAnsi="仿宋" w:eastAsia="仿宋" w:cs="仿宋"/>
          <w:color w:val="000000"/>
          <w:kern w:val="0"/>
          <w:sz w:val="24"/>
          <w:lang w:val="en-US" w:eastAsia="zh-CN"/>
        </w:rPr>
        <w:t>7、甲乙</w:t>
      </w:r>
      <w:r>
        <w:rPr>
          <w:rFonts w:hint="eastAsia" w:ascii="仿宋" w:hAnsi="仿宋" w:eastAsia="仿宋" w:cs="仿宋"/>
          <w:color w:val="000000"/>
          <w:kern w:val="0"/>
          <w:sz w:val="24"/>
          <w:lang w:val="zh-CN"/>
        </w:rPr>
        <w:t>双方积极全面履行协议，并能向对方举报其员工索取、收受贿赂事实的，</w:t>
      </w:r>
      <w:r>
        <w:rPr>
          <w:rFonts w:hint="eastAsia" w:ascii="仿宋" w:hAnsi="仿宋" w:eastAsia="仿宋" w:cs="仿宋"/>
          <w:color w:val="000000"/>
          <w:kern w:val="0"/>
          <w:sz w:val="24"/>
          <w:lang w:val="en-US" w:eastAsia="zh-CN"/>
        </w:rPr>
        <w:t>甲乙</w:t>
      </w:r>
      <w:r>
        <w:rPr>
          <w:rFonts w:hint="eastAsia" w:ascii="仿宋" w:hAnsi="仿宋" w:eastAsia="仿宋" w:cs="仿宋"/>
          <w:color w:val="000000"/>
          <w:kern w:val="0"/>
          <w:sz w:val="24"/>
          <w:lang w:val="zh-CN"/>
        </w:rPr>
        <w:t>双方将优先与其发展合作关系，给予在同等条件下优先采购及优惠条件；如果举报与事实不符，</w:t>
      </w:r>
      <w:r>
        <w:rPr>
          <w:rFonts w:hint="eastAsia" w:ascii="仿宋" w:hAnsi="仿宋" w:eastAsia="仿宋" w:cs="仿宋"/>
          <w:color w:val="000000"/>
          <w:kern w:val="0"/>
          <w:sz w:val="24"/>
          <w:lang w:val="en-US" w:eastAsia="zh-CN"/>
        </w:rPr>
        <w:t>甲乙</w:t>
      </w:r>
      <w:r>
        <w:rPr>
          <w:rFonts w:hint="eastAsia" w:ascii="仿宋" w:hAnsi="仿宋" w:eastAsia="仿宋" w:cs="仿宋"/>
          <w:color w:val="000000"/>
          <w:kern w:val="0"/>
          <w:sz w:val="24"/>
          <w:lang w:val="zh-CN"/>
        </w:rPr>
        <w:t>双方有权终止与其商业合作关系，并承担法律责任。</w:t>
      </w:r>
    </w:p>
    <w:p w14:paraId="4662AF5C">
      <w:pPr>
        <w:keepNext w:val="0"/>
        <w:keepLines w:val="0"/>
        <w:pageBreakBefore w:val="0"/>
        <w:kinsoku/>
        <w:wordWrap/>
        <w:overflowPunct/>
        <w:topLinePunct w:val="0"/>
        <w:autoSpaceDE w:val="0"/>
        <w:autoSpaceDN w:val="0"/>
        <w:bidi w:val="0"/>
        <w:adjustRightInd w:val="0"/>
        <w:spacing w:line="420" w:lineRule="exact"/>
        <w:ind w:firstLine="480"/>
        <w:rPr>
          <w:rFonts w:hint="eastAsia" w:eastAsia="仿宋"/>
          <w:color w:val="000000"/>
          <w:lang w:val="en-US" w:eastAsia="zh-CN"/>
        </w:rPr>
      </w:pPr>
      <w:r>
        <w:rPr>
          <w:rFonts w:hint="eastAsia" w:ascii="仿宋" w:hAnsi="仿宋" w:eastAsia="仿宋" w:cs="仿宋"/>
          <w:color w:val="000000"/>
          <w:kern w:val="0"/>
          <w:sz w:val="24"/>
          <w:lang w:val="en-US" w:eastAsia="zh-CN"/>
        </w:rPr>
        <w:t>8、甲乙</w:t>
      </w:r>
      <w:r>
        <w:rPr>
          <w:rFonts w:hint="eastAsia" w:ascii="仿宋" w:hAnsi="仿宋" w:eastAsia="仿宋" w:cs="仿宋"/>
          <w:color w:val="000000"/>
          <w:kern w:val="0"/>
          <w:sz w:val="24"/>
          <w:lang w:val="zh-CN"/>
        </w:rPr>
        <w:t>双方均有义务约束本方员工不得以抬高对方采购商品的报价达到退给对方经办员工个人一定比例的商品价款的行为发生；双方更不得以账外方式暗中以现金、实物或者其他方式退给对方员工个人一定比例的商品价款。</w:t>
      </w:r>
    </w:p>
    <w:p w14:paraId="20196C8B">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lang w:val="zh-CN"/>
        </w:rPr>
      </w:pPr>
      <w:r>
        <w:rPr>
          <w:rFonts w:hint="eastAsia" w:ascii="仿宋" w:hAnsi="仿宋" w:eastAsia="仿宋" w:cs="仿宋"/>
          <w:color w:val="000000"/>
          <w:kern w:val="0"/>
          <w:sz w:val="24"/>
          <w:lang w:val="zh-CN"/>
        </w:rPr>
        <w:t>十五、本合同的任何变更，均应以书面形式提出，并由双方授权人等协商一致后书面达成协议方有效。</w:t>
      </w:r>
    </w:p>
    <w:p w14:paraId="2259C756">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lang w:val="zh-CN"/>
        </w:rPr>
      </w:pPr>
      <w:r>
        <w:rPr>
          <w:rFonts w:hint="eastAsia" w:ascii="仿宋" w:hAnsi="仿宋" w:eastAsia="仿宋" w:cs="仿宋"/>
          <w:color w:val="000000"/>
          <w:kern w:val="0"/>
          <w:sz w:val="24"/>
          <w:lang w:val="zh-CN"/>
        </w:rPr>
        <w:t>十六、甲乙双方应对在本合同谈判期间、履行期间从另一方获得或收到的价格、资料、信息及其它商业秘密进行保密，未经对方书面事先同意不得向任何第三方以任何方式披露。</w:t>
      </w:r>
    </w:p>
    <w:p w14:paraId="12CDF4F1">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十七、</w:t>
      </w:r>
      <w:r>
        <w:rPr>
          <w:rFonts w:hint="eastAsia" w:ascii="仿宋" w:hAnsi="仿宋" w:eastAsia="仿宋" w:cs="仿宋"/>
          <w:color w:val="000000"/>
          <w:kern w:val="0"/>
          <w:sz w:val="24"/>
        </w:rPr>
        <w:t>本合同适用中华人民共和国法律，并据其进行解释。</w:t>
      </w:r>
    </w:p>
    <w:p w14:paraId="1CA72634">
      <w:pPr>
        <w:keepNext w:val="0"/>
        <w:keepLines w:val="0"/>
        <w:pageBreakBefore w:val="0"/>
        <w:kinsoku/>
        <w:wordWrap/>
        <w:overflowPunct/>
        <w:topLinePunct w:val="0"/>
        <w:autoSpaceDE w:val="0"/>
        <w:autoSpaceDN w:val="0"/>
        <w:bidi w:val="0"/>
        <w:adjustRightInd w:val="0"/>
        <w:spacing w:line="420" w:lineRule="exact"/>
        <w:ind w:firstLine="480"/>
        <w:rPr>
          <w:rFonts w:hint="eastAsia" w:eastAsia="仿宋"/>
          <w:color w:val="000000"/>
          <w:lang w:val="en-US" w:eastAsia="zh-CN"/>
        </w:rPr>
      </w:pPr>
      <w:r>
        <w:rPr>
          <w:rFonts w:hint="eastAsia" w:ascii="仿宋" w:hAnsi="仿宋" w:eastAsia="仿宋" w:cs="仿宋"/>
          <w:color w:val="000000"/>
          <w:kern w:val="0"/>
          <w:sz w:val="24"/>
        </w:rPr>
        <w:t>合同履行过程中，若发生争议，双方应协商解决；如协商不成均由</w:t>
      </w:r>
      <w:r>
        <w:rPr>
          <w:rFonts w:hint="eastAsia" w:ascii="仿宋" w:hAnsi="仿宋" w:eastAsia="仿宋" w:cs="仿宋"/>
          <w:color w:val="000000"/>
          <w:kern w:val="0"/>
          <w:sz w:val="24"/>
          <w:lang w:val="en-US" w:eastAsia="zh-CN"/>
        </w:rPr>
        <w:t>三明市沙县区</w:t>
      </w:r>
      <w:r>
        <w:rPr>
          <w:rFonts w:hint="eastAsia" w:ascii="仿宋" w:hAnsi="仿宋" w:eastAsia="仿宋" w:cs="仿宋"/>
          <w:color w:val="000000"/>
          <w:kern w:val="0"/>
          <w:sz w:val="24"/>
        </w:rPr>
        <w:t>人民法院</w:t>
      </w:r>
      <w:r>
        <w:rPr>
          <w:rFonts w:hint="eastAsia" w:ascii="仿宋" w:hAnsi="仿宋" w:eastAsia="仿宋" w:cs="仿宋"/>
          <w:color w:val="000000"/>
          <w:kern w:val="0"/>
          <w:sz w:val="24"/>
          <w:lang w:val="en-US" w:eastAsia="zh-CN"/>
        </w:rPr>
        <w:t>管辖</w:t>
      </w:r>
      <w:r>
        <w:rPr>
          <w:rFonts w:hint="eastAsia" w:ascii="仿宋" w:hAnsi="仿宋" w:eastAsia="仿宋" w:cs="仿宋"/>
          <w:color w:val="000000"/>
          <w:kern w:val="0"/>
          <w:sz w:val="24"/>
        </w:rPr>
        <w:t>。</w:t>
      </w:r>
    </w:p>
    <w:p w14:paraId="38C74224">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rPr>
      </w:pPr>
      <w:r>
        <w:rPr>
          <w:rFonts w:hint="eastAsia" w:ascii="仿宋" w:hAnsi="仿宋" w:eastAsia="仿宋" w:cs="仿宋"/>
          <w:color w:val="000000"/>
          <w:kern w:val="0"/>
          <w:sz w:val="24"/>
          <w:lang w:val="zh-CN"/>
        </w:rPr>
        <w:t>十八、</w:t>
      </w:r>
      <w:r>
        <w:rPr>
          <w:rFonts w:hint="eastAsia" w:ascii="仿宋" w:hAnsi="仿宋" w:eastAsia="仿宋" w:cs="仿宋"/>
          <w:color w:val="000000"/>
          <w:kern w:val="0"/>
          <w:sz w:val="24"/>
        </w:rPr>
        <w:t>其他</w:t>
      </w:r>
    </w:p>
    <w:p w14:paraId="7EDC5F86">
      <w:pPr>
        <w:keepNext w:val="0"/>
        <w:keepLines w:val="0"/>
        <w:pageBreakBefore w:val="0"/>
        <w:kinsoku/>
        <w:wordWrap/>
        <w:overflowPunct/>
        <w:topLinePunct w:val="0"/>
        <w:autoSpaceDE w:val="0"/>
        <w:autoSpaceDN w:val="0"/>
        <w:bidi w:val="0"/>
        <w:adjustRightInd w:val="0"/>
        <w:spacing w:line="420" w:lineRule="exact"/>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1、</w:t>
      </w:r>
      <w:r>
        <w:rPr>
          <w:rFonts w:hint="eastAsia" w:ascii="仿宋" w:hAnsi="仿宋" w:eastAsia="仿宋" w:cs="仿宋"/>
          <w:color w:val="000000"/>
          <w:kern w:val="0"/>
          <w:sz w:val="24"/>
        </w:rPr>
        <w:t>合同附件为本合同不可分割的一部分，与本合同具有同等的法律效力，补充协议与本协议有冲突的，以补充协议为准。</w:t>
      </w:r>
    </w:p>
    <w:p w14:paraId="3E32130A">
      <w:pPr>
        <w:keepNext w:val="0"/>
        <w:keepLines w:val="0"/>
        <w:pageBreakBefore w:val="0"/>
        <w:kinsoku/>
        <w:wordWrap/>
        <w:overflowPunct/>
        <w:topLinePunct w:val="0"/>
        <w:autoSpaceDE w:val="0"/>
        <w:autoSpaceDN w:val="0"/>
        <w:bidi w:val="0"/>
        <w:adjustRightInd w:val="0"/>
        <w:spacing w:line="420" w:lineRule="exact"/>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2、</w:t>
      </w:r>
      <w:r>
        <w:rPr>
          <w:rFonts w:hint="eastAsia" w:ascii="仿宋" w:hAnsi="仿宋" w:eastAsia="仿宋" w:cs="仿宋"/>
          <w:color w:val="000000"/>
          <w:kern w:val="0"/>
          <w:sz w:val="24"/>
        </w:rPr>
        <w:t>本合同一经生效，非经</w:t>
      </w:r>
      <w:r>
        <w:rPr>
          <w:rFonts w:hint="eastAsia" w:ascii="仿宋" w:hAnsi="仿宋" w:eastAsia="仿宋" w:cs="仿宋"/>
          <w:color w:val="000000"/>
          <w:kern w:val="0"/>
          <w:sz w:val="24"/>
          <w:lang w:val="en-US" w:eastAsia="zh-CN"/>
        </w:rPr>
        <w:t>甲乙</w:t>
      </w:r>
      <w:r>
        <w:rPr>
          <w:rFonts w:hint="eastAsia" w:ascii="仿宋" w:hAnsi="仿宋" w:eastAsia="仿宋" w:cs="仿宋"/>
          <w:color w:val="000000"/>
          <w:kern w:val="0"/>
          <w:sz w:val="24"/>
        </w:rPr>
        <w:t>双方签署书面补充协议同意，任何一方以其他方式对合同条款的增减及其他变更均无约束力。</w:t>
      </w:r>
    </w:p>
    <w:p w14:paraId="21BB7942">
      <w:pPr>
        <w:keepNext w:val="0"/>
        <w:keepLines w:val="0"/>
        <w:pageBreakBefore w:val="0"/>
        <w:kinsoku/>
        <w:wordWrap/>
        <w:overflowPunct/>
        <w:topLinePunct w:val="0"/>
        <w:autoSpaceDE w:val="0"/>
        <w:autoSpaceDN w:val="0"/>
        <w:bidi w:val="0"/>
        <w:adjustRightInd w:val="0"/>
        <w:spacing w:line="420" w:lineRule="exact"/>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3、</w:t>
      </w:r>
      <w:r>
        <w:rPr>
          <w:rFonts w:hint="eastAsia" w:ascii="仿宋" w:hAnsi="仿宋" w:eastAsia="仿宋" w:cs="仿宋"/>
          <w:color w:val="000000"/>
          <w:kern w:val="0"/>
          <w:sz w:val="24"/>
        </w:rPr>
        <w:t>本合同的内容及其有关的附件是</w:t>
      </w:r>
      <w:r>
        <w:rPr>
          <w:rFonts w:hint="eastAsia" w:ascii="仿宋" w:hAnsi="仿宋" w:eastAsia="仿宋" w:cs="仿宋"/>
          <w:color w:val="000000"/>
          <w:kern w:val="0"/>
          <w:sz w:val="24"/>
          <w:lang w:val="en-US" w:eastAsia="zh-CN"/>
        </w:rPr>
        <w:t>甲乙</w:t>
      </w:r>
      <w:r>
        <w:rPr>
          <w:rFonts w:hint="eastAsia" w:ascii="仿宋" w:hAnsi="仿宋" w:eastAsia="仿宋" w:cs="仿宋"/>
          <w:color w:val="000000"/>
          <w:kern w:val="0"/>
          <w:sz w:val="24"/>
        </w:rPr>
        <w:t>双方关于此次合作所最终确定的全部内容，双方均承认其已审阅、理解本合同及相关附件的内容，并同意取代</w:t>
      </w:r>
      <w:r>
        <w:rPr>
          <w:rFonts w:hint="eastAsia" w:ascii="仿宋" w:hAnsi="仿宋" w:eastAsia="仿宋" w:cs="仿宋"/>
          <w:color w:val="000000"/>
          <w:kern w:val="0"/>
          <w:sz w:val="24"/>
          <w:lang w:val="en-US" w:eastAsia="zh-CN"/>
        </w:rPr>
        <w:t>甲乙</w:t>
      </w:r>
      <w:r>
        <w:rPr>
          <w:rFonts w:hint="eastAsia" w:ascii="仿宋" w:hAnsi="仿宋" w:eastAsia="仿宋" w:cs="仿宋"/>
          <w:color w:val="000000"/>
          <w:kern w:val="0"/>
          <w:sz w:val="24"/>
        </w:rPr>
        <w:t>双方之间此前关于此次合作所做出的任何口头或书面的承诺。</w:t>
      </w:r>
    </w:p>
    <w:p w14:paraId="2DA5D8AA">
      <w:pPr>
        <w:keepNext w:val="0"/>
        <w:keepLines w:val="0"/>
        <w:pageBreakBefore w:val="0"/>
        <w:kinsoku/>
        <w:wordWrap/>
        <w:overflowPunct/>
        <w:topLinePunct w:val="0"/>
        <w:autoSpaceDE w:val="0"/>
        <w:autoSpaceDN w:val="0"/>
        <w:bidi w:val="0"/>
        <w:adjustRightInd w:val="0"/>
        <w:spacing w:line="420" w:lineRule="exact"/>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4、</w:t>
      </w:r>
      <w:r>
        <w:rPr>
          <w:rFonts w:hint="eastAsia" w:ascii="仿宋" w:hAnsi="仿宋" w:eastAsia="仿宋" w:cs="仿宋"/>
          <w:color w:val="000000"/>
          <w:kern w:val="0"/>
          <w:sz w:val="24"/>
        </w:rPr>
        <w:t>本合同自双方加盖公章或合同专用章后生效，合同约定所有义务履行完毕后自行终止。合同的终止并不影响保密义务的继续履行。</w:t>
      </w:r>
    </w:p>
    <w:p w14:paraId="0E500856">
      <w:pPr>
        <w:keepNext w:val="0"/>
        <w:keepLines w:val="0"/>
        <w:pageBreakBefore w:val="0"/>
        <w:shd w:val="clear" w:color="auto" w:fill="FFFFFF"/>
        <w:kinsoku/>
        <w:wordWrap/>
        <w:overflowPunct/>
        <w:topLinePunct w:val="0"/>
        <w:bidi w:val="0"/>
        <w:adjustRightInd w:val="0"/>
        <w:snapToGrid w:val="0"/>
        <w:spacing w:line="420" w:lineRule="exact"/>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5、</w:t>
      </w:r>
      <w:r>
        <w:rPr>
          <w:rFonts w:hint="eastAsia" w:ascii="仿宋" w:hAnsi="仿宋" w:eastAsia="仿宋" w:cs="仿宋"/>
          <w:color w:val="000000"/>
          <w:kern w:val="0"/>
          <w:sz w:val="24"/>
        </w:rPr>
        <w:t>本合同及附件一式</w:t>
      </w:r>
      <w:r>
        <w:rPr>
          <w:rFonts w:hint="eastAsia" w:ascii="仿宋" w:hAnsi="仿宋" w:eastAsia="仿宋" w:cs="仿宋"/>
          <w:color w:val="000000"/>
          <w:kern w:val="0"/>
          <w:sz w:val="24"/>
          <w:lang w:val="en-US" w:eastAsia="zh-CN"/>
        </w:rPr>
        <w:t>肆</w:t>
      </w:r>
      <w:r>
        <w:rPr>
          <w:rFonts w:hint="eastAsia" w:ascii="仿宋" w:hAnsi="仿宋" w:eastAsia="仿宋" w:cs="仿宋"/>
          <w:color w:val="000000"/>
          <w:kern w:val="0"/>
          <w:sz w:val="24"/>
        </w:rPr>
        <w:t>份，</w:t>
      </w:r>
      <w:r>
        <w:rPr>
          <w:rFonts w:hint="eastAsia" w:ascii="仿宋" w:hAnsi="仿宋" w:eastAsia="仿宋" w:cs="仿宋"/>
          <w:color w:val="000000"/>
          <w:kern w:val="0"/>
          <w:sz w:val="24"/>
          <w:lang w:val="en-US" w:eastAsia="zh-CN"/>
        </w:rPr>
        <w:t>甲</w:t>
      </w:r>
      <w:r>
        <w:rPr>
          <w:rFonts w:hint="eastAsia" w:ascii="仿宋" w:hAnsi="仿宋" w:eastAsia="仿宋" w:cs="仿宋"/>
          <w:color w:val="000000"/>
          <w:kern w:val="0"/>
          <w:sz w:val="24"/>
        </w:rPr>
        <w:t>方</w:t>
      </w:r>
      <w:r>
        <w:rPr>
          <w:rFonts w:hint="eastAsia" w:ascii="仿宋" w:hAnsi="仿宋" w:eastAsia="仿宋" w:cs="仿宋"/>
          <w:color w:val="000000"/>
          <w:kern w:val="0"/>
          <w:sz w:val="24"/>
          <w:lang w:val="en-US" w:eastAsia="zh-CN"/>
        </w:rPr>
        <w:t>叁</w:t>
      </w:r>
      <w:r>
        <w:rPr>
          <w:rFonts w:hint="eastAsia" w:ascii="仿宋" w:hAnsi="仿宋" w:eastAsia="仿宋" w:cs="仿宋"/>
          <w:color w:val="000000"/>
          <w:kern w:val="0"/>
          <w:sz w:val="24"/>
        </w:rPr>
        <w:t>份，</w:t>
      </w:r>
      <w:r>
        <w:rPr>
          <w:rFonts w:hint="eastAsia" w:ascii="仿宋" w:hAnsi="仿宋" w:eastAsia="仿宋" w:cs="仿宋"/>
          <w:color w:val="000000"/>
          <w:kern w:val="0"/>
          <w:sz w:val="24"/>
          <w:lang w:val="en-US" w:eastAsia="zh-CN"/>
        </w:rPr>
        <w:t>乙方壹</w:t>
      </w:r>
      <w:r>
        <w:rPr>
          <w:rFonts w:hint="eastAsia" w:ascii="仿宋" w:hAnsi="仿宋" w:eastAsia="仿宋" w:cs="仿宋"/>
          <w:color w:val="000000"/>
          <w:kern w:val="0"/>
          <w:sz w:val="24"/>
        </w:rPr>
        <w:t>份，每份具有同等的法律效力。</w:t>
      </w:r>
    </w:p>
    <w:p w14:paraId="6A167AE6">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 w:hAnsi="仿宋" w:eastAsia="仿宋" w:cs="仿宋"/>
          <w:b w:val="0"/>
          <w:bCs w:val="0"/>
          <w:color w:val="000000"/>
          <w:sz w:val="24"/>
          <w:szCs w:val="24"/>
          <w:highlight w:val="none"/>
          <w:vertAlign w:val="baseline"/>
          <w:lang w:val="en-US" w:eastAsia="zh-CN"/>
        </w:rPr>
      </w:pPr>
    </w:p>
    <w:p w14:paraId="3713B97A">
      <w:pPr>
        <w:keepNext w:val="0"/>
        <w:keepLines w:val="0"/>
        <w:pageBreakBefore w:val="0"/>
        <w:widowControl w:val="0"/>
        <w:kinsoku/>
        <w:wordWrap/>
        <w:overflowPunct/>
        <w:topLinePunct w:val="0"/>
        <w:autoSpaceDE w:val="0"/>
        <w:autoSpaceDN w:val="0"/>
        <w:bidi w:val="0"/>
        <w:adjustRightInd w:val="0"/>
        <w:spacing w:line="240" w:lineRule="auto"/>
        <w:ind w:firstLine="48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（以下无正文）</w:t>
      </w:r>
    </w:p>
    <w:p w14:paraId="5406D9A3">
      <w:pPr>
        <w:pStyle w:val="15"/>
        <w:spacing w:line="240" w:lineRule="auto"/>
        <w:ind w:firstLine="480"/>
        <w:rPr>
          <w:rFonts w:hint="eastAsia" w:ascii="仿宋" w:hAnsi="仿宋" w:eastAsia="仿宋" w:cs="仿宋"/>
          <w:sz w:val="24"/>
          <w:szCs w:val="24"/>
          <w:lang w:val="zh-CN"/>
        </w:rPr>
      </w:pPr>
    </w:p>
    <w:tbl>
      <w:tblPr>
        <w:tblStyle w:val="16"/>
        <w:tblW w:w="9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1"/>
        <w:gridCol w:w="5156"/>
      </w:tblGrid>
      <w:tr w14:paraId="0457F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19" w:hRule="atLeast"/>
          <w:jc w:val="center"/>
        </w:trPr>
        <w:tc>
          <w:tcPr>
            <w:tcW w:w="4801" w:type="dxa"/>
            <w:tcBorders>
              <w:top w:val="single" w:color="auto" w:sz="4" w:space="0"/>
              <w:left w:val="single" w:color="auto" w:sz="4" w:space="0"/>
              <w:bottom w:val="single" w:color="auto" w:sz="4" w:space="0"/>
              <w:right w:val="single" w:color="auto" w:sz="4" w:space="0"/>
            </w:tcBorders>
            <w:noWrap w:val="0"/>
            <w:vAlign w:val="top"/>
          </w:tcPr>
          <w:p w14:paraId="409CEBDC">
            <w:pPr>
              <w:pStyle w:val="7"/>
              <w:keepNext w:val="0"/>
              <w:keepLines w:val="0"/>
              <w:pageBreakBefore w:val="0"/>
              <w:widowControl/>
              <w:tabs>
                <w:tab w:val="left" w:pos="180"/>
              </w:tabs>
              <w:kinsoku w:val="0"/>
              <w:wordWrap/>
              <w:overflowPunct/>
              <w:topLinePunct w:val="0"/>
              <w:autoSpaceDE w:val="0"/>
              <w:autoSpaceDN w:val="0"/>
              <w:bidi w:val="0"/>
              <w:adjustRightInd/>
              <w:snapToGrid/>
              <w:spacing w:after="0" w:line="240" w:lineRule="auto"/>
              <w:ind w:left="0" w:leftChars="0"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甲  方</w:t>
            </w:r>
          </w:p>
          <w:p w14:paraId="2314C3DF">
            <w:pPr>
              <w:keepNext w:val="0"/>
              <w:keepLines w:val="0"/>
              <w:pageBreakBefore w:val="0"/>
              <w:widowControl/>
              <w:kinsoku w:val="0"/>
              <w:wordWrap/>
              <w:overflowPunct/>
              <w:topLinePunct w:val="0"/>
              <w:autoSpaceDE w:val="0"/>
              <w:autoSpaceDN w:val="0"/>
              <w:bidi w:val="0"/>
              <w:adjustRightInd/>
              <w:snapToGrid/>
              <w:spacing w:line="240" w:lineRule="auto"/>
              <w:ind w:left="0" w:leftChars="0"/>
              <w:textAlignment w:val="baseline"/>
              <w:rPr>
                <w:rFonts w:hint="eastAsia" w:ascii="仿宋" w:hAnsi="仿宋" w:eastAsia="仿宋" w:cs="仿宋"/>
                <w:sz w:val="24"/>
                <w:szCs w:val="24"/>
              </w:rPr>
            </w:pPr>
            <w:r>
              <w:rPr>
                <w:rFonts w:hint="eastAsia" w:ascii="仿宋" w:hAnsi="仿宋" w:eastAsia="仿宋" w:cs="仿宋"/>
                <w:sz w:val="24"/>
                <w:szCs w:val="24"/>
              </w:rPr>
              <w:t xml:space="preserve">名称（公章）：中国机械总院集团海西（福建）分院有限公司 </w:t>
            </w:r>
          </w:p>
          <w:p w14:paraId="750275AB">
            <w:pPr>
              <w:keepNext w:val="0"/>
              <w:keepLines w:val="0"/>
              <w:pageBreakBefore w:val="0"/>
              <w:widowControl/>
              <w:kinsoku w:val="0"/>
              <w:wordWrap/>
              <w:overflowPunct/>
              <w:topLinePunct w:val="0"/>
              <w:autoSpaceDE w:val="0"/>
              <w:autoSpaceDN w:val="0"/>
              <w:bidi w:val="0"/>
              <w:adjustRightInd/>
              <w:snapToGrid/>
              <w:spacing w:line="240" w:lineRule="auto"/>
              <w:ind w:left="600" w:leftChars="0" w:hanging="600" w:hangingChars="250"/>
              <w:textAlignment w:val="baseline"/>
              <w:rPr>
                <w:rFonts w:hint="eastAsia" w:ascii="仿宋" w:hAnsi="仿宋" w:eastAsia="仿宋" w:cs="仿宋"/>
                <w:sz w:val="24"/>
                <w:szCs w:val="24"/>
              </w:rPr>
            </w:pPr>
            <w:r>
              <w:rPr>
                <w:rFonts w:hint="eastAsia" w:ascii="仿宋" w:hAnsi="仿宋" w:eastAsia="仿宋" w:cs="仿宋"/>
                <w:sz w:val="24"/>
                <w:szCs w:val="24"/>
              </w:rPr>
              <w:t xml:space="preserve">地址：福建省三明市沙县区金沙园开发区创新东路413号 </w:t>
            </w:r>
          </w:p>
          <w:p w14:paraId="394105AC">
            <w:pPr>
              <w:keepNext w:val="0"/>
              <w:keepLines w:val="0"/>
              <w:pageBreakBefore w:val="0"/>
              <w:widowControl/>
              <w:tabs>
                <w:tab w:val="left" w:pos="180"/>
              </w:tabs>
              <w:kinsoku w:val="0"/>
              <w:wordWrap/>
              <w:overflowPunct/>
              <w:topLinePunct w:val="0"/>
              <w:autoSpaceDE w:val="0"/>
              <w:autoSpaceDN w:val="0"/>
              <w:bidi w:val="0"/>
              <w:adjustRightInd/>
              <w:snapToGrid/>
              <w:spacing w:line="240" w:lineRule="auto"/>
              <w:ind w:left="0" w:leftChars="0"/>
              <w:textAlignment w:val="baseline"/>
              <w:rPr>
                <w:rFonts w:hint="eastAsia" w:ascii="仿宋" w:hAnsi="仿宋" w:eastAsia="仿宋" w:cs="仿宋"/>
                <w:sz w:val="24"/>
                <w:szCs w:val="24"/>
              </w:rPr>
            </w:pPr>
            <w:r>
              <w:rPr>
                <w:rFonts w:hint="eastAsia" w:ascii="仿宋" w:hAnsi="仿宋" w:eastAsia="仿宋" w:cs="仿宋"/>
                <w:sz w:val="24"/>
                <w:szCs w:val="24"/>
              </w:rPr>
              <w:t xml:space="preserve">法定代表人：薛松海 </w:t>
            </w:r>
          </w:p>
          <w:p w14:paraId="56BABC09">
            <w:pPr>
              <w:pStyle w:val="7"/>
              <w:keepNext w:val="0"/>
              <w:keepLines w:val="0"/>
              <w:pageBreakBefore w:val="0"/>
              <w:widowControl/>
              <w:tabs>
                <w:tab w:val="left" w:pos="180"/>
              </w:tabs>
              <w:kinsoku w:val="0"/>
              <w:wordWrap/>
              <w:overflowPunct/>
              <w:topLinePunct w:val="0"/>
              <w:autoSpaceDE w:val="0"/>
              <w:autoSpaceDN w:val="0"/>
              <w:bidi w:val="0"/>
              <w:adjustRightInd/>
              <w:snapToGrid/>
              <w:spacing w:after="0" w:line="240" w:lineRule="auto"/>
              <w:ind w:left="0" w:leftChars="0"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委托代理人：</w:t>
            </w:r>
          </w:p>
          <w:p w14:paraId="60B1F10E">
            <w:pPr>
              <w:keepNext w:val="0"/>
              <w:keepLines w:val="0"/>
              <w:pageBreakBefore w:val="0"/>
              <w:widowControl/>
              <w:kinsoku w:val="0"/>
              <w:wordWrap/>
              <w:overflowPunct/>
              <w:topLinePunct w:val="0"/>
              <w:autoSpaceDE w:val="0"/>
              <w:autoSpaceDN w:val="0"/>
              <w:bidi w:val="0"/>
              <w:adjustRightInd/>
              <w:snapToGrid/>
              <w:spacing w:line="240" w:lineRule="auto"/>
              <w:ind w:left="0" w:leftChars="0"/>
              <w:textAlignment w:val="baseline"/>
              <w:rPr>
                <w:rFonts w:hint="eastAsia" w:ascii="仿宋" w:hAnsi="仿宋" w:eastAsia="仿宋" w:cs="仿宋"/>
                <w:sz w:val="24"/>
                <w:szCs w:val="24"/>
              </w:rPr>
            </w:pPr>
            <w:r>
              <w:rPr>
                <w:rFonts w:hint="eastAsia" w:ascii="仿宋" w:hAnsi="仿宋" w:eastAsia="仿宋" w:cs="仿宋"/>
                <w:sz w:val="24"/>
                <w:szCs w:val="24"/>
              </w:rPr>
              <w:t xml:space="preserve">电话：0598-8863008  </w:t>
            </w:r>
          </w:p>
          <w:p w14:paraId="243539C2">
            <w:pPr>
              <w:pStyle w:val="7"/>
              <w:keepNext w:val="0"/>
              <w:keepLines w:val="0"/>
              <w:pageBreakBefore w:val="0"/>
              <w:widowControl/>
              <w:tabs>
                <w:tab w:val="left" w:pos="180"/>
              </w:tabs>
              <w:kinsoku w:val="0"/>
              <w:wordWrap/>
              <w:overflowPunct/>
              <w:topLinePunct w:val="0"/>
              <w:autoSpaceDE w:val="0"/>
              <w:autoSpaceDN w:val="0"/>
              <w:bidi w:val="0"/>
              <w:adjustRightInd/>
              <w:snapToGrid/>
              <w:spacing w:after="0" w:line="240" w:lineRule="auto"/>
              <w:ind w:left="0" w:leftChars="0"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传真：</w:t>
            </w:r>
          </w:p>
          <w:p w14:paraId="1BC03EDD">
            <w:pPr>
              <w:keepNext w:val="0"/>
              <w:keepLines w:val="0"/>
              <w:pageBreakBefore w:val="0"/>
              <w:widowControl/>
              <w:kinsoku w:val="0"/>
              <w:wordWrap/>
              <w:overflowPunct/>
              <w:topLinePunct w:val="0"/>
              <w:autoSpaceDE w:val="0"/>
              <w:autoSpaceDN w:val="0"/>
              <w:bidi w:val="0"/>
              <w:adjustRightInd/>
              <w:snapToGrid/>
              <w:spacing w:line="240" w:lineRule="auto"/>
              <w:ind w:left="0" w:leftChars="0"/>
              <w:textAlignment w:val="baseline"/>
              <w:rPr>
                <w:rFonts w:hint="eastAsia" w:ascii="仿宋" w:hAnsi="仿宋" w:eastAsia="仿宋" w:cs="仿宋"/>
                <w:sz w:val="24"/>
                <w:szCs w:val="24"/>
              </w:rPr>
            </w:pPr>
            <w:r>
              <w:rPr>
                <w:rFonts w:hint="eastAsia" w:ascii="仿宋" w:hAnsi="仿宋" w:eastAsia="仿宋" w:cs="仿宋"/>
                <w:sz w:val="24"/>
                <w:szCs w:val="24"/>
              </w:rPr>
              <w:t xml:space="preserve">开户银行：中国农业银行沙县支行 </w:t>
            </w:r>
          </w:p>
          <w:p w14:paraId="25FC5F77">
            <w:pPr>
              <w:keepNext w:val="0"/>
              <w:keepLines w:val="0"/>
              <w:pageBreakBefore w:val="0"/>
              <w:widowControl/>
              <w:kinsoku w:val="0"/>
              <w:wordWrap/>
              <w:overflowPunct/>
              <w:topLinePunct w:val="0"/>
              <w:autoSpaceDE w:val="0"/>
              <w:autoSpaceDN w:val="0"/>
              <w:bidi w:val="0"/>
              <w:adjustRightInd/>
              <w:snapToGrid/>
              <w:spacing w:line="240" w:lineRule="auto"/>
              <w:ind w:left="0" w:leftChars="0"/>
              <w:textAlignment w:val="baseline"/>
              <w:rPr>
                <w:rFonts w:hint="eastAsia" w:ascii="仿宋" w:hAnsi="仿宋" w:eastAsia="仿宋" w:cs="仿宋"/>
                <w:sz w:val="24"/>
                <w:szCs w:val="24"/>
              </w:rPr>
            </w:pPr>
            <w:r>
              <w:rPr>
                <w:rFonts w:hint="eastAsia" w:ascii="仿宋" w:hAnsi="仿宋" w:eastAsia="仿宋" w:cs="仿宋"/>
                <w:sz w:val="24"/>
                <w:szCs w:val="24"/>
              </w:rPr>
              <w:t xml:space="preserve">银行帐号：13840101040017600  </w:t>
            </w:r>
          </w:p>
          <w:p w14:paraId="5EAF6179">
            <w:pPr>
              <w:pStyle w:val="7"/>
              <w:keepNext w:val="0"/>
              <w:keepLines w:val="0"/>
              <w:pageBreakBefore w:val="0"/>
              <w:widowControl/>
              <w:tabs>
                <w:tab w:val="left" w:pos="180"/>
              </w:tabs>
              <w:kinsoku w:val="0"/>
              <w:wordWrap/>
              <w:overflowPunct/>
              <w:topLinePunct w:val="0"/>
              <w:autoSpaceDE w:val="0"/>
              <w:autoSpaceDN w:val="0"/>
              <w:bidi w:val="0"/>
              <w:adjustRightInd/>
              <w:snapToGrid/>
              <w:spacing w:after="0" w:line="240" w:lineRule="auto"/>
              <w:ind w:left="0" w:leftChars="0"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 xml:space="preserve">税号：913504270603757361 </w:t>
            </w:r>
          </w:p>
        </w:tc>
        <w:tc>
          <w:tcPr>
            <w:tcW w:w="5156" w:type="dxa"/>
            <w:tcBorders>
              <w:top w:val="single" w:color="auto" w:sz="4" w:space="0"/>
              <w:left w:val="single" w:color="auto" w:sz="4" w:space="0"/>
              <w:bottom w:val="single" w:color="auto" w:sz="4" w:space="0"/>
              <w:right w:val="single" w:color="auto" w:sz="4" w:space="0"/>
            </w:tcBorders>
            <w:noWrap w:val="0"/>
            <w:vAlign w:val="top"/>
          </w:tcPr>
          <w:p w14:paraId="0779D4F8">
            <w:pPr>
              <w:pStyle w:val="7"/>
              <w:keepNext w:val="0"/>
              <w:keepLines w:val="0"/>
              <w:pageBreakBefore w:val="0"/>
              <w:widowControl/>
              <w:tabs>
                <w:tab w:val="left" w:pos="180"/>
              </w:tabs>
              <w:kinsoku w:val="0"/>
              <w:wordWrap/>
              <w:overflowPunct/>
              <w:topLinePunct w:val="0"/>
              <w:autoSpaceDE w:val="0"/>
              <w:autoSpaceDN w:val="0"/>
              <w:bidi w:val="0"/>
              <w:adjustRightInd/>
              <w:snapToGrid/>
              <w:spacing w:after="0" w:line="240" w:lineRule="auto"/>
              <w:ind w:left="0" w:leftChars="0"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乙  方</w:t>
            </w:r>
          </w:p>
          <w:p w14:paraId="316A1EB3">
            <w:pPr>
              <w:keepNext w:val="0"/>
              <w:keepLines w:val="0"/>
              <w:pageBreakBefore w:val="0"/>
              <w:widowControl/>
              <w:kinsoku w:val="0"/>
              <w:wordWrap/>
              <w:overflowPunct/>
              <w:topLinePunct w:val="0"/>
              <w:autoSpaceDE w:val="0"/>
              <w:autoSpaceDN w:val="0"/>
              <w:bidi w:val="0"/>
              <w:adjustRightInd/>
              <w:snapToGrid/>
              <w:spacing w:line="240" w:lineRule="auto"/>
              <w:ind w:left="600" w:leftChars="0" w:hanging="600" w:hangingChars="250"/>
              <w:textAlignment w:val="baseline"/>
              <w:rPr>
                <w:rFonts w:hint="eastAsia" w:ascii="仿宋" w:hAnsi="仿宋" w:eastAsia="仿宋" w:cs="仿宋"/>
                <w:sz w:val="24"/>
                <w:szCs w:val="24"/>
              </w:rPr>
            </w:pPr>
            <w:r>
              <w:rPr>
                <w:rFonts w:hint="eastAsia" w:ascii="仿宋" w:hAnsi="仿宋" w:eastAsia="仿宋" w:cs="仿宋"/>
                <w:sz w:val="24"/>
                <w:szCs w:val="24"/>
              </w:rPr>
              <w:t>名称（公章）：</w:t>
            </w:r>
          </w:p>
          <w:p w14:paraId="76107CFB">
            <w:pPr>
              <w:keepNext w:val="0"/>
              <w:keepLines w:val="0"/>
              <w:pageBreakBefore w:val="0"/>
              <w:widowControl/>
              <w:kinsoku w:val="0"/>
              <w:wordWrap/>
              <w:overflowPunct/>
              <w:topLinePunct w:val="0"/>
              <w:autoSpaceDE w:val="0"/>
              <w:autoSpaceDN w:val="0"/>
              <w:bidi w:val="0"/>
              <w:adjustRightInd/>
              <w:snapToGrid/>
              <w:spacing w:line="240" w:lineRule="auto"/>
              <w:ind w:left="600" w:leftChars="0" w:hanging="600" w:hangingChars="250"/>
              <w:textAlignment w:val="baseline"/>
              <w:rPr>
                <w:rFonts w:hint="eastAsia" w:ascii="仿宋" w:hAnsi="仿宋" w:eastAsia="仿宋" w:cs="仿宋"/>
                <w:sz w:val="24"/>
                <w:szCs w:val="24"/>
              </w:rPr>
            </w:pPr>
            <w:r>
              <w:rPr>
                <w:rFonts w:hint="eastAsia" w:ascii="仿宋" w:hAnsi="仿宋" w:eastAsia="仿宋" w:cs="仿宋"/>
                <w:sz w:val="24"/>
                <w:szCs w:val="24"/>
              </w:rPr>
              <w:t>地址：</w:t>
            </w:r>
          </w:p>
          <w:p w14:paraId="04B664A5">
            <w:pPr>
              <w:keepNext w:val="0"/>
              <w:keepLines w:val="0"/>
              <w:pageBreakBefore w:val="0"/>
              <w:widowControl/>
              <w:tabs>
                <w:tab w:val="left" w:pos="180"/>
              </w:tabs>
              <w:kinsoku w:val="0"/>
              <w:wordWrap/>
              <w:overflowPunct/>
              <w:topLinePunct w:val="0"/>
              <w:autoSpaceDE w:val="0"/>
              <w:autoSpaceDN w:val="0"/>
              <w:bidi w:val="0"/>
              <w:adjustRightInd/>
              <w:snapToGrid/>
              <w:spacing w:line="240" w:lineRule="auto"/>
              <w:ind w:left="0" w:leftChars="0"/>
              <w:textAlignment w:val="baseline"/>
              <w:rPr>
                <w:rFonts w:hint="eastAsia" w:ascii="仿宋" w:hAnsi="仿宋" w:eastAsia="仿宋" w:cs="仿宋"/>
                <w:sz w:val="24"/>
                <w:szCs w:val="24"/>
              </w:rPr>
            </w:pPr>
            <w:r>
              <w:rPr>
                <w:rFonts w:hint="eastAsia" w:ascii="仿宋" w:hAnsi="仿宋" w:eastAsia="仿宋" w:cs="仿宋"/>
                <w:sz w:val="24"/>
                <w:szCs w:val="24"/>
              </w:rPr>
              <w:t>法定代表人：</w:t>
            </w:r>
          </w:p>
          <w:p w14:paraId="5CF8D4F0">
            <w:pPr>
              <w:pStyle w:val="7"/>
              <w:keepNext w:val="0"/>
              <w:keepLines w:val="0"/>
              <w:pageBreakBefore w:val="0"/>
              <w:widowControl/>
              <w:tabs>
                <w:tab w:val="left" w:pos="180"/>
              </w:tabs>
              <w:kinsoku w:val="0"/>
              <w:wordWrap/>
              <w:overflowPunct/>
              <w:topLinePunct w:val="0"/>
              <w:autoSpaceDE w:val="0"/>
              <w:autoSpaceDN w:val="0"/>
              <w:bidi w:val="0"/>
              <w:adjustRightInd/>
              <w:snapToGrid/>
              <w:spacing w:after="0" w:line="240" w:lineRule="auto"/>
              <w:ind w:left="0" w:leftChars="0"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委托代理人：</w:t>
            </w:r>
          </w:p>
          <w:p w14:paraId="57BD3D23">
            <w:pPr>
              <w:keepNext w:val="0"/>
              <w:keepLines w:val="0"/>
              <w:pageBreakBefore w:val="0"/>
              <w:widowControl/>
              <w:kinsoku w:val="0"/>
              <w:wordWrap/>
              <w:overflowPunct/>
              <w:topLinePunct w:val="0"/>
              <w:autoSpaceDE w:val="0"/>
              <w:autoSpaceDN w:val="0"/>
              <w:bidi w:val="0"/>
              <w:adjustRightInd/>
              <w:snapToGrid/>
              <w:spacing w:line="240" w:lineRule="auto"/>
              <w:ind w:left="0" w:leftChars="0"/>
              <w:textAlignment w:val="baseline"/>
              <w:rPr>
                <w:rFonts w:hint="eastAsia" w:ascii="仿宋" w:hAnsi="仿宋" w:eastAsia="仿宋" w:cs="仿宋"/>
                <w:sz w:val="24"/>
                <w:szCs w:val="24"/>
              </w:rPr>
            </w:pPr>
            <w:r>
              <w:rPr>
                <w:rFonts w:hint="eastAsia" w:ascii="仿宋" w:hAnsi="仿宋" w:eastAsia="仿宋" w:cs="仿宋"/>
                <w:sz w:val="24"/>
                <w:szCs w:val="24"/>
              </w:rPr>
              <w:t>电话：</w:t>
            </w:r>
          </w:p>
          <w:p w14:paraId="1780DBED">
            <w:pPr>
              <w:pStyle w:val="7"/>
              <w:keepNext w:val="0"/>
              <w:keepLines w:val="0"/>
              <w:pageBreakBefore w:val="0"/>
              <w:widowControl/>
              <w:tabs>
                <w:tab w:val="left" w:pos="180"/>
              </w:tabs>
              <w:kinsoku w:val="0"/>
              <w:wordWrap/>
              <w:overflowPunct/>
              <w:topLinePunct w:val="0"/>
              <w:autoSpaceDE w:val="0"/>
              <w:autoSpaceDN w:val="0"/>
              <w:bidi w:val="0"/>
              <w:adjustRightInd/>
              <w:snapToGrid/>
              <w:spacing w:after="0" w:line="240" w:lineRule="auto"/>
              <w:ind w:left="0" w:leftChars="0"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传真：</w:t>
            </w:r>
          </w:p>
          <w:p w14:paraId="46DC901E">
            <w:pPr>
              <w:keepNext w:val="0"/>
              <w:keepLines w:val="0"/>
              <w:pageBreakBefore w:val="0"/>
              <w:widowControl/>
              <w:kinsoku w:val="0"/>
              <w:wordWrap/>
              <w:overflowPunct/>
              <w:topLinePunct w:val="0"/>
              <w:autoSpaceDE w:val="0"/>
              <w:autoSpaceDN w:val="0"/>
              <w:bidi w:val="0"/>
              <w:adjustRightInd/>
              <w:snapToGrid/>
              <w:spacing w:line="240" w:lineRule="auto"/>
              <w:ind w:left="0" w:leftChars="0"/>
              <w:textAlignment w:val="baseline"/>
              <w:rPr>
                <w:rFonts w:hint="eastAsia" w:ascii="仿宋" w:hAnsi="仿宋" w:eastAsia="仿宋" w:cs="仿宋"/>
                <w:sz w:val="24"/>
                <w:szCs w:val="24"/>
              </w:rPr>
            </w:pPr>
            <w:r>
              <w:rPr>
                <w:rFonts w:hint="eastAsia" w:ascii="仿宋" w:hAnsi="仿宋" w:eastAsia="仿宋" w:cs="仿宋"/>
                <w:sz w:val="24"/>
                <w:szCs w:val="24"/>
              </w:rPr>
              <w:t>开户银行：</w:t>
            </w:r>
          </w:p>
          <w:p w14:paraId="74C35AE3">
            <w:pPr>
              <w:keepNext w:val="0"/>
              <w:keepLines w:val="0"/>
              <w:pageBreakBefore w:val="0"/>
              <w:widowControl/>
              <w:kinsoku w:val="0"/>
              <w:wordWrap/>
              <w:overflowPunct/>
              <w:topLinePunct w:val="0"/>
              <w:autoSpaceDE w:val="0"/>
              <w:autoSpaceDN w:val="0"/>
              <w:bidi w:val="0"/>
              <w:adjustRightInd/>
              <w:snapToGrid/>
              <w:spacing w:line="240" w:lineRule="auto"/>
              <w:ind w:left="0" w:leftChars="0"/>
              <w:textAlignment w:val="baseline"/>
              <w:rPr>
                <w:rFonts w:hint="eastAsia" w:ascii="仿宋" w:hAnsi="仿宋" w:eastAsia="仿宋" w:cs="仿宋"/>
                <w:sz w:val="24"/>
                <w:szCs w:val="24"/>
              </w:rPr>
            </w:pPr>
            <w:r>
              <w:rPr>
                <w:rFonts w:hint="eastAsia" w:ascii="仿宋" w:hAnsi="仿宋" w:eastAsia="仿宋" w:cs="仿宋"/>
                <w:sz w:val="24"/>
                <w:szCs w:val="24"/>
              </w:rPr>
              <w:t>银行帐号：</w:t>
            </w:r>
          </w:p>
          <w:p w14:paraId="38E7F798">
            <w:pPr>
              <w:keepNext w:val="0"/>
              <w:keepLines w:val="0"/>
              <w:pageBreakBefore w:val="0"/>
              <w:widowControl/>
              <w:kinsoku w:val="0"/>
              <w:wordWrap/>
              <w:overflowPunct/>
              <w:topLinePunct w:val="0"/>
              <w:autoSpaceDE w:val="0"/>
              <w:autoSpaceDN w:val="0"/>
              <w:bidi w:val="0"/>
              <w:adjustRightInd/>
              <w:snapToGrid/>
              <w:spacing w:line="240" w:lineRule="auto"/>
              <w:ind w:left="0" w:leftChars="0"/>
              <w:textAlignment w:val="baseline"/>
              <w:rPr>
                <w:rFonts w:hint="eastAsia" w:ascii="仿宋" w:hAnsi="仿宋" w:eastAsia="仿宋" w:cs="仿宋"/>
                <w:sz w:val="24"/>
                <w:szCs w:val="24"/>
              </w:rPr>
            </w:pPr>
            <w:r>
              <w:rPr>
                <w:rFonts w:hint="eastAsia" w:ascii="仿宋" w:hAnsi="仿宋" w:eastAsia="仿宋" w:cs="仿宋"/>
                <w:sz w:val="24"/>
                <w:szCs w:val="24"/>
              </w:rPr>
              <w:t>税号：</w:t>
            </w:r>
          </w:p>
        </w:tc>
      </w:tr>
    </w:tbl>
    <w:p w14:paraId="3C6E426B">
      <w:pPr>
        <w:shd w:val="clear" w:color="auto" w:fill="FFFFFF"/>
        <w:adjustRightInd w:val="0"/>
        <w:snapToGrid w:val="0"/>
        <w:spacing w:line="240" w:lineRule="auto"/>
        <w:rPr>
          <w:rFonts w:ascii="仿宋" w:hAnsi="仿宋" w:eastAsia="仿宋"/>
          <w:sz w:val="24"/>
          <w:szCs w:val="24"/>
        </w:rPr>
      </w:pPr>
    </w:p>
    <w:p w14:paraId="07617F81">
      <w:pPr>
        <w:keepNext w:val="0"/>
        <w:keepLines w:val="0"/>
        <w:pageBreakBefore w:val="0"/>
        <w:wordWrap/>
        <w:overflowPunct/>
        <w:topLinePunct w:val="0"/>
        <w:autoSpaceDE w:val="0"/>
        <w:autoSpaceDN w:val="0"/>
        <w:bidi w:val="0"/>
        <w:adjustRightInd w:val="0"/>
        <w:spacing w:line="300" w:lineRule="auto"/>
        <w:rPr>
          <w:rFonts w:hint="eastAsia" w:ascii="宋体" w:hAnsi="宋体" w:eastAsia="宋体" w:cs="宋体"/>
        </w:rPr>
      </w:pPr>
    </w:p>
    <w:sectPr>
      <w:pgSz w:w="11905" w:h="16838"/>
      <w:pgMar w:top="1440" w:right="1080" w:bottom="1440" w:left="1080" w:header="851" w:footer="1020" w:gutter="0"/>
      <w:pgBorders>
        <w:top w:val="none" w:sz="0" w:space="0"/>
        <w:left w:val="none" w:sz="0" w:space="0"/>
        <w:bottom w:val="none" w:sz="0" w:space="0"/>
        <w:right w:val="none" w:sz="0" w:space="0"/>
      </w:pgBorders>
      <w:pgNumType w:fmt="decimal"/>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仿宋">
    <w:altName w:val="宋体"/>
    <w:panose1 w:val="00000000000000000000"/>
    <w:charset w:val="86"/>
    <w:family w:val="roman"/>
    <w:pitch w:val="default"/>
    <w:sig w:usb0="00000000" w:usb1="00000000" w:usb2="00000000" w:usb3="00000000" w:csb0="00040001" w:csb1="00000000"/>
  </w:font>
  <w:font w:name="宋体;SimSun">
    <w:altName w:val="宋体"/>
    <w:panose1 w:val="00000000000000000000"/>
    <w:charset w:val="86"/>
    <w:family w:val="roman"/>
    <w:pitch w:val="default"/>
    <w:sig w:usb0="00000000" w:usb1="00000000" w:usb2="00000000" w:usb3="00000000" w:csb0="00040001"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5ACEC">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0DB145">
                          <w:pPr>
                            <w:pStyle w:val="10"/>
                          </w:pPr>
                          <w:r>
                            <w:t>第</w:t>
                          </w:r>
                          <w:r>
                            <w:fldChar w:fldCharType="begin"/>
                          </w:r>
                          <w:r>
                            <w:instrText xml:space="preserve"> PAGE  \* MERGEFORMAT </w:instrText>
                          </w:r>
                          <w:r>
                            <w:fldChar w:fldCharType="separate"/>
                          </w:r>
                          <w:r>
                            <w:t>1</w:t>
                          </w:r>
                          <w:r>
                            <w:fldChar w:fldCharType="end"/>
                          </w:r>
                          <w:r>
                            <w:t>页共</w:t>
                          </w:r>
                          <w:r>
                            <w:fldChar w:fldCharType="begin"/>
                          </w:r>
                          <w:r>
                            <w:instrText xml:space="preserve"> NUMPAGES  \* MERGEFORMAT </w:instrText>
                          </w:r>
                          <w:r>
                            <w:fldChar w:fldCharType="separate"/>
                          </w:r>
                          <w:r>
                            <w:t>15</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80DB145">
                    <w:pPr>
                      <w:pStyle w:val="10"/>
                    </w:pPr>
                    <w:r>
                      <w:t>第</w:t>
                    </w:r>
                    <w:r>
                      <w:fldChar w:fldCharType="begin"/>
                    </w:r>
                    <w:r>
                      <w:instrText xml:space="preserve"> PAGE  \* MERGEFORMAT </w:instrText>
                    </w:r>
                    <w:r>
                      <w:fldChar w:fldCharType="separate"/>
                    </w:r>
                    <w:r>
                      <w:t>1</w:t>
                    </w:r>
                    <w:r>
                      <w:fldChar w:fldCharType="end"/>
                    </w:r>
                    <w:r>
                      <w:t>页共</w:t>
                    </w:r>
                    <w:r>
                      <w:fldChar w:fldCharType="begin"/>
                    </w:r>
                    <w:r>
                      <w:instrText xml:space="preserve"> NUMPAGES  \* MERGEFORMAT </w:instrText>
                    </w:r>
                    <w:r>
                      <w:fldChar w:fldCharType="separate"/>
                    </w:r>
                    <w:r>
                      <w:t>15</w:t>
                    </w:r>
                    <w:r>
                      <w:fldChar w:fldCharType="end"/>
                    </w:r>
                    <w: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426D0">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327AE1">
                          <w:pPr>
                            <w:pStyle w:val="10"/>
                          </w:pPr>
                          <w:r>
                            <w:t>第</w:t>
                          </w:r>
                          <w:r>
                            <w:fldChar w:fldCharType="begin"/>
                          </w:r>
                          <w:r>
                            <w:instrText xml:space="preserve"> PAGE  \* MERGEFORMAT </w:instrText>
                          </w:r>
                          <w:r>
                            <w:fldChar w:fldCharType="separate"/>
                          </w:r>
                          <w:r>
                            <w:t>2</w:t>
                          </w:r>
                          <w:r>
                            <w:fldChar w:fldCharType="end"/>
                          </w:r>
                          <w:r>
                            <w:t>页共</w:t>
                          </w:r>
                          <w:r>
                            <w:fldChar w:fldCharType="begin"/>
                          </w:r>
                          <w:r>
                            <w:instrText xml:space="preserve"> NUMPAGES  \* MERGEFORMAT </w:instrText>
                          </w:r>
                          <w:r>
                            <w:fldChar w:fldCharType="separate"/>
                          </w:r>
                          <w:r>
                            <w:t>15</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9327AE1">
                    <w:pPr>
                      <w:pStyle w:val="10"/>
                    </w:pPr>
                    <w:r>
                      <w:t>第</w:t>
                    </w:r>
                    <w:r>
                      <w:fldChar w:fldCharType="begin"/>
                    </w:r>
                    <w:r>
                      <w:instrText xml:space="preserve"> PAGE  \* MERGEFORMAT </w:instrText>
                    </w:r>
                    <w:r>
                      <w:fldChar w:fldCharType="separate"/>
                    </w:r>
                    <w:r>
                      <w:t>2</w:t>
                    </w:r>
                    <w:r>
                      <w:fldChar w:fldCharType="end"/>
                    </w:r>
                    <w:r>
                      <w:t>页共</w:t>
                    </w:r>
                    <w:r>
                      <w:fldChar w:fldCharType="begin"/>
                    </w:r>
                    <w:r>
                      <w:instrText xml:space="preserve"> NUMPAGES  \* MERGEFORMAT </w:instrText>
                    </w:r>
                    <w:r>
                      <w:fldChar w:fldCharType="separate"/>
                    </w:r>
                    <w:r>
                      <w:t>15</w:t>
                    </w:r>
                    <w:r>
                      <w:fldChar w:fldCharType="end"/>
                    </w:r>
                    <w:r>
                      <w:t>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6FC34">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19CF2C">
                          <w:pPr>
                            <w:pStyle w:val="10"/>
                          </w:pPr>
                          <w:r>
                            <w:t>第</w:t>
                          </w:r>
                          <w:r>
                            <w:fldChar w:fldCharType="begin"/>
                          </w:r>
                          <w:r>
                            <w:instrText xml:space="preserve"> PAGE  \* MERGEFORMAT </w:instrText>
                          </w:r>
                          <w:r>
                            <w:fldChar w:fldCharType="separate"/>
                          </w:r>
                          <w:r>
                            <w:t>10</w:t>
                          </w:r>
                          <w:r>
                            <w:fldChar w:fldCharType="end"/>
                          </w:r>
                          <w:r>
                            <w:t>页共</w:t>
                          </w:r>
                          <w:r>
                            <w:fldChar w:fldCharType="begin"/>
                          </w:r>
                          <w:r>
                            <w:instrText xml:space="preserve"> NUMPAGES  \* MERGEFORMAT </w:instrText>
                          </w:r>
                          <w:r>
                            <w:fldChar w:fldCharType="separate"/>
                          </w:r>
                          <w:r>
                            <w:t>15</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119CF2C">
                    <w:pPr>
                      <w:pStyle w:val="10"/>
                    </w:pPr>
                    <w:r>
                      <w:t>第</w:t>
                    </w:r>
                    <w:r>
                      <w:fldChar w:fldCharType="begin"/>
                    </w:r>
                    <w:r>
                      <w:instrText xml:space="preserve"> PAGE  \* MERGEFORMAT </w:instrText>
                    </w:r>
                    <w:r>
                      <w:fldChar w:fldCharType="separate"/>
                    </w:r>
                    <w:r>
                      <w:t>10</w:t>
                    </w:r>
                    <w:r>
                      <w:fldChar w:fldCharType="end"/>
                    </w:r>
                    <w:r>
                      <w:t>页共</w:t>
                    </w:r>
                    <w:r>
                      <w:fldChar w:fldCharType="begin"/>
                    </w:r>
                    <w:r>
                      <w:instrText xml:space="preserve"> NUMPAGES  \* MERGEFORMAT </w:instrText>
                    </w:r>
                    <w:r>
                      <w:fldChar w:fldCharType="separate"/>
                    </w:r>
                    <w:r>
                      <w:t>15</w:t>
                    </w:r>
                    <w:r>
                      <w:fldChar w:fldCharType="end"/>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1A79">
    <w:pPr>
      <w:spacing w:before="224" w:line="185"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drawing>
        <wp:inline distT="0" distB="0" distL="114300" distR="114300">
          <wp:extent cx="5789930" cy="671830"/>
          <wp:effectExtent l="0" t="0" r="1270" b="13970"/>
          <wp:docPr id="2" name="图片 2" descr="海西常用LOGO=中英文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海西常用LOGO=中英文版"/>
                  <pic:cNvPicPr>
                    <a:picLocks noChangeAspect="1"/>
                  </pic:cNvPicPr>
                </pic:nvPicPr>
                <pic:blipFill>
                  <a:blip r:embed="rId1"/>
                  <a:stretch>
                    <a:fillRect/>
                  </a:stretch>
                </pic:blipFill>
                <pic:spPr>
                  <a:xfrm>
                    <a:off x="0" y="0"/>
                    <a:ext cx="5789930" cy="67183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8D194">
    <w:pPr>
      <w:spacing w:before="224" w:line="185"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drawing>
        <wp:inline distT="0" distB="0" distL="114300" distR="114300">
          <wp:extent cx="5826760" cy="675640"/>
          <wp:effectExtent l="0" t="0" r="10160" b="10160"/>
          <wp:docPr id="1" name="图片 1" descr="海西常用LOGO=中英文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海西常用LOGO=中英文版"/>
                  <pic:cNvPicPr>
                    <a:picLocks noChangeAspect="1"/>
                  </pic:cNvPicPr>
                </pic:nvPicPr>
                <pic:blipFill>
                  <a:blip r:embed="rId1"/>
                  <a:stretch>
                    <a:fillRect/>
                  </a:stretch>
                </pic:blipFill>
                <pic:spPr>
                  <a:xfrm>
                    <a:off x="0" y="0"/>
                    <a:ext cx="5826760" cy="67564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F0874">
    <w:pPr>
      <w:spacing w:before="224" w:line="185"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drawing>
        <wp:inline distT="0" distB="0" distL="114300" distR="114300">
          <wp:extent cx="6183630" cy="717550"/>
          <wp:effectExtent l="0" t="0" r="3810" b="13970"/>
          <wp:docPr id="3" name="图片 3" descr="海西常用LOGO=中英文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海西常用LOGO=中英文版"/>
                  <pic:cNvPicPr>
                    <a:picLocks noChangeAspect="1"/>
                  </pic:cNvPicPr>
                </pic:nvPicPr>
                <pic:blipFill>
                  <a:blip r:embed="rId1"/>
                  <a:stretch>
                    <a:fillRect/>
                  </a:stretch>
                </pic:blipFill>
                <pic:spPr>
                  <a:xfrm>
                    <a:off x="0" y="0"/>
                    <a:ext cx="6183630" cy="71755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3F7D25"/>
    <w:multiLevelType w:val="multilevel"/>
    <w:tmpl w:val="1B3F7D2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9204AB2"/>
    <w:multiLevelType w:val="multilevel"/>
    <w:tmpl w:val="39204AB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F8643EB"/>
    <w:multiLevelType w:val="multilevel"/>
    <w:tmpl w:val="3F8643E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3676FDE"/>
    <w:multiLevelType w:val="multilevel"/>
    <w:tmpl w:val="53676FD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55847FE"/>
    <w:multiLevelType w:val="multilevel"/>
    <w:tmpl w:val="555847F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D1F4886"/>
    <w:multiLevelType w:val="singleLevel"/>
    <w:tmpl w:val="6D1F4886"/>
    <w:lvl w:ilvl="0" w:tentative="0">
      <w:start w:val="1"/>
      <w:numFmt w:val="bullet"/>
      <w:lvlText w:val=""/>
      <w:lvlJc w:val="left"/>
      <w:pPr>
        <w:ind w:left="420" w:hanging="420"/>
      </w:pPr>
      <w:rPr>
        <w:rFonts w:hint="default" w:ascii="Wingdings" w:hAnsi="Wingdings"/>
      </w:rPr>
    </w:lvl>
  </w:abstractNum>
  <w:abstractNum w:abstractNumId="6">
    <w:nsid w:val="7370642E"/>
    <w:multiLevelType w:val="multilevel"/>
    <w:tmpl w:val="7370642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C3A1781"/>
    <w:multiLevelType w:val="multilevel"/>
    <w:tmpl w:val="7C3A178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5"/>
  </w:num>
  <w:num w:numId="4">
    <w:abstractNumId w:val="2"/>
  </w:num>
  <w:num w:numId="5">
    <w:abstractNumId w:val="4"/>
  </w:num>
  <w:num w:numId="6">
    <w:abstractNumId w:val="6"/>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NiNGI2MzhjZDk2YTMxYzBkZDI0OTRmYTEyZDAyYjMifQ=="/>
  </w:docVars>
  <w:rsids>
    <w:rsidRoot w:val="78EE6CAC"/>
    <w:rsid w:val="000243C9"/>
    <w:rsid w:val="000E6220"/>
    <w:rsid w:val="00130750"/>
    <w:rsid w:val="00177563"/>
    <w:rsid w:val="0017764E"/>
    <w:rsid w:val="0019086B"/>
    <w:rsid w:val="001A28DA"/>
    <w:rsid w:val="00241B37"/>
    <w:rsid w:val="002A64B2"/>
    <w:rsid w:val="00303A41"/>
    <w:rsid w:val="003360EA"/>
    <w:rsid w:val="003362E1"/>
    <w:rsid w:val="0034421A"/>
    <w:rsid w:val="00360C78"/>
    <w:rsid w:val="004269BE"/>
    <w:rsid w:val="004574D5"/>
    <w:rsid w:val="004B1EE3"/>
    <w:rsid w:val="004D40C6"/>
    <w:rsid w:val="00526E07"/>
    <w:rsid w:val="00565001"/>
    <w:rsid w:val="00732474"/>
    <w:rsid w:val="00740B87"/>
    <w:rsid w:val="00753CE8"/>
    <w:rsid w:val="007B144B"/>
    <w:rsid w:val="007B7E52"/>
    <w:rsid w:val="007F7F34"/>
    <w:rsid w:val="00801FF0"/>
    <w:rsid w:val="00850FBC"/>
    <w:rsid w:val="0086421B"/>
    <w:rsid w:val="0087144D"/>
    <w:rsid w:val="00927037"/>
    <w:rsid w:val="00927DAB"/>
    <w:rsid w:val="00940DEE"/>
    <w:rsid w:val="00972536"/>
    <w:rsid w:val="009E110A"/>
    <w:rsid w:val="009E7ADB"/>
    <w:rsid w:val="00A04F46"/>
    <w:rsid w:val="00A22BB1"/>
    <w:rsid w:val="00A561A6"/>
    <w:rsid w:val="00A6000F"/>
    <w:rsid w:val="00A613B3"/>
    <w:rsid w:val="00AB679A"/>
    <w:rsid w:val="00B26138"/>
    <w:rsid w:val="00B31813"/>
    <w:rsid w:val="00BB4E4C"/>
    <w:rsid w:val="00BB4FD3"/>
    <w:rsid w:val="00BD1563"/>
    <w:rsid w:val="00CF3790"/>
    <w:rsid w:val="00CF4E62"/>
    <w:rsid w:val="00D0289F"/>
    <w:rsid w:val="00D02D28"/>
    <w:rsid w:val="00D23398"/>
    <w:rsid w:val="00D331CD"/>
    <w:rsid w:val="00D80CD9"/>
    <w:rsid w:val="00DC42AF"/>
    <w:rsid w:val="00E952F6"/>
    <w:rsid w:val="00E97194"/>
    <w:rsid w:val="00F02DC0"/>
    <w:rsid w:val="00F055FE"/>
    <w:rsid w:val="00F0694F"/>
    <w:rsid w:val="00F84343"/>
    <w:rsid w:val="00F90427"/>
    <w:rsid w:val="00F90A9E"/>
    <w:rsid w:val="00F96AA0"/>
    <w:rsid w:val="00FA1312"/>
    <w:rsid w:val="00FB596A"/>
    <w:rsid w:val="00FF02E1"/>
    <w:rsid w:val="00FF0855"/>
    <w:rsid w:val="00FF35BD"/>
    <w:rsid w:val="01DE5DA6"/>
    <w:rsid w:val="031A62F1"/>
    <w:rsid w:val="063D2047"/>
    <w:rsid w:val="06555C4C"/>
    <w:rsid w:val="06BF6017"/>
    <w:rsid w:val="06DF3FC3"/>
    <w:rsid w:val="082216E1"/>
    <w:rsid w:val="087052F4"/>
    <w:rsid w:val="08E31B8A"/>
    <w:rsid w:val="09CD44CE"/>
    <w:rsid w:val="09D04BEB"/>
    <w:rsid w:val="0B3D3052"/>
    <w:rsid w:val="0BD75BB1"/>
    <w:rsid w:val="0C97306B"/>
    <w:rsid w:val="0C9E047D"/>
    <w:rsid w:val="0D3C1DC3"/>
    <w:rsid w:val="0D6016F8"/>
    <w:rsid w:val="0E0137ED"/>
    <w:rsid w:val="0F184516"/>
    <w:rsid w:val="0F250043"/>
    <w:rsid w:val="0F66217A"/>
    <w:rsid w:val="10F82212"/>
    <w:rsid w:val="12E6250F"/>
    <w:rsid w:val="13C95DDF"/>
    <w:rsid w:val="13DD4624"/>
    <w:rsid w:val="143516C6"/>
    <w:rsid w:val="1441006B"/>
    <w:rsid w:val="144D10FA"/>
    <w:rsid w:val="14B608C1"/>
    <w:rsid w:val="15142E72"/>
    <w:rsid w:val="15BE749A"/>
    <w:rsid w:val="187A6CED"/>
    <w:rsid w:val="19416EE3"/>
    <w:rsid w:val="19E54C84"/>
    <w:rsid w:val="1A2B2E16"/>
    <w:rsid w:val="1A584361"/>
    <w:rsid w:val="1CA53035"/>
    <w:rsid w:val="1CB72E06"/>
    <w:rsid w:val="1CF21C06"/>
    <w:rsid w:val="1D406077"/>
    <w:rsid w:val="1F9B0ADF"/>
    <w:rsid w:val="1F9C44B8"/>
    <w:rsid w:val="1FC00470"/>
    <w:rsid w:val="213B2D65"/>
    <w:rsid w:val="21B93A0F"/>
    <w:rsid w:val="21B97B04"/>
    <w:rsid w:val="22161631"/>
    <w:rsid w:val="22345F2D"/>
    <w:rsid w:val="223760ED"/>
    <w:rsid w:val="229A5157"/>
    <w:rsid w:val="22F1792F"/>
    <w:rsid w:val="23C06ACA"/>
    <w:rsid w:val="23C16AD3"/>
    <w:rsid w:val="23DF21DE"/>
    <w:rsid w:val="24087AE2"/>
    <w:rsid w:val="25AA61E8"/>
    <w:rsid w:val="27906EE4"/>
    <w:rsid w:val="27982C85"/>
    <w:rsid w:val="28413868"/>
    <w:rsid w:val="28845678"/>
    <w:rsid w:val="28872C4F"/>
    <w:rsid w:val="28AB7D51"/>
    <w:rsid w:val="29156767"/>
    <w:rsid w:val="29BA649E"/>
    <w:rsid w:val="29DE5491"/>
    <w:rsid w:val="2A071D31"/>
    <w:rsid w:val="2A267F2C"/>
    <w:rsid w:val="2C01798C"/>
    <w:rsid w:val="2C4404C1"/>
    <w:rsid w:val="2C7C594D"/>
    <w:rsid w:val="2CD14227"/>
    <w:rsid w:val="2EA636D0"/>
    <w:rsid w:val="2F8512FC"/>
    <w:rsid w:val="302A1EA4"/>
    <w:rsid w:val="30943860"/>
    <w:rsid w:val="374B4BD9"/>
    <w:rsid w:val="38557A9F"/>
    <w:rsid w:val="38970585"/>
    <w:rsid w:val="3A4A73CA"/>
    <w:rsid w:val="3C440F6E"/>
    <w:rsid w:val="3DCC7449"/>
    <w:rsid w:val="3DE83A67"/>
    <w:rsid w:val="42BD2F8E"/>
    <w:rsid w:val="435B1499"/>
    <w:rsid w:val="440A6827"/>
    <w:rsid w:val="45976840"/>
    <w:rsid w:val="47100713"/>
    <w:rsid w:val="474C1085"/>
    <w:rsid w:val="474C1DDB"/>
    <w:rsid w:val="47CF038E"/>
    <w:rsid w:val="48B325A9"/>
    <w:rsid w:val="49203109"/>
    <w:rsid w:val="4A7A55DF"/>
    <w:rsid w:val="4ABB39CC"/>
    <w:rsid w:val="4B5E45B8"/>
    <w:rsid w:val="4BF71DFE"/>
    <w:rsid w:val="4C0E5B77"/>
    <w:rsid w:val="4C25253E"/>
    <w:rsid w:val="4CF0110C"/>
    <w:rsid w:val="4D5452E5"/>
    <w:rsid w:val="4DC57782"/>
    <w:rsid w:val="4DF810AC"/>
    <w:rsid w:val="4E772300"/>
    <w:rsid w:val="4FC652ED"/>
    <w:rsid w:val="4FF456D9"/>
    <w:rsid w:val="50054BB6"/>
    <w:rsid w:val="500951DA"/>
    <w:rsid w:val="50390222"/>
    <w:rsid w:val="53DA53DB"/>
    <w:rsid w:val="543A1E06"/>
    <w:rsid w:val="55CA11C1"/>
    <w:rsid w:val="5621082A"/>
    <w:rsid w:val="56625644"/>
    <w:rsid w:val="56B90D23"/>
    <w:rsid w:val="58324C4B"/>
    <w:rsid w:val="589F2DDF"/>
    <w:rsid w:val="5A13454B"/>
    <w:rsid w:val="5D2574A1"/>
    <w:rsid w:val="5D294756"/>
    <w:rsid w:val="5DC2080A"/>
    <w:rsid w:val="5F6B1E45"/>
    <w:rsid w:val="5FC078B7"/>
    <w:rsid w:val="5FC357B3"/>
    <w:rsid w:val="62951F99"/>
    <w:rsid w:val="64032E7A"/>
    <w:rsid w:val="646451EA"/>
    <w:rsid w:val="65B23EF2"/>
    <w:rsid w:val="65D57105"/>
    <w:rsid w:val="67FF3F88"/>
    <w:rsid w:val="6905258B"/>
    <w:rsid w:val="696A45A4"/>
    <w:rsid w:val="69AB353C"/>
    <w:rsid w:val="69DF74C2"/>
    <w:rsid w:val="6A6D4009"/>
    <w:rsid w:val="6B9F29DB"/>
    <w:rsid w:val="6C242CBC"/>
    <w:rsid w:val="6C2947E2"/>
    <w:rsid w:val="6C4A4810"/>
    <w:rsid w:val="6CAD0BB5"/>
    <w:rsid w:val="6D9B34BE"/>
    <w:rsid w:val="6DD6696E"/>
    <w:rsid w:val="6E6B7E58"/>
    <w:rsid w:val="70DE50A1"/>
    <w:rsid w:val="70E231B1"/>
    <w:rsid w:val="714F5BD7"/>
    <w:rsid w:val="72A44989"/>
    <w:rsid w:val="72C92B1D"/>
    <w:rsid w:val="72D07765"/>
    <w:rsid w:val="73830C7C"/>
    <w:rsid w:val="738642C8"/>
    <w:rsid w:val="73DA76D3"/>
    <w:rsid w:val="7435205E"/>
    <w:rsid w:val="750A0CFF"/>
    <w:rsid w:val="77687477"/>
    <w:rsid w:val="778D3071"/>
    <w:rsid w:val="77BA6C36"/>
    <w:rsid w:val="78E77DBC"/>
    <w:rsid w:val="78EE6CAC"/>
    <w:rsid w:val="796E7CD8"/>
    <w:rsid w:val="79D42231"/>
    <w:rsid w:val="79F214BE"/>
    <w:rsid w:val="7A7953A0"/>
    <w:rsid w:val="7AED01B2"/>
    <w:rsid w:val="7B2C1BF9"/>
    <w:rsid w:val="7C603C27"/>
    <w:rsid w:val="7D691CDB"/>
    <w:rsid w:val="7D7D6E7C"/>
    <w:rsid w:val="7EBD3628"/>
    <w:rsid w:val="7F030EC6"/>
    <w:rsid w:val="7FB328E9"/>
    <w:rsid w:val="7FD142C1"/>
    <w:rsid w:val="7FFE3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1"/>
    <w:basedOn w:val="1"/>
    <w:next w:val="1"/>
    <w:link w:val="29"/>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9"/>
    <w:pPr>
      <w:keepNext/>
      <w:spacing w:line="240" w:lineRule="auto"/>
      <w:ind w:firstLine="0" w:firstLineChars="0"/>
      <w:outlineLvl w:val="1"/>
    </w:pPr>
    <w:rPr>
      <w:rFonts w:cstheme="majorBidi"/>
      <w:b/>
      <w:bCs/>
      <w:color w:val="000000" w:themeColor="text1"/>
      <w:sz w:val="28"/>
      <w:szCs w:val="32"/>
      <w14:textFill>
        <w14:solidFill>
          <w14:schemeClr w14:val="tx1"/>
        </w14:solidFill>
      </w14:textFill>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26"/>
    <w:autoRedefine/>
    <w:qFormat/>
    <w:uiPriority w:val="0"/>
  </w:style>
  <w:style w:type="paragraph" w:styleId="5">
    <w:name w:val="Salutation"/>
    <w:basedOn w:val="1"/>
    <w:next w:val="1"/>
    <w:qFormat/>
    <w:uiPriority w:val="0"/>
    <w:rPr>
      <w:rFonts w:ascii="仿宋_GB2312;仿宋" w:hAnsi="仿宋_GB2312;仿宋" w:eastAsia="仿宋_GB2312;仿宋" w:cs="宋体;SimSun"/>
      <w:sz w:val="24"/>
      <w:lang w:val="zh-CN"/>
    </w:rPr>
  </w:style>
  <w:style w:type="paragraph" w:styleId="6">
    <w:name w:val="Body Text"/>
    <w:basedOn w:val="1"/>
    <w:autoRedefine/>
    <w:qFormat/>
    <w:uiPriority w:val="1"/>
    <w:rPr>
      <w:rFonts w:ascii="宋体" w:hAnsi="宋体" w:eastAsia="宋体" w:cs="宋体"/>
      <w:sz w:val="24"/>
      <w:szCs w:val="24"/>
      <w:lang w:val="zh-CN" w:bidi="zh-CN"/>
    </w:rPr>
  </w:style>
  <w:style w:type="paragraph" w:styleId="7">
    <w:name w:val="Body Text Indent"/>
    <w:basedOn w:val="1"/>
    <w:autoRedefine/>
    <w:qFormat/>
    <w:uiPriority w:val="0"/>
    <w:pPr>
      <w:spacing w:after="120"/>
      <w:ind w:left="420" w:leftChars="200"/>
    </w:pPr>
  </w:style>
  <w:style w:type="paragraph" w:styleId="8">
    <w:name w:val="toc 3"/>
    <w:basedOn w:val="1"/>
    <w:next w:val="1"/>
    <w:autoRedefine/>
    <w:qFormat/>
    <w:uiPriority w:val="39"/>
    <w:pPr>
      <w:ind w:left="840" w:leftChars="400"/>
    </w:pPr>
  </w:style>
  <w:style w:type="paragraph" w:styleId="9">
    <w:name w:val="Body Text Indent 2"/>
    <w:basedOn w:val="1"/>
    <w:qFormat/>
    <w:uiPriority w:val="0"/>
    <w:pPr>
      <w:spacing w:after="120" w:line="480" w:lineRule="auto"/>
      <w:ind w:left="420" w:leftChars="200"/>
    </w:pPr>
  </w:style>
  <w:style w:type="paragraph" w:styleId="10">
    <w:name w:val="footer"/>
    <w:basedOn w:val="1"/>
    <w:autoRedefine/>
    <w:qFormat/>
    <w:uiPriority w:val="0"/>
    <w:pPr>
      <w:tabs>
        <w:tab w:val="center" w:pos="4153"/>
        <w:tab w:val="right" w:pos="8306"/>
      </w:tabs>
    </w:pPr>
    <w:rPr>
      <w:sz w:val="18"/>
    </w:rPr>
  </w:style>
  <w:style w:type="paragraph" w:styleId="11">
    <w:name w:val="header"/>
    <w:basedOn w:val="1"/>
    <w:link w:val="31"/>
    <w:autoRedefine/>
    <w:qFormat/>
    <w:uiPriority w:val="0"/>
    <w:pPr>
      <w:pBdr>
        <w:bottom w:val="single" w:color="auto" w:sz="6" w:space="1"/>
      </w:pBdr>
      <w:tabs>
        <w:tab w:val="center" w:pos="4153"/>
        <w:tab w:val="right" w:pos="8306"/>
      </w:tabs>
      <w:jc w:val="center"/>
    </w:pPr>
    <w:rPr>
      <w:sz w:val="18"/>
      <w:szCs w:val="18"/>
    </w:rPr>
  </w:style>
  <w:style w:type="paragraph" w:styleId="12">
    <w:name w:val="toc 1"/>
    <w:basedOn w:val="1"/>
    <w:next w:val="1"/>
    <w:autoRedefine/>
    <w:qFormat/>
    <w:uiPriority w:val="39"/>
  </w:style>
  <w:style w:type="paragraph" w:styleId="13">
    <w:name w:val="toc 2"/>
    <w:basedOn w:val="1"/>
    <w:next w:val="1"/>
    <w:autoRedefine/>
    <w:unhideWhenUsed/>
    <w:qFormat/>
    <w:uiPriority w:val="39"/>
    <w:pPr>
      <w:kinsoku/>
      <w:autoSpaceDE/>
      <w:autoSpaceDN/>
      <w:adjustRightInd/>
      <w:snapToGrid/>
      <w:spacing w:after="100" w:line="259" w:lineRule="auto"/>
      <w:ind w:left="220"/>
      <w:textAlignment w:val="auto"/>
    </w:pPr>
    <w:rPr>
      <w:rFonts w:cs="Times New Roman" w:asciiTheme="minorHAnsi" w:hAnsiTheme="minorHAnsi" w:eastAsiaTheme="minorEastAsia"/>
      <w:snapToGrid/>
      <w:color w:val="auto"/>
      <w:sz w:val="22"/>
      <w:szCs w:val="22"/>
    </w:rPr>
  </w:style>
  <w:style w:type="paragraph" w:styleId="14">
    <w:name w:val="annotation subject"/>
    <w:basedOn w:val="4"/>
    <w:next w:val="4"/>
    <w:link w:val="27"/>
    <w:autoRedefine/>
    <w:qFormat/>
    <w:uiPriority w:val="0"/>
    <w:rPr>
      <w:b/>
      <w:bCs/>
    </w:rPr>
  </w:style>
  <w:style w:type="paragraph" w:styleId="15">
    <w:name w:val="Body Text First Indent 2"/>
    <w:basedOn w:val="7"/>
    <w:autoRedefine/>
    <w:qFormat/>
    <w:uiPriority w:val="0"/>
    <w:pPr>
      <w:ind w:firstLine="420" w:firstLineChars="200"/>
    </w:pPr>
  </w:style>
  <w:style w:type="table" w:styleId="17">
    <w:name w:val="Table Grid"/>
    <w:basedOn w:val="1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autoRedefine/>
    <w:qFormat/>
    <w:uiPriority w:val="22"/>
    <w:rPr>
      <w:b/>
      <w:bCs/>
    </w:rPr>
  </w:style>
  <w:style w:type="character" w:styleId="20">
    <w:name w:val="Hyperlink"/>
    <w:basedOn w:val="18"/>
    <w:autoRedefine/>
    <w:unhideWhenUsed/>
    <w:qFormat/>
    <w:uiPriority w:val="99"/>
    <w:rPr>
      <w:color w:val="0563C1" w:themeColor="hyperlink"/>
      <w:u w:val="single"/>
      <w14:textFill>
        <w14:solidFill>
          <w14:schemeClr w14:val="hlink"/>
        </w14:solidFill>
      </w14:textFill>
    </w:rPr>
  </w:style>
  <w:style w:type="character" w:styleId="21">
    <w:name w:val="annotation reference"/>
    <w:basedOn w:val="18"/>
    <w:autoRedefine/>
    <w:qFormat/>
    <w:uiPriority w:val="0"/>
    <w:rPr>
      <w:sz w:val="21"/>
      <w:szCs w:val="21"/>
    </w:rPr>
  </w:style>
  <w:style w:type="table" w:customStyle="1" w:styleId="22">
    <w:name w:val="Table Normal"/>
    <w:autoRedefine/>
    <w:semiHidden/>
    <w:unhideWhenUsed/>
    <w:qFormat/>
    <w:uiPriority w:val="0"/>
    <w:tblPr>
      <w:tblCellMar>
        <w:top w:w="0" w:type="dxa"/>
        <w:left w:w="0" w:type="dxa"/>
        <w:bottom w:w="0" w:type="dxa"/>
        <w:right w:w="0" w:type="dxa"/>
      </w:tblCellMar>
    </w:tblPr>
  </w:style>
  <w:style w:type="character" w:customStyle="1" w:styleId="23">
    <w:name w:val="font01"/>
    <w:basedOn w:val="18"/>
    <w:autoRedefine/>
    <w:qFormat/>
    <w:uiPriority w:val="0"/>
    <w:rPr>
      <w:rFonts w:hint="eastAsia" w:ascii="宋体" w:hAnsi="宋体" w:eastAsia="宋体" w:cs="宋体"/>
      <w:color w:val="000000"/>
      <w:sz w:val="24"/>
      <w:szCs w:val="24"/>
      <w:u w:val="none"/>
      <w:vertAlign w:val="superscript"/>
    </w:rPr>
  </w:style>
  <w:style w:type="paragraph" w:customStyle="1" w:styleId="24">
    <w:name w:val="报告正文"/>
    <w:basedOn w:val="1"/>
    <w:autoRedefine/>
    <w:qFormat/>
    <w:uiPriority w:val="99"/>
    <w:pPr>
      <w:spacing w:line="360" w:lineRule="auto"/>
      <w:ind w:firstLine="560" w:firstLineChars="200"/>
    </w:pPr>
    <w:rPr>
      <w:sz w:val="28"/>
      <w:szCs w:val="28"/>
    </w:rPr>
  </w:style>
  <w:style w:type="paragraph" w:customStyle="1" w:styleId="25">
    <w:name w:val="WPSOffice手动目录 1"/>
    <w:autoRedefine/>
    <w:qFormat/>
    <w:uiPriority w:val="0"/>
    <w:rPr>
      <w:rFonts w:ascii="Times New Roman" w:hAnsi="Times New Roman" w:eastAsia="宋体" w:cs="Times New Roman"/>
      <w:lang w:val="en-US" w:eastAsia="zh-CN" w:bidi="ar-SA"/>
    </w:rPr>
  </w:style>
  <w:style w:type="character" w:customStyle="1" w:styleId="26">
    <w:name w:val="批注文字 字符"/>
    <w:basedOn w:val="18"/>
    <w:link w:val="4"/>
    <w:autoRedefine/>
    <w:qFormat/>
    <w:uiPriority w:val="0"/>
    <w:rPr>
      <w:rFonts w:ascii="Arial" w:hAnsi="Arial" w:eastAsia="Arial" w:cs="Arial"/>
      <w:snapToGrid w:val="0"/>
      <w:color w:val="000000"/>
      <w:sz w:val="21"/>
      <w:szCs w:val="21"/>
    </w:rPr>
  </w:style>
  <w:style w:type="character" w:customStyle="1" w:styleId="27">
    <w:name w:val="批注主题 字符"/>
    <w:basedOn w:val="26"/>
    <w:link w:val="14"/>
    <w:autoRedefine/>
    <w:qFormat/>
    <w:uiPriority w:val="0"/>
    <w:rPr>
      <w:rFonts w:ascii="Arial" w:hAnsi="Arial" w:eastAsia="Arial" w:cs="Arial"/>
      <w:b/>
      <w:bCs/>
      <w:snapToGrid w:val="0"/>
      <w:color w:val="000000"/>
      <w:sz w:val="21"/>
      <w:szCs w:val="21"/>
    </w:rPr>
  </w:style>
  <w:style w:type="paragraph" w:styleId="28">
    <w:name w:val="List Paragraph"/>
    <w:basedOn w:val="1"/>
    <w:autoRedefine/>
    <w:qFormat/>
    <w:uiPriority w:val="99"/>
    <w:pPr>
      <w:ind w:firstLine="420" w:firstLineChars="200"/>
    </w:pPr>
  </w:style>
  <w:style w:type="character" w:customStyle="1" w:styleId="29">
    <w:name w:val="标题 1 字符"/>
    <w:basedOn w:val="18"/>
    <w:link w:val="2"/>
    <w:autoRedefine/>
    <w:qFormat/>
    <w:uiPriority w:val="0"/>
    <w:rPr>
      <w:rFonts w:ascii="Arial" w:hAnsi="Arial" w:eastAsia="Arial" w:cs="Arial"/>
      <w:b/>
      <w:bCs/>
      <w:snapToGrid w:val="0"/>
      <w:color w:val="000000"/>
      <w:kern w:val="44"/>
      <w:sz w:val="44"/>
      <w:szCs w:val="44"/>
    </w:rPr>
  </w:style>
  <w:style w:type="paragraph" w:customStyle="1" w:styleId="30">
    <w:name w:val="TOC 标题1"/>
    <w:basedOn w:val="2"/>
    <w:next w:val="1"/>
    <w:autoRedefine/>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rPr>
  </w:style>
  <w:style w:type="character" w:customStyle="1" w:styleId="31">
    <w:name w:val="页眉 字符"/>
    <w:basedOn w:val="18"/>
    <w:link w:val="11"/>
    <w:autoRedefine/>
    <w:qFormat/>
    <w:uiPriority w:val="0"/>
    <w:rPr>
      <w:rFonts w:ascii="Arial" w:hAnsi="Arial" w:eastAsia="Arial" w:cs="Arial"/>
      <w:snapToGrid w:val="0"/>
      <w:color w:val="000000"/>
      <w:sz w:val="18"/>
      <w:szCs w:val="18"/>
    </w:rPr>
  </w:style>
  <w:style w:type="paragraph" w:customStyle="1" w:styleId="32">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3">
    <w:name w:val="标题A"/>
    <w:basedOn w:val="28"/>
    <w:autoRedefine/>
    <w:qFormat/>
    <w:uiPriority w:val="0"/>
    <w:pPr>
      <w:widowControl/>
      <w:adjustRightInd w:val="0"/>
      <w:snapToGrid w:val="0"/>
      <w:spacing w:before="100" w:beforeAutospacing="1" w:after="100" w:afterAutospacing="1" w:line="360" w:lineRule="auto"/>
      <w:ind w:firstLine="0" w:firstLineChars="0"/>
      <w:jc w:val="left"/>
    </w:pPr>
    <w:rPr>
      <w:rFonts w:ascii="宋体" w:hAnsi="宋体"/>
      <w:b/>
      <w:color w:val="000000"/>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4583</Words>
  <Characters>4989</Characters>
  <Lines>28</Lines>
  <Paragraphs>7</Paragraphs>
  <TotalTime>21</TotalTime>
  <ScaleCrop>false</ScaleCrop>
  <LinksUpToDate>false</LinksUpToDate>
  <CharactersWithSpaces>5068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2022-12-03T00:45:00Z</dcterms:created>
  <dc:creator>Mr.Guang</dc:creator>
  <cp:lastModifiedBy>喵喵喵</cp:lastModifiedBy>
  <cp:lastPrinted>2024-09-09T08:00:00Z</cp:lastPrinted>
  <dcterms:modified xsi:type="dcterms:W3CDTF">2025-01-02T01:24:48Z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5CA9837FFDA7447387CF8A864A40B86D_13</vt:lpwstr>
  </property>
  <property fmtid="{D5CDD505-2E9C-101B-9397-08002B2CF9AE}" pid="4" name="KSOTemplateDocerSaveRecord">
    <vt:lpwstr>eyJoZGlkIjoiYWNiNGI2MzhjZDk2YTMxYzBkZDI0OTRmYTEyZDAyYjMiLCJ1c2VySWQiOiI2MTQ5NjUzNzQifQ==</vt:lpwstr>
  </property>
</Properties>
</file>