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48F47">
      <w:pPr>
        <w:spacing w:line="278" w:lineRule="auto"/>
        <w:rPr>
          <w:rFonts w:hint="eastAsia" w:ascii="宋体" w:hAnsi="宋体" w:eastAsia="宋体" w:cs="宋体"/>
        </w:rPr>
      </w:pPr>
      <w:bookmarkStart w:id="0" w:name="_Toc27807"/>
      <w:bookmarkStart w:id="1" w:name="_Toc14049"/>
    </w:p>
    <w:p w14:paraId="244239FC">
      <w:pPr>
        <w:spacing w:line="278" w:lineRule="auto"/>
        <w:rPr>
          <w:rFonts w:hint="eastAsia" w:ascii="宋体" w:hAnsi="宋体" w:eastAsia="宋体" w:cs="宋体"/>
        </w:rPr>
      </w:pPr>
    </w:p>
    <w:p w14:paraId="26199007">
      <w:pPr>
        <w:tabs>
          <w:tab w:val="left" w:pos="5882"/>
        </w:tabs>
        <w:spacing w:before="169" w:line="185" w:lineRule="auto"/>
        <w:jc w:val="center"/>
        <w:outlineLvl w:val="0"/>
        <w:rPr>
          <w:rFonts w:hint="eastAsia" w:ascii="宋体" w:hAnsi="宋体" w:eastAsia="宋体" w:cs="宋体"/>
          <w:color w:val="auto"/>
          <w:sz w:val="52"/>
          <w:szCs w:val="52"/>
          <w:u w:val="single"/>
          <w:lang w:val="en-US" w:eastAsia="zh-CN"/>
        </w:rPr>
      </w:pPr>
      <w:bookmarkStart w:id="2" w:name="_Toc11471"/>
      <w:bookmarkStart w:id="3" w:name="_Toc16784"/>
    </w:p>
    <w:p w14:paraId="39AAA25E">
      <w:pPr>
        <w:tabs>
          <w:tab w:val="left" w:pos="5882"/>
        </w:tabs>
        <w:spacing w:before="169" w:line="185" w:lineRule="auto"/>
        <w:jc w:val="center"/>
        <w:outlineLvl w:val="0"/>
        <w:rPr>
          <w:rFonts w:hint="eastAsia" w:ascii="宋体" w:hAnsi="宋体" w:eastAsia="宋体" w:cs="宋体"/>
          <w:spacing w:val="-3"/>
          <w:sz w:val="52"/>
          <w:szCs w:val="52"/>
        </w:rPr>
      </w:pPr>
      <w:r>
        <w:rPr>
          <w:rFonts w:hint="eastAsia" w:ascii="宋体" w:hAnsi="宋体" w:eastAsia="宋体" w:cs="宋体"/>
          <w:spacing w:val="-3"/>
          <w:sz w:val="52"/>
          <w:szCs w:val="52"/>
          <w:u w:val="single"/>
          <w:lang w:val="en-US" w:eastAsia="zh-CN"/>
        </w:rPr>
        <w:t>金属原材料板材</w:t>
      </w:r>
      <w:r>
        <w:rPr>
          <w:rFonts w:hint="eastAsia" w:ascii="宋体" w:hAnsi="宋体" w:eastAsia="宋体" w:cs="宋体"/>
          <w:spacing w:val="-3"/>
          <w:sz w:val="52"/>
          <w:szCs w:val="52"/>
        </w:rPr>
        <w:t>采购项目</w:t>
      </w:r>
      <w:bookmarkEnd w:id="2"/>
      <w:bookmarkEnd w:id="3"/>
    </w:p>
    <w:p w14:paraId="3AEF8501">
      <w:pPr>
        <w:tabs>
          <w:tab w:val="left" w:pos="5882"/>
        </w:tabs>
        <w:spacing w:before="169" w:line="185" w:lineRule="auto"/>
        <w:ind w:firstLine="1040"/>
        <w:jc w:val="center"/>
        <w:outlineLvl w:val="0"/>
        <w:rPr>
          <w:rFonts w:hint="eastAsia" w:ascii="宋体" w:hAnsi="宋体" w:eastAsia="宋体" w:cs="宋体"/>
          <w:spacing w:val="-3"/>
          <w:sz w:val="52"/>
          <w:szCs w:val="52"/>
        </w:rPr>
      </w:pPr>
    </w:p>
    <w:p w14:paraId="37A88FDC">
      <w:pPr>
        <w:spacing w:line="248" w:lineRule="auto"/>
        <w:rPr>
          <w:rFonts w:hint="eastAsia" w:ascii="宋体" w:hAnsi="宋体" w:eastAsia="宋体" w:cs="宋体"/>
        </w:rPr>
      </w:pPr>
    </w:p>
    <w:p w14:paraId="17B4C460">
      <w:pPr>
        <w:spacing w:line="248" w:lineRule="auto"/>
        <w:rPr>
          <w:rFonts w:hint="eastAsia" w:ascii="宋体" w:hAnsi="宋体" w:eastAsia="宋体" w:cs="宋体"/>
        </w:rPr>
      </w:pPr>
    </w:p>
    <w:p w14:paraId="2CC8832C">
      <w:pPr>
        <w:spacing w:line="248" w:lineRule="auto"/>
        <w:jc w:val="center"/>
        <w:rPr>
          <w:rFonts w:hint="default" w:ascii="宋体" w:hAnsi="宋体" w:eastAsia="宋体" w:cs="宋体"/>
          <w:lang w:val="en-US"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spacing w:val="-2"/>
          <w:sz w:val="52"/>
          <w:szCs w:val="52"/>
          <w:lang w:val="en-US" w:eastAsia="zh-CN"/>
        </w:rPr>
        <w:t>HXZB2025012101</w:t>
      </w:r>
    </w:p>
    <w:p w14:paraId="7BB90D44">
      <w:pPr>
        <w:spacing w:line="248" w:lineRule="auto"/>
        <w:rPr>
          <w:rFonts w:hint="eastAsia" w:ascii="宋体" w:hAnsi="宋体" w:eastAsia="宋体" w:cs="宋体"/>
        </w:rPr>
      </w:pPr>
    </w:p>
    <w:p w14:paraId="72791A66">
      <w:pPr>
        <w:spacing w:line="248" w:lineRule="auto"/>
        <w:rPr>
          <w:rFonts w:hint="eastAsia" w:ascii="宋体" w:hAnsi="宋体" w:eastAsia="宋体" w:cs="宋体"/>
        </w:rPr>
      </w:pPr>
    </w:p>
    <w:p w14:paraId="25ADB838">
      <w:pPr>
        <w:spacing w:line="249" w:lineRule="auto"/>
        <w:rPr>
          <w:rFonts w:hint="eastAsia" w:ascii="宋体" w:hAnsi="宋体" w:eastAsia="宋体" w:cs="宋体"/>
        </w:rPr>
      </w:pPr>
    </w:p>
    <w:p w14:paraId="1DAB54E0">
      <w:pPr>
        <w:tabs>
          <w:tab w:val="left" w:pos="8063"/>
        </w:tabs>
        <w:spacing w:line="249" w:lineRule="auto"/>
        <w:rPr>
          <w:rFonts w:hint="eastAsia" w:ascii="宋体" w:hAnsi="宋体" w:eastAsia="宋体" w:cs="宋体"/>
          <w:lang w:eastAsia="zh-CN"/>
        </w:rPr>
      </w:pPr>
      <w:r>
        <w:rPr>
          <w:rFonts w:hint="eastAsia" w:ascii="宋体" w:hAnsi="宋体" w:eastAsia="宋体" w:cs="宋体"/>
          <w:lang w:eastAsia="zh-CN"/>
        </w:rPr>
        <w:tab/>
      </w:r>
    </w:p>
    <w:p w14:paraId="55B5DFB7">
      <w:pPr>
        <w:spacing w:before="274" w:line="185" w:lineRule="auto"/>
        <w:jc w:val="center"/>
        <w:outlineLvl w:val="0"/>
        <w:rPr>
          <w:rFonts w:hint="eastAsia" w:ascii="宋体" w:hAnsi="宋体" w:eastAsia="宋体" w:cs="宋体"/>
          <w:sz w:val="84"/>
          <w:szCs w:val="84"/>
        </w:rPr>
      </w:pPr>
      <w:bookmarkStart w:id="5" w:name="_Toc7773"/>
      <w:bookmarkStart w:id="6" w:name="_Toc13557"/>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招标文件</w:t>
      </w:r>
      <w:bookmarkEnd w:id="5"/>
      <w:bookmarkEnd w:id="6"/>
    </w:p>
    <w:p w14:paraId="428AEA9A">
      <w:pPr>
        <w:spacing w:line="252" w:lineRule="auto"/>
        <w:rPr>
          <w:rFonts w:hint="eastAsia" w:ascii="宋体" w:hAnsi="宋体" w:eastAsia="宋体" w:cs="宋体"/>
        </w:rPr>
      </w:pPr>
    </w:p>
    <w:p w14:paraId="46909933">
      <w:pPr>
        <w:spacing w:line="252" w:lineRule="auto"/>
        <w:rPr>
          <w:rFonts w:hint="eastAsia" w:ascii="宋体" w:hAnsi="宋体" w:eastAsia="宋体" w:cs="宋体"/>
        </w:rPr>
      </w:pPr>
    </w:p>
    <w:p w14:paraId="0984F727">
      <w:pPr>
        <w:spacing w:line="252" w:lineRule="auto"/>
        <w:rPr>
          <w:rFonts w:hint="eastAsia" w:ascii="宋体" w:hAnsi="宋体" w:eastAsia="宋体" w:cs="宋体"/>
        </w:rPr>
      </w:pPr>
    </w:p>
    <w:p w14:paraId="4D0E4C2E">
      <w:pPr>
        <w:spacing w:line="252" w:lineRule="auto"/>
        <w:rPr>
          <w:rFonts w:hint="eastAsia" w:ascii="宋体" w:hAnsi="宋体" w:eastAsia="宋体" w:cs="宋体"/>
        </w:rPr>
      </w:pPr>
    </w:p>
    <w:p w14:paraId="22C73EC0">
      <w:pPr>
        <w:spacing w:line="253" w:lineRule="auto"/>
        <w:rPr>
          <w:rFonts w:hint="eastAsia" w:ascii="宋体" w:hAnsi="宋体" w:eastAsia="宋体" w:cs="宋体"/>
        </w:rPr>
      </w:pPr>
    </w:p>
    <w:p w14:paraId="6A54E3C5">
      <w:pPr>
        <w:spacing w:line="253" w:lineRule="auto"/>
        <w:rPr>
          <w:rFonts w:hint="eastAsia" w:ascii="宋体" w:hAnsi="宋体" w:eastAsia="宋体" w:cs="宋体"/>
        </w:rPr>
      </w:pPr>
    </w:p>
    <w:p w14:paraId="71832BB0">
      <w:pPr>
        <w:pStyle w:val="15"/>
        <w:rPr>
          <w:rFonts w:hint="eastAsia" w:ascii="宋体" w:hAnsi="宋体" w:eastAsia="宋体" w:cs="宋体"/>
        </w:rPr>
      </w:pPr>
    </w:p>
    <w:p w14:paraId="37CB4195">
      <w:pPr>
        <w:pStyle w:val="15"/>
        <w:rPr>
          <w:rFonts w:hint="eastAsia" w:ascii="宋体" w:hAnsi="宋体" w:eastAsia="宋体" w:cs="宋体"/>
        </w:rPr>
      </w:pPr>
    </w:p>
    <w:p w14:paraId="38E38A3D">
      <w:pPr>
        <w:pStyle w:val="15"/>
        <w:rPr>
          <w:rFonts w:hint="eastAsia" w:ascii="宋体" w:hAnsi="宋体" w:eastAsia="宋体" w:cs="宋体"/>
        </w:rPr>
      </w:pPr>
    </w:p>
    <w:p w14:paraId="13E66144">
      <w:pPr>
        <w:spacing w:line="253" w:lineRule="auto"/>
        <w:rPr>
          <w:rFonts w:hint="eastAsia" w:ascii="宋体" w:hAnsi="宋体" w:eastAsia="宋体" w:cs="宋体"/>
        </w:rPr>
      </w:pPr>
    </w:p>
    <w:p w14:paraId="18B311D6">
      <w:pPr>
        <w:spacing w:line="253" w:lineRule="auto"/>
        <w:rPr>
          <w:rFonts w:hint="eastAsia" w:ascii="宋体" w:hAnsi="宋体" w:eastAsia="宋体" w:cs="宋体"/>
        </w:rPr>
      </w:pPr>
    </w:p>
    <w:p w14:paraId="69B305C1">
      <w:pPr>
        <w:spacing w:before="104" w:line="188" w:lineRule="auto"/>
        <w:rPr>
          <w:rFonts w:hint="eastAsia" w:ascii="宋体" w:hAnsi="宋体" w:eastAsia="宋体" w:cs="宋体"/>
          <w:spacing w:val="-18"/>
          <w:sz w:val="32"/>
          <w:szCs w:val="32"/>
        </w:rPr>
      </w:pPr>
    </w:p>
    <w:p w14:paraId="41EBAFB6">
      <w:pPr>
        <w:spacing w:before="104" w:line="188" w:lineRule="auto"/>
        <w:jc w:val="center"/>
        <w:outlineLvl w:val="0"/>
        <w:rPr>
          <w:rFonts w:hint="eastAsia" w:ascii="宋体" w:hAnsi="宋体" w:eastAsia="宋体" w:cs="宋体"/>
          <w:sz w:val="32"/>
          <w:szCs w:val="32"/>
        </w:rPr>
      </w:pPr>
      <w:bookmarkStart w:id="7" w:name="_Toc28706"/>
      <w:bookmarkStart w:id="8" w:name="_Toc12968"/>
      <w:r>
        <w:rPr>
          <w:rFonts w:hint="eastAsia" w:ascii="宋体" w:hAnsi="宋体" w:eastAsia="宋体" w:cs="宋体"/>
          <w:sz w:val="32"/>
          <w:szCs w:val="32"/>
        </w:rPr>
        <w:t>招标人：中国机械总院集团海西（福建）分院有限公司</w:t>
      </w:r>
      <w:bookmarkEnd w:id="7"/>
      <w:bookmarkEnd w:id="8"/>
    </w:p>
    <w:p w14:paraId="4723C682">
      <w:pPr>
        <w:spacing w:line="409" w:lineRule="auto"/>
        <w:rPr>
          <w:rFonts w:hint="eastAsia" w:ascii="宋体" w:hAnsi="宋体" w:eastAsia="宋体" w:cs="宋体"/>
        </w:rPr>
      </w:pPr>
    </w:p>
    <w:p w14:paraId="50ACA823">
      <w:pPr>
        <w:spacing w:before="104" w:line="188" w:lineRule="auto"/>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Borders>
            <w:top w:val="none" w:sz="0" w:space="0"/>
            <w:left w:val="none" w:sz="0" w:space="0"/>
            <w:bottom w:val="none" w:sz="0" w:space="0"/>
            <w:right w:val="none" w:sz="0" w:space="0"/>
          </w:pgBorders>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01</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21日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290AFB83">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3C08A681">
          <w:pPr>
            <w:pStyle w:val="12"/>
            <w:tabs>
              <w:tab w:val="right" w:leader="dot" w:pos="9183"/>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0470ACE7">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投标邀请书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AAA6833">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4179069">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FD9DAE">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96C21F5">
          <w:pPr>
            <w:pStyle w:val="12"/>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D619B59">
          <w:pPr>
            <w:pStyle w:val="12"/>
            <w:tabs>
              <w:tab w:val="right" w:leader="dot" w:pos="9183"/>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22856DA">
          <w:pPr>
            <w:spacing w:before="240" w:beforeLines="100" w:after="120" w:afterLines="50" w:line="360" w:lineRule="auto"/>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757BFE49">
      <w:pPr>
        <w:pStyle w:val="15"/>
        <w:rPr>
          <w:rFonts w:hint="eastAsia"/>
          <w:lang w:val="en-US" w:eastAsia="zh-CN"/>
        </w:rPr>
        <w:sectPr>
          <w:headerReference r:id="rId5" w:type="default"/>
          <w:footerReference r:id="rId6" w:type="default"/>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p>
    <w:p w14:paraId="5142C12E">
      <w:pPr>
        <w:spacing w:before="240" w:beforeLines="100" w:after="120" w:afterLines="50" w:line="360" w:lineRule="auto"/>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投标邀请书</w:t>
      </w:r>
      <w:bookmarkEnd w:id="0"/>
      <w:bookmarkEnd w:id="1"/>
      <w:bookmarkEnd w:id="11"/>
    </w:p>
    <w:p w14:paraId="79A1A50B">
      <w:pPr>
        <w:tabs>
          <w:tab w:val="left" w:pos="2648"/>
        </w:tabs>
        <w:spacing w:line="360" w:lineRule="auto"/>
        <w:jc w:val="both"/>
        <w:rPr>
          <w:rFonts w:hint="eastAsia" w:ascii="宋体" w:hAnsi="宋体" w:eastAsia="宋体" w:cs="宋体"/>
          <w:sz w:val="24"/>
          <w:szCs w:val="24"/>
        </w:rPr>
      </w:pPr>
      <w:bookmarkStart w:id="12" w:name="_Hlk121147898"/>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tbl>
      <w:tblPr>
        <w:tblStyle w:val="17"/>
        <w:tblpPr w:leftFromText="180" w:rightFromText="180" w:vertAnchor="text" w:tblpX="10626" w:tblpY="1047"/>
        <w:tblOverlap w:val="never"/>
        <w:tblW w:w="128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842"/>
      </w:tblGrid>
      <w:tr w14:paraId="09439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2842" w:type="dxa"/>
          </w:tcPr>
          <w:p w14:paraId="7F73C1B7">
            <w:pPr>
              <w:keepNext w:val="0"/>
              <w:keepLines w:val="0"/>
              <w:pageBreakBefore w:val="0"/>
              <w:widowControl/>
              <w:tabs>
                <w:tab w:val="left" w:pos="5882"/>
              </w:tabs>
              <w:kinsoku w:val="0"/>
              <w:wordWrap/>
              <w:overflowPunct/>
              <w:topLinePunct w:val="0"/>
              <w:autoSpaceDE w:val="0"/>
              <w:autoSpaceDN w:val="0"/>
              <w:bidi w:val="0"/>
              <w:adjustRightInd w:val="0"/>
              <w:snapToGrid w:val="0"/>
              <w:spacing w:before="169" w:line="360" w:lineRule="auto"/>
              <w:jc w:val="left"/>
              <w:textAlignment w:val="baseline"/>
              <w:outlineLvl w:val="0"/>
              <w:rPr>
                <w:rFonts w:hint="eastAsia" w:ascii="宋体" w:hAnsi="宋体" w:eastAsia="宋体" w:cs="宋体"/>
                <w:sz w:val="24"/>
                <w:szCs w:val="24"/>
                <w:vertAlign w:val="baseline"/>
                <w:lang w:val="en-US" w:eastAsia="zh-CN"/>
              </w:rPr>
            </w:pPr>
          </w:p>
        </w:tc>
      </w:tr>
    </w:tbl>
    <w:p w14:paraId="5F0E88B4">
      <w:pPr>
        <w:keepNext w:val="0"/>
        <w:keepLines w:val="0"/>
        <w:pageBreakBefore w:val="0"/>
        <w:widowControl/>
        <w:tabs>
          <w:tab w:val="left" w:pos="5882"/>
        </w:tabs>
        <w:kinsoku w:val="0"/>
        <w:wordWrap/>
        <w:overflowPunct/>
        <w:topLinePunct w:val="0"/>
        <w:autoSpaceDE w:val="0"/>
        <w:autoSpaceDN w:val="0"/>
        <w:bidi w:val="0"/>
        <w:adjustRightInd w:val="0"/>
        <w:snapToGrid w:val="0"/>
        <w:spacing w:before="169" w:line="360" w:lineRule="auto"/>
        <w:jc w:val="left"/>
        <w:textAlignment w:val="baseline"/>
        <w:outlineLvl w:val="0"/>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招标人中国机械总院集团海西（福建）分院有限公司根据生产所需，现决定通过招标方式采购</w:t>
      </w:r>
      <w:r>
        <w:rPr>
          <w:rFonts w:hint="eastAsia" w:ascii="宋体" w:hAnsi="宋体" w:eastAsia="宋体" w:cs="宋体"/>
          <w:sz w:val="24"/>
          <w:szCs w:val="24"/>
          <w:lang w:eastAsia="zh-CN"/>
        </w:rPr>
        <w:t>，</w:t>
      </w:r>
      <w:r>
        <w:rPr>
          <w:rFonts w:hint="eastAsia" w:ascii="宋体" w:hAnsi="宋体" w:eastAsia="宋体" w:cs="宋体"/>
          <w:sz w:val="24"/>
          <w:szCs w:val="24"/>
        </w:rPr>
        <w:t>招标编号：</w:t>
      </w:r>
      <w:r>
        <w:rPr>
          <w:rFonts w:hint="eastAsia" w:ascii="宋体" w:hAnsi="宋体" w:eastAsia="宋体" w:cs="宋体"/>
          <w:sz w:val="24"/>
          <w:szCs w:val="24"/>
          <w:u w:val="single"/>
          <w:lang w:val="en-US" w:eastAsia="zh-CN"/>
        </w:rPr>
        <w:t xml:space="preserve"> HXZB2025012101    </w:t>
      </w:r>
      <w:r>
        <w:rPr>
          <w:rFonts w:hint="eastAsia" w:ascii="宋体" w:hAnsi="宋体" w:eastAsia="宋体" w:cs="宋体"/>
          <w:sz w:val="24"/>
          <w:szCs w:val="24"/>
        </w:rPr>
        <w:t>，项目名称：</w:t>
      </w:r>
      <w:r>
        <w:rPr>
          <w:rFonts w:hint="eastAsia" w:ascii="宋体" w:hAnsi="宋体" w:eastAsia="宋体" w:cs="宋体"/>
          <w:sz w:val="24"/>
          <w:szCs w:val="24"/>
          <w:u w:val="single"/>
          <w:lang w:val="en-US" w:eastAsia="zh-CN"/>
        </w:rPr>
        <w:t>金属原材料板材</w:t>
      </w:r>
      <w:r>
        <w:rPr>
          <w:rFonts w:hint="eastAsia" w:ascii="宋体" w:hAnsi="宋体" w:eastAsia="宋体" w:cs="宋体"/>
          <w:b w:val="0"/>
          <w:bCs w:val="0"/>
          <w:spacing w:val="-3"/>
          <w:sz w:val="24"/>
          <w:szCs w:val="24"/>
          <w:u w:val="single"/>
        </w:rPr>
        <w:t>采购项目</w:t>
      </w:r>
      <w:r>
        <w:rPr>
          <w:rFonts w:hint="eastAsia" w:ascii="宋体" w:hAnsi="宋体" w:eastAsia="宋体" w:cs="宋体"/>
          <w:sz w:val="24"/>
          <w:szCs w:val="24"/>
        </w:rPr>
        <w:t>。</w:t>
      </w:r>
      <w:bookmarkEnd w:id="12"/>
      <w:r>
        <w:rPr>
          <w:rFonts w:hint="eastAsia" w:ascii="宋体" w:hAnsi="宋体" w:eastAsia="宋体" w:cs="宋体"/>
          <w:sz w:val="24"/>
          <w:szCs w:val="24"/>
        </w:rPr>
        <w:t>我们将通过招标方式，最后确定中标单位。</w:t>
      </w:r>
    </w:p>
    <w:p w14:paraId="1DB9BA9A">
      <w:pPr>
        <w:pStyle w:val="28"/>
        <w:numPr>
          <w:ilvl w:val="0"/>
          <w:numId w:val="1"/>
        </w:numPr>
        <w:kinsoku/>
        <w:spacing w:line="360" w:lineRule="auto"/>
        <w:ind w:left="0" w:firstLine="480"/>
        <w:outlineLvl w:val="0"/>
        <w:rPr>
          <w:rFonts w:hint="eastAsia" w:ascii="宋体" w:hAnsi="宋体" w:eastAsia="宋体" w:cs="宋体"/>
          <w:sz w:val="24"/>
          <w:szCs w:val="24"/>
        </w:rPr>
      </w:pPr>
      <w:bookmarkStart w:id="13" w:name="_Toc3520"/>
      <w:bookmarkStart w:id="14" w:name="_Toc13304"/>
      <w:bookmarkStart w:id="15" w:name="_Toc23627"/>
      <w:bookmarkStart w:id="16" w:name="_Toc3942"/>
      <w:bookmarkStart w:id="17" w:name="_Toc30218"/>
      <w:bookmarkStart w:id="18" w:name="_Toc30525"/>
      <w:r>
        <w:rPr>
          <w:rFonts w:hint="eastAsia" w:ascii="宋体" w:hAnsi="宋体" w:eastAsia="宋体" w:cs="宋体"/>
          <w:sz w:val="24"/>
          <w:szCs w:val="24"/>
        </w:rPr>
        <w:t>招标内容、型号规格（见下表）</w:t>
      </w:r>
      <w:bookmarkEnd w:id="13"/>
      <w:bookmarkEnd w:id="14"/>
      <w:bookmarkEnd w:id="15"/>
      <w:bookmarkEnd w:id="16"/>
      <w:bookmarkEnd w:id="17"/>
      <w:bookmarkEnd w:id="18"/>
    </w:p>
    <w:tbl>
      <w:tblPr>
        <w:tblStyle w:val="22"/>
        <w:tblpPr w:leftFromText="180" w:rightFromText="180" w:vertAnchor="text" w:horzAnchor="margin" w:tblpXSpec="center" w:tblpY="75"/>
        <w:tblOverlap w:val="never"/>
        <w:tblW w:w="87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3"/>
        <w:gridCol w:w="2"/>
        <w:gridCol w:w="1695"/>
        <w:gridCol w:w="5"/>
        <w:gridCol w:w="797"/>
        <w:gridCol w:w="2"/>
        <w:gridCol w:w="1"/>
        <w:gridCol w:w="1782"/>
        <w:gridCol w:w="2"/>
        <w:gridCol w:w="526"/>
        <w:gridCol w:w="822"/>
        <w:gridCol w:w="1065"/>
        <w:gridCol w:w="3"/>
        <w:gridCol w:w="815"/>
      </w:tblGrid>
      <w:tr w14:paraId="5B84E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1253" w:type="dxa"/>
            <w:vAlign w:val="center"/>
          </w:tcPr>
          <w:p w14:paraId="0AE6FE90">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697" w:type="dxa"/>
            <w:gridSpan w:val="2"/>
            <w:vAlign w:val="center"/>
          </w:tcPr>
          <w:p w14:paraId="3F80CA00">
            <w:pPr>
              <w:jc w:val="center"/>
              <w:rPr>
                <w:rFonts w:hint="eastAsia" w:ascii="宋体" w:hAnsi="宋体" w:eastAsia="宋体" w:cs="宋体"/>
                <w:b/>
                <w:bCs/>
                <w:sz w:val="24"/>
                <w:szCs w:val="24"/>
              </w:rPr>
            </w:pPr>
            <w:r>
              <w:rPr>
                <w:rFonts w:hint="eastAsia" w:ascii="宋体" w:hAnsi="宋体" w:eastAsia="宋体" w:cs="宋体"/>
                <w:b/>
                <w:bCs/>
                <w:sz w:val="24"/>
                <w:szCs w:val="24"/>
              </w:rPr>
              <w:t>原料名称</w:t>
            </w:r>
          </w:p>
        </w:tc>
        <w:tc>
          <w:tcPr>
            <w:tcW w:w="802" w:type="dxa"/>
            <w:gridSpan w:val="2"/>
            <w:tcBorders>
              <w:left w:val="single" w:color="auto" w:sz="4" w:space="0"/>
              <w:right w:val="single" w:color="auto" w:sz="4" w:space="0"/>
            </w:tcBorders>
            <w:vAlign w:val="center"/>
          </w:tcPr>
          <w:p w14:paraId="22DC56E4">
            <w:pPr>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材质</w:t>
            </w:r>
          </w:p>
        </w:tc>
        <w:tc>
          <w:tcPr>
            <w:tcW w:w="1785" w:type="dxa"/>
            <w:gridSpan w:val="3"/>
            <w:tcBorders>
              <w:left w:val="single" w:color="auto" w:sz="4" w:space="0"/>
              <w:right w:val="single" w:color="auto" w:sz="4" w:space="0"/>
            </w:tcBorders>
            <w:vAlign w:val="center"/>
          </w:tcPr>
          <w:p w14:paraId="0134F7D2">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厚度mm</w:t>
            </w:r>
          </w:p>
        </w:tc>
        <w:tc>
          <w:tcPr>
            <w:tcW w:w="528" w:type="dxa"/>
            <w:gridSpan w:val="2"/>
            <w:tcBorders>
              <w:left w:val="single" w:color="auto" w:sz="4" w:space="0"/>
            </w:tcBorders>
            <w:vAlign w:val="center"/>
          </w:tcPr>
          <w:p w14:paraId="41971338">
            <w:pPr>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822" w:type="dxa"/>
            <w:vAlign w:val="center"/>
          </w:tcPr>
          <w:p w14:paraId="71FA1076">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065" w:type="dxa"/>
            <w:vAlign w:val="center"/>
          </w:tcPr>
          <w:p w14:paraId="77E43368">
            <w:pPr>
              <w:jc w:val="center"/>
              <w:rPr>
                <w:rFonts w:hint="eastAsia" w:ascii="宋体" w:hAnsi="宋体" w:eastAsia="宋体" w:cs="宋体"/>
                <w:b/>
                <w:bCs/>
                <w:sz w:val="24"/>
                <w:szCs w:val="24"/>
              </w:rPr>
            </w:pPr>
            <w:r>
              <w:rPr>
                <w:rFonts w:hint="eastAsia" w:ascii="宋体" w:hAnsi="宋体" w:eastAsia="宋体" w:cs="宋体"/>
                <w:b/>
                <w:bCs/>
                <w:sz w:val="24"/>
                <w:szCs w:val="24"/>
              </w:rPr>
              <w:t>交货期</w:t>
            </w:r>
          </w:p>
        </w:tc>
        <w:tc>
          <w:tcPr>
            <w:tcW w:w="818" w:type="dxa"/>
            <w:gridSpan w:val="2"/>
            <w:vAlign w:val="center"/>
          </w:tcPr>
          <w:p w14:paraId="29AE27D8">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14:paraId="3AEC4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jc w:val="center"/>
        </w:trPr>
        <w:tc>
          <w:tcPr>
            <w:tcW w:w="1253" w:type="dxa"/>
            <w:vMerge w:val="restart"/>
            <w:vAlign w:val="center"/>
          </w:tcPr>
          <w:p w14:paraId="11F46AA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97" w:type="dxa"/>
            <w:gridSpan w:val="2"/>
            <w:vMerge w:val="restart"/>
            <w:vAlign w:val="center"/>
          </w:tcPr>
          <w:p w14:paraId="3E16E7A0">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冷轧板</w:t>
            </w:r>
          </w:p>
        </w:tc>
        <w:tc>
          <w:tcPr>
            <w:tcW w:w="802" w:type="dxa"/>
            <w:gridSpan w:val="2"/>
            <w:vMerge w:val="restart"/>
            <w:tcBorders>
              <w:left w:val="single" w:color="auto" w:sz="4" w:space="0"/>
              <w:right w:val="single" w:color="auto" w:sz="4" w:space="0"/>
            </w:tcBorders>
            <w:vAlign w:val="center"/>
          </w:tcPr>
          <w:p w14:paraId="49B47B2F">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Q235</w:t>
            </w:r>
          </w:p>
          <w:p w14:paraId="04DFD1A3">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1785" w:type="dxa"/>
            <w:gridSpan w:val="3"/>
            <w:tcBorders>
              <w:left w:val="single" w:color="auto" w:sz="4" w:space="0"/>
              <w:bottom w:val="single" w:color="auto" w:sz="4" w:space="0"/>
              <w:right w:val="single" w:color="auto" w:sz="4" w:space="0"/>
            </w:tcBorders>
            <w:vAlign w:val="center"/>
          </w:tcPr>
          <w:p w14:paraId="3E0F70A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≤0.5</w:t>
            </w:r>
          </w:p>
        </w:tc>
        <w:tc>
          <w:tcPr>
            <w:tcW w:w="528" w:type="dxa"/>
            <w:gridSpan w:val="2"/>
            <w:vMerge w:val="restart"/>
            <w:tcBorders>
              <w:left w:val="single" w:color="auto" w:sz="4" w:space="0"/>
            </w:tcBorders>
            <w:vAlign w:val="center"/>
          </w:tcPr>
          <w:p w14:paraId="2DA25B4C">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吨</w:t>
            </w:r>
          </w:p>
        </w:tc>
        <w:tc>
          <w:tcPr>
            <w:tcW w:w="822" w:type="dxa"/>
            <w:vMerge w:val="restart"/>
            <w:vAlign w:val="center"/>
          </w:tcPr>
          <w:p w14:paraId="40727656">
            <w:pPr>
              <w:jc w:val="center"/>
              <w:rPr>
                <w:rFonts w:hint="default" w:ascii="宋体" w:hAnsi="宋体" w:eastAsia="宋体" w:cs="宋体"/>
                <w:sz w:val="24"/>
                <w:szCs w:val="24"/>
                <w:lang w:val="en-US" w:eastAsia="zh-CN"/>
              </w:rPr>
            </w:pPr>
          </w:p>
        </w:tc>
        <w:tc>
          <w:tcPr>
            <w:tcW w:w="1065" w:type="dxa"/>
            <w:vMerge w:val="restart"/>
            <w:vAlign w:val="center"/>
          </w:tcPr>
          <w:p w14:paraId="5D8B9A8D">
            <w:pPr>
              <w:keepNext w:val="0"/>
              <w:keepLines w:val="0"/>
              <w:pageBreakBefore w:val="0"/>
              <w:wordWrap/>
              <w:overflowPunct/>
              <w:topLinePunct w:val="0"/>
              <w:bidi w:val="0"/>
              <w:jc w:val="center"/>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按需方下单后3天内交货</w:t>
            </w:r>
          </w:p>
        </w:tc>
        <w:tc>
          <w:tcPr>
            <w:tcW w:w="818" w:type="dxa"/>
            <w:gridSpan w:val="2"/>
            <w:vMerge w:val="restart"/>
            <w:vAlign w:val="center"/>
          </w:tcPr>
          <w:p w14:paraId="3CCCBA1C">
            <w:pPr>
              <w:keepNext w:val="0"/>
              <w:keepLines w:val="0"/>
              <w:pageBreakBefore w:val="0"/>
              <w:wordWrap/>
              <w:overflowPunct/>
              <w:topLinePunct w:val="0"/>
              <w:bidi w:val="0"/>
              <w:jc w:val="center"/>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每月按需方下订单数量供货</w:t>
            </w:r>
          </w:p>
        </w:tc>
      </w:tr>
      <w:tr w14:paraId="70A21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jc w:val="center"/>
        </w:trPr>
        <w:tc>
          <w:tcPr>
            <w:tcW w:w="1253" w:type="dxa"/>
            <w:vMerge w:val="continue"/>
            <w:vAlign w:val="center"/>
          </w:tcPr>
          <w:p w14:paraId="5E64F71A">
            <w:pPr>
              <w:jc w:val="center"/>
              <w:rPr>
                <w:rFonts w:hint="eastAsia" w:ascii="宋体" w:hAnsi="宋体" w:eastAsia="宋体" w:cs="宋体"/>
                <w:sz w:val="24"/>
                <w:szCs w:val="24"/>
                <w:lang w:val="en-US" w:eastAsia="zh-CN"/>
              </w:rPr>
            </w:pPr>
          </w:p>
        </w:tc>
        <w:tc>
          <w:tcPr>
            <w:tcW w:w="1697" w:type="dxa"/>
            <w:gridSpan w:val="2"/>
            <w:vMerge w:val="continue"/>
            <w:vAlign w:val="center"/>
          </w:tcPr>
          <w:p w14:paraId="5242A850">
            <w:pPr>
              <w:jc w:val="center"/>
              <w:rPr>
                <w:rFonts w:hint="eastAsia" w:ascii="宋体" w:hAnsi="宋体" w:eastAsia="宋体" w:cs="宋体"/>
                <w:sz w:val="24"/>
                <w:szCs w:val="24"/>
                <w:lang w:val="en-US" w:eastAsia="zh-CN"/>
              </w:rPr>
            </w:pPr>
          </w:p>
        </w:tc>
        <w:tc>
          <w:tcPr>
            <w:tcW w:w="802" w:type="dxa"/>
            <w:gridSpan w:val="2"/>
            <w:vMerge w:val="continue"/>
            <w:tcBorders>
              <w:left w:val="single" w:color="auto" w:sz="4" w:space="0"/>
              <w:right w:val="single" w:color="auto" w:sz="4" w:space="0"/>
            </w:tcBorders>
            <w:vAlign w:val="center"/>
          </w:tcPr>
          <w:p w14:paraId="163577BA">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1785" w:type="dxa"/>
            <w:gridSpan w:val="3"/>
            <w:tcBorders>
              <w:left w:val="single" w:color="auto" w:sz="4" w:space="0"/>
              <w:bottom w:val="single" w:color="auto" w:sz="4" w:space="0"/>
              <w:right w:val="single" w:color="auto" w:sz="4" w:space="0"/>
            </w:tcBorders>
            <w:vAlign w:val="center"/>
          </w:tcPr>
          <w:p w14:paraId="3EFB5B3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＞0.5~1.0</w:t>
            </w:r>
          </w:p>
        </w:tc>
        <w:tc>
          <w:tcPr>
            <w:tcW w:w="528" w:type="dxa"/>
            <w:gridSpan w:val="2"/>
            <w:vMerge w:val="continue"/>
            <w:tcBorders>
              <w:left w:val="single" w:color="auto" w:sz="4" w:space="0"/>
            </w:tcBorders>
            <w:vAlign w:val="center"/>
          </w:tcPr>
          <w:p w14:paraId="015F120C">
            <w:pPr>
              <w:jc w:val="center"/>
              <w:rPr>
                <w:rFonts w:hint="eastAsia" w:ascii="宋体" w:hAnsi="宋体" w:eastAsia="宋体" w:cs="宋体"/>
                <w:sz w:val="24"/>
                <w:szCs w:val="24"/>
                <w:lang w:val="en-US" w:eastAsia="zh-CN"/>
              </w:rPr>
            </w:pPr>
          </w:p>
        </w:tc>
        <w:tc>
          <w:tcPr>
            <w:tcW w:w="822" w:type="dxa"/>
            <w:vMerge w:val="continue"/>
            <w:vAlign w:val="center"/>
          </w:tcPr>
          <w:p w14:paraId="01AD8146">
            <w:pPr>
              <w:jc w:val="center"/>
              <w:rPr>
                <w:rFonts w:hint="default" w:ascii="宋体" w:hAnsi="宋体" w:eastAsia="宋体" w:cs="宋体"/>
                <w:sz w:val="24"/>
                <w:szCs w:val="24"/>
                <w:lang w:val="en-US" w:eastAsia="zh-CN"/>
              </w:rPr>
            </w:pPr>
          </w:p>
        </w:tc>
        <w:tc>
          <w:tcPr>
            <w:tcW w:w="1065" w:type="dxa"/>
            <w:vMerge w:val="continue"/>
            <w:vAlign w:val="center"/>
          </w:tcPr>
          <w:p w14:paraId="48ABF26D">
            <w:pPr>
              <w:jc w:val="center"/>
              <w:rPr>
                <w:rFonts w:hint="eastAsia" w:ascii="宋体" w:hAnsi="宋体" w:eastAsia="宋体" w:cs="宋体"/>
                <w:sz w:val="24"/>
                <w:szCs w:val="24"/>
                <w:lang w:val="en-US" w:eastAsia="zh-CN"/>
              </w:rPr>
            </w:pPr>
          </w:p>
        </w:tc>
        <w:tc>
          <w:tcPr>
            <w:tcW w:w="818" w:type="dxa"/>
            <w:gridSpan w:val="2"/>
            <w:vMerge w:val="continue"/>
            <w:vAlign w:val="center"/>
          </w:tcPr>
          <w:p w14:paraId="030530A4">
            <w:pPr>
              <w:jc w:val="center"/>
              <w:rPr>
                <w:rFonts w:hint="eastAsia" w:ascii="宋体" w:hAnsi="宋体" w:eastAsia="宋体" w:cs="宋体"/>
                <w:sz w:val="24"/>
                <w:szCs w:val="24"/>
                <w:lang w:val="en-US" w:eastAsia="zh-CN"/>
              </w:rPr>
            </w:pPr>
          </w:p>
        </w:tc>
      </w:tr>
      <w:tr w14:paraId="6942E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jc w:val="center"/>
        </w:trPr>
        <w:tc>
          <w:tcPr>
            <w:tcW w:w="1253" w:type="dxa"/>
            <w:vMerge w:val="continue"/>
            <w:vAlign w:val="center"/>
          </w:tcPr>
          <w:p w14:paraId="7DFF6575">
            <w:pPr>
              <w:jc w:val="center"/>
              <w:rPr>
                <w:rFonts w:hint="eastAsia" w:ascii="宋体" w:hAnsi="宋体" w:eastAsia="宋体" w:cs="宋体"/>
                <w:sz w:val="24"/>
                <w:szCs w:val="24"/>
                <w:lang w:val="en-US" w:eastAsia="zh-CN"/>
              </w:rPr>
            </w:pPr>
          </w:p>
        </w:tc>
        <w:tc>
          <w:tcPr>
            <w:tcW w:w="1697" w:type="dxa"/>
            <w:gridSpan w:val="2"/>
            <w:vMerge w:val="continue"/>
            <w:vAlign w:val="center"/>
          </w:tcPr>
          <w:p w14:paraId="69B67983">
            <w:pPr>
              <w:jc w:val="center"/>
              <w:rPr>
                <w:rFonts w:hint="eastAsia" w:ascii="宋体" w:hAnsi="宋体" w:eastAsia="宋体" w:cs="宋体"/>
                <w:sz w:val="24"/>
                <w:szCs w:val="24"/>
                <w:lang w:val="en-US" w:eastAsia="zh-CN"/>
              </w:rPr>
            </w:pPr>
          </w:p>
        </w:tc>
        <w:tc>
          <w:tcPr>
            <w:tcW w:w="802" w:type="dxa"/>
            <w:gridSpan w:val="2"/>
            <w:vMerge w:val="continue"/>
            <w:tcBorders>
              <w:left w:val="single" w:color="auto" w:sz="4" w:space="0"/>
              <w:right w:val="single" w:color="auto" w:sz="4" w:space="0"/>
            </w:tcBorders>
            <w:vAlign w:val="center"/>
          </w:tcPr>
          <w:p w14:paraId="2F81E9B8">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1785" w:type="dxa"/>
            <w:gridSpan w:val="3"/>
            <w:tcBorders>
              <w:left w:val="single" w:color="auto" w:sz="4" w:space="0"/>
              <w:bottom w:val="single" w:color="auto" w:sz="4" w:space="0"/>
              <w:right w:val="single" w:color="auto" w:sz="4" w:space="0"/>
            </w:tcBorders>
            <w:vAlign w:val="center"/>
          </w:tcPr>
          <w:p w14:paraId="2C9DB83C">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＞1.0~3.0</w:t>
            </w:r>
          </w:p>
        </w:tc>
        <w:tc>
          <w:tcPr>
            <w:tcW w:w="528" w:type="dxa"/>
            <w:gridSpan w:val="2"/>
            <w:vMerge w:val="continue"/>
            <w:tcBorders>
              <w:left w:val="single" w:color="auto" w:sz="4" w:space="0"/>
            </w:tcBorders>
            <w:vAlign w:val="center"/>
          </w:tcPr>
          <w:p w14:paraId="5CA7003C">
            <w:pPr>
              <w:jc w:val="center"/>
              <w:rPr>
                <w:rFonts w:hint="eastAsia" w:ascii="宋体" w:hAnsi="宋体" w:eastAsia="宋体" w:cs="宋体"/>
                <w:sz w:val="24"/>
                <w:szCs w:val="24"/>
                <w:lang w:val="en-US" w:eastAsia="zh-CN"/>
              </w:rPr>
            </w:pPr>
          </w:p>
        </w:tc>
        <w:tc>
          <w:tcPr>
            <w:tcW w:w="822" w:type="dxa"/>
            <w:vMerge w:val="continue"/>
            <w:vAlign w:val="center"/>
          </w:tcPr>
          <w:p w14:paraId="1BEA4F85">
            <w:pPr>
              <w:jc w:val="center"/>
              <w:rPr>
                <w:rFonts w:hint="default" w:ascii="宋体" w:hAnsi="宋体" w:eastAsia="宋体" w:cs="宋体"/>
                <w:sz w:val="24"/>
                <w:szCs w:val="24"/>
                <w:lang w:val="en-US" w:eastAsia="zh-CN"/>
              </w:rPr>
            </w:pPr>
          </w:p>
        </w:tc>
        <w:tc>
          <w:tcPr>
            <w:tcW w:w="1065" w:type="dxa"/>
            <w:vMerge w:val="continue"/>
            <w:vAlign w:val="center"/>
          </w:tcPr>
          <w:p w14:paraId="6DAA117F">
            <w:pPr>
              <w:jc w:val="center"/>
              <w:rPr>
                <w:rFonts w:hint="eastAsia" w:ascii="宋体" w:hAnsi="宋体" w:eastAsia="宋体" w:cs="宋体"/>
                <w:sz w:val="24"/>
                <w:szCs w:val="24"/>
                <w:lang w:val="en-US" w:eastAsia="zh-CN"/>
              </w:rPr>
            </w:pPr>
          </w:p>
        </w:tc>
        <w:tc>
          <w:tcPr>
            <w:tcW w:w="818" w:type="dxa"/>
            <w:gridSpan w:val="2"/>
            <w:vMerge w:val="continue"/>
            <w:vAlign w:val="center"/>
          </w:tcPr>
          <w:p w14:paraId="022AB92F">
            <w:pPr>
              <w:jc w:val="center"/>
              <w:rPr>
                <w:rFonts w:hint="eastAsia" w:ascii="宋体" w:hAnsi="宋体" w:eastAsia="宋体" w:cs="宋体"/>
                <w:sz w:val="24"/>
                <w:szCs w:val="24"/>
                <w:lang w:val="en-US" w:eastAsia="zh-CN"/>
              </w:rPr>
            </w:pPr>
          </w:p>
        </w:tc>
      </w:tr>
      <w:tr w14:paraId="7C2BC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jc w:val="center"/>
        </w:trPr>
        <w:tc>
          <w:tcPr>
            <w:tcW w:w="1253" w:type="dxa"/>
            <w:vMerge w:val="continue"/>
            <w:vAlign w:val="center"/>
          </w:tcPr>
          <w:p w14:paraId="42697DE5">
            <w:pPr>
              <w:jc w:val="center"/>
              <w:rPr>
                <w:rFonts w:hint="eastAsia" w:ascii="宋体" w:hAnsi="宋体" w:eastAsia="宋体" w:cs="宋体"/>
                <w:sz w:val="24"/>
                <w:szCs w:val="24"/>
                <w:lang w:val="en-US" w:eastAsia="zh-CN"/>
              </w:rPr>
            </w:pPr>
          </w:p>
        </w:tc>
        <w:tc>
          <w:tcPr>
            <w:tcW w:w="1697" w:type="dxa"/>
            <w:gridSpan w:val="2"/>
            <w:vMerge w:val="continue"/>
            <w:vAlign w:val="center"/>
          </w:tcPr>
          <w:p w14:paraId="71215598">
            <w:pPr>
              <w:jc w:val="center"/>
              <w:rPr>
                <w:rFonts w:hint="eastAsia" w:ascii="宋体" w:hAnsi="宋体" w:eastAsia="宋体" w:cs="宋体"/>
                <w:sz w:val="24"/>
                <w:szCs w:val="24"/>
                <w:lang w:val="en-US" w:eastAsia="zh-CN"/>
              </w:rPr>
            </w:pPr>
          </w:p>
        </w:tc>
        <w:tc>
          <w:tcPr>
            <w:tcW w:w="802" w:type="dxa"/>
            <w:gridSpan w:val="2"/>
            <w:vMerge w:val="continue"/>
            <w:tcBorders>
              <w:left w:val="single" w:color="auto" w:sz="4" w:space="0"/>
              <w:bottom w:val="single" w:color="auto" w:sz="4" w:space="0"/>
              <w:right w:val="single" w:color="auto" w:sz="4" w:space="0"/>
            </w:tcBorders>
            <w:vAlign w:val="center"/>
          </w:tcPr>
          <w:p w14:paraId="534E5CE6">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1785" w:type="dxa"/>
            <w:gridSpan w:val="3"/>
            <w:tcBorders>
              <w:left w:val="single" w:color="auto" w:sz="4" w:space="0"/>
              <w:bottom w:val="single" w:color="auto" w:sz="4" w:space="0"/>
              <w:right w:val="single" w:color="auto" w:sz="4" w:space="0"/>
            </w:tcBorders>
            <w:vAlign w:val="center"/>
          </w:tcPr>
          <w:p w14:paraId="27063BE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＞3.0</w:t>
            </w:r>
          </w:p>
        </w:tc>
        <w:tc>
          <w:tcPr>
            <w:tcW w:w="528" w:type="dxa"/>
            <w:gridSpan w:val="2"/>
            <w:vMerge w:val="continue"/>
            <w:tcBorders>
              <w:left w:val="single" w:color="auto" w:sz="4" w:space="0"/>
            </w:tcBorders>
            <w:vAlign w:val="center"/>
          </w:tcPr>
          <w:p w14:paraId="2A289CF0">
            <w:pPr>
              <w:jc w:val="center"/>
              <w:rPr>
                <w:rFonts w:hint="eastAsia" w:ascii="宋体" w:hAnsi="宋体" w:eastAsia="宋体" w:cs="宋体"/>
                <w:sz w:val="24"/>
                <w:szCs w:val="24"/>
                <w:lang w:val="en-US" w:eastAsia="zh-CN"/>
              </w:rPr>
            </w:pPr>
          </w:p>
        </w:tc>
        <w:tc>
          <w:tcPr>
            <w:tcW w:w="822" w:type="dxa"/>
            <w:vMerge w:val="continue"/>
            <w:vAlign w:val="center"/>
          </w:tcPr>
          <w:p w14:paraId="69DE7C9C">
            <w:pPr>
              <w:jc w:val="center"/>
              <w:rPr>
                <w:rFonts w:hint="default" w:ascii="宋体" w:hAnsi="宋体" w:eastAsia="宋体" w:cs="宋体"/>
                <w:sz w:val="24"/>
                <w:szCs w:val="24"/>
                <w:lang w:val="en-US" w:eastAsia="zh-CN"/>
              </w:rPr>
            </w:pPr>
          </w:p>
        </w:tc>
        <w:tc>
          <w:tcPr>
            <w:tcW w:w="1065" w:type="dxa"/>
            <w:vMerge w:val="continue"/>
            <w:vAlign w:val="center"/>
          </w:tcPr>
          <w:p w14:paraId="33DD6E67">
            <w:pPr>
              <w:jc w:val="center"/>
              <w:rPr>
                <w:rFonts w:hint="eastAsia" w:ascii="宋体" w:hAnsi="宋体" w:eastAsia="宋体" w:cs="宋体"/>
                <w:sz w:val="24"/>
                <w:szCs w:val="24"/>
                <w:lang w:val="en-US" w:eastAsia="zh-CN"/>
              </w:rPr>
            </w:pPr>
          </w:p>
        </w:tc>
        <w:tc>
          <w:tcPr>
            <w:tcW w:w="818" w:type="dxa"/>
            <w:gridSpan w:val="2"/>
            <w:vMerge w:val="continue"/>
            <w:vAlign w:val="center"/>
          </w:tcPr>
          <w:p w14:paraId="4B577B22">
            <w:pPr>
              <w:jc w:val="center"/>
              <w:rPr>
                <w:rFonts w:hint="eastAsia" w:ascii="宋体" w:hAnsi="宋体" w:eastAsia="宋体" w:cs="宋体"/>
                <w:sz w:val="24"/>
                <w:szCs w:val="24"/>
                <w:lang w:val="en-US" w:eastAsia="zh-CN"/>
              </w:rPr>
            </w:pPr>
          </w:p>
        </w:tc>
      </w:tr>
      <w:tr w14:paraId="3520E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 w:hRule="atLeast"/>
          <w:jc w:val="center"/>
        </w:trPr>
        <w:tc>
          <w:tcPr>
            <w:tcW w:w="1253" w:type="dxa"/>
            <w:vMerge w:val="restart"/>
            <w:shd w:val="clear" w:color="auto" w:fill="auto"/>
            <w:vAlign w:val="center"/>
          </w:tcPr>
          <w:p w14:paraId="069A09F6">
            <w:pPr>
              <w:jc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sz w:val="24"/>
                <w:szCs w:val="24"/>
                <w:lang w:val="en-US" w:eastAsia="zh-CN"/>
              </w:rPr>
              <w:t>2</w:t>
            </w:r>
          </w:p>
        </w:tc>
        <w:tc>
          <w:tcPr>
            <w:tcW w:w="1697" w:type="dxa"/>
            <w:gridSpan w:val="2"/>
            <w:vMerge w:val="restart"/>
            <w:shd w:val="clear" w:color="auto" w:fill="auto"/>
            <w:vAlign w:val="center"/>
          </w:tcPr>
          <w:p w14:paraId="163599A4">
            <w:pPr>
              <w:jc w:val="center"/>
              <w:rPr>
                <w:rFonts w:hint="default"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热轧板</w:t>
            </w:r>
            <w:r>
              <w:rPr>
                <w:rFonts w:hint="eastAsia" w:ascii="宋体" w:hAnsi="宋体" w:eastAsia="宋体" w:cs="宋体"/>
                <w:sz w:val="24"/>
                <w:szCs w:val="24"/>
                <w:lang w:val="en-US" w:eastAsia="zh-CN"/>
              </w:rPr>
              <w:t>（酸洗）</w:t>
            </w:r>
          </w:p>
        </w:tc>
        <w:tc>
          <w:tcPr>
            <w:tcW w:w="802" w:type="dxa"/>
            <w:gridSpan w:val="2"/>
            <w:vMerge w:val="restart"/>
            <w:tcBorders>
              <w:left w:val="single" w:color="auto" w:sz="4" w:space="0"/>
              <w:right w:val="single" w:color="auto" w:sz="4" w:space="0"/>
            </w:tcBorders>
            <w:shd w:val="clear" w:color="auto" w:fill="auto"/>
            <w:vAlign w:val="center"/>
          </w:tcPr>
          <w:p w14:paraId="12190661">
            <w:pPr>
              <w:keepNext w:val="0"/>
              <w:keepLines w:val="0"/>
              <w:widowControl/>
              <w:suppressLineNumbers w:val="0"/>
              <w:ind w:firstLine="210" w:firstLineChars="100"/>
              <w:jc w:val="both"/>
              <w:textAlignment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sz w:val="21"/>
                <w:szCs w:val="21"/>
                <w:lang w:val="en-US" w:eastAsia="zh-CN"/>
              </w:rPr>
              <w:t>Q235</w:t>
            </w:r>
          </w:p>
        </w:tc>
        <w:tc>
          <w:tcPr>
            <w:tcW w:w="1785" w:type="dxa"/>
            <w:gridSpan w:val="3"/>
            <w:tcBorders>
              <w:left w:val="single" w:color="auto" w:sz="4" w:space="0"/>
              <w:bottom w:val="single" w:color="auto" w:sz="4" w:space="0"/>
              <w:right w:val="single" w:color="auto" w:sz="4" w:space="0"/>
            </w:tcBorders>
            <w:shd w:val="clear" w:color="auto" w:fill="auto"/>
            <w:vAlign w:val="center"/>
          </w:tcPr>
          <w:p w14:paraId="2D20907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snapToGrid w:val="0"/>
                <w:color w:val="000000"/>
                <w:sz w:val="21"/>
                <w:szCs w:val="21"/>
                <w:lang w:val="en-US" w:eastAsia="zh-CN" w:bidi="ar-SA"/>
              </w:rPr>
              <w:t>2.0</w:t>
            </w:r>
          </w:p>
        </w:tc>
        <w:tc>
          <w:tcPr>
            <w:tcW w:w="528" w:type="dxa"/>
            <w:gridSpan w:val="2"/>
            <w:vMerge w:val="restart"/>
            <w:tcBorders>
              <w:left w:val="single" w:color="auto" w:sz="4" w:space="0"/>
            </w:tcBorders>
            <w:shd w:val="clear" w:color="auto" w:fill="auto"/>
            <w:vAlign w:val="center"/>
          </w:tcPr>
          <w:p w14:paraId="659EA9B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吨</w:t>
            </w:r>
          </w:p>
        </w:tc>
        <w:tc>
          <w:tcPr>
            <w:tcW w:w="822" w:type="dxa"/>
            <w:vMerge w:val="restart"/>
            <w:vAlign w:val="center"/>
          </w:tcPr>
          <w:p w14:paraId="16A29FD3">
            <w:pPr>
              <w:jc w:val="center"/>
              <w:rPr>
                <w:rFonts w:hint="default"/>
                <w:lang w:val="en-US" w:eastAsia="zh-CN"/>
              </w:rPr>
            </w:pPr>
          </w:p>
        </w:tc>
        <w:tc>
          <w:tcPr>
            <w:tcW w:w="1065" w:type="dxa"/>
            <w:vMerge w:val="continue"/>
            <w:vAlign w:val="center"/>
          </w:tcPr>
          <w:p w14:paraId="4D32308D">
            <w:pPr>
              <w:jc w:val="center"/>
              <w:rPr>
                <w:rFonts w:hint="eastAsia" w:ascii="宋体" w:hAnsi="宋体" w:eastAsia="宋体" w:cs="宋体"/>
                <w:sz w:val="24"/>
                <w:szCs w:val="24"/>
                <w:lang w:val="en-US" w:eastAsia="zh-CN"/>
              </w:rPr>
            </w:pPr>
          </w:p>
        </w:tc>
        <w:tc>
          <w:tcPr>
            <w:tcW w:w="818" w:type="dxa"/>
            <w:gridSpan w:val="2"/>
            <w:vMerge w:val="continue"/>
            <w:vAlign w:val="center"/>
          </w:tcPr>
          <w:p w14:paraId="146808F3">
            <w:pPr>
              <w:jc w:val="center"/>
              <w:rPr>
                <w:rFonts w:hint="eastAsia" w:ascii="宋体" w:hAnsi="宋体" w:eastAsia="宋体" w:cs="宋体"/>
                <w:sz w:val="24"/>
                <w:szCs w:val="24"/>
                <w:lang w:val="en-US" w:eastAsia="zh-CN"/>
              </w:rPr>
            </w:pPr>
          </w:p>
        </w:tc>
      </w:tr>
      <w:tr w14:paraId="4D1A5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 w:hRule="atLeast"/>
          <w:jc w:val="center"/>
        </w:trPr>
        <w:tc>
          <w:tcPr>
            <w:tcW w:w="1253" w:type="dxa"/>
            <w:vMerge w:val="continue"/>
            <w:shd w:val="clear" w:color="auto" w:fill="auto"/>
            <w:vAlign w:val="center"/>
          </w:tcPr>
          <w:p w14:paraId="1C49D010">
            <w:pPr>
              <w:jc w:val="center"/>
              <w:rPr>
                <w:rFonts w:hint="eastAsia" w:ascii="宋体" w:hAnsi="宋体" w:eastAsia="宋体" w:cs="宋体"/>
                <w:sz w:val="24"/>
                <w:szCs w:val="24"/>
                <w:lang w:val="en-US" w:eastAsia="zh-CN"/>
              </w:rPr>
            </w:pPr>
          </w:p>
        </w:tc>
        <w:tc>
          <w:tcPr>
            <w:tcW w:w="1697" w:type="dxa"/>
            <w:gridSpan w:val="2"/>
            <w:vMerge w:val="continue"/>
            <w:shd w:val="clear" w:color="auto" w:fill="auto"/>
            <w:vAlign w:val="center"/>
          </w:tcPr>
          <w:p w14:paraId="07136DA9">
            <w:pPr>
              <w:jc w:val="center"/>
              <w:rPr>
                <w:rFonts w:hint="eastAsia" w:ascii="宋体" w:hAnsi="宋体" w:eastAsia="宋体" w:cs="宋体"/>
                <w:sz w:val="24"/>
                <w:szCs w:val="24"/>
                <w:lang w:val="en-US" w:eastAsia="zh-CN"/>
              </w:rPr>
            </w:pPr>
          </w:p>
        </w:tc>
        <w:tc>
          <w:tcPr>
            <w:tcW w:w="802" w:type="dxa"/>
            <w:gridSpan w:val="2"/>
            <w:vMerge w:val="continue"/>
            <w:tcBorders>
              <w:left w:val="single" w:color="auto" w:sz="4" w:space="0"/>
              <w:right w:val="single" w:color="auto" w:sz="4" w:space="0"/>
            </w:tcBorders>
            <w:shd w:val="clear" w:color="auto" w:fill="auto"/>
            <w:vAlign w:val="center"/>
          </w:tcPr>
          <w:p w14:paraId="0FFA9723">
            <w:pPr>
              <w:keepNext w:val="0"/>
              <w:keepLines w:val="0"/>
              <w:widowControl/>
              <w:suppressLineNumbers w:val="0"/>
              <w:jc w:val="center"/>
              <w:textAlignment w:val="center"/>
              <w:rPr>
                <w:rFonts w:hint="default" w:ascii="宋体" w:hAnsi="宋体" w:eastAsia="宋体" w:cs="宋体"/>
                <w:snapToGrid w:val="0"/>
                <w:color w:val="000000"/>
                <w:sz w:val="21"/>
                <w:szCs w:val="21"/>
                <w:lang w:val="en-US" w:eastAsia="zh-CN" w:bidi="ar-SA"/>
              </w:rPr>
            </w:pPr>
          </w:p>
        </w:tc>
        <w:tc>
          <w:tcPr>
            <w:tcW w:w="17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7973B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2.5</w:t>
            </w:r>
          </w:p>
        </w:tc>
        <w:tc>
          <w:tcPr>
            <w:tcW w:w="528" w:type="dxa"/>
            <w:gridSpan w:val="2"/>
            <w:vMerge w:val="continue"/>
            <w:tcBorders>
              <w:left w:val="single" w:color="auto" w:sz="4" w:space="0"/>
            </w:tcBorders>
            <w:shd w:val="clear" w:color="auto" w:fill="auto"/>
            <w:vAlign w:val="center"/>
          </w:tcPr>
          <w:p w14:paraId="7151CE32">
            <w:pPr>
              <w:jc w:val="center"/>
              <w:rPr>
                <w:rFonts w:hint="eastAsia" w:ascii="宋体" w:hAnsi="宋体" w:eastAsia="宋体" w:cs="宋体"/>
                <w:sz w:val="24"/>
                <w:szCs w:val="24"/>
                <w:lang w:val="en-US" w:eastAsia="zh-CN"/>
              </w:rPr>
            </w:pPr>
          </w:p>
        </w:tc>
        <w:tc>
          <w:tcPr>
            <w:tcW w:w="822" w:type="dxa"/>
            <w:vMerge w:val="continue"/>
            <w:vAlign w:val="center"/>
          </w:tcPr>
          <w:p w14:paraId="5BA7E003">
            <w:pPr>
              <w:jc w:val="center"/>
              <w:rPr>
                <w:rFonts w:hint="eastAsia" w:ascii="宋体" w:hAnsi="宋体" w:eastAsia="宋体" w:cs="宋体"/>
                <w:sz w:val="24"/>
                <w:szCs w:val="24"/>
                <w:lang w:val="en-US" w:eastAsia="zh-CN"/>
              </w:rPr>
            </w:pPr>
          </w:p>
        </w:tc>
        <w:tc>
          <w:tcPr>
            <w:tcW w:w="1065" w:type="dxa"/>
            <w:vMerge w:val="continue"/>
            <w:vAlign w:val="center"/>
          </w:tcPr>
          <w:p w14:paraId="7B941E27">
            <w:pPr>
              <w:jc w:val="center"/>
              <w:rPr>
                <w:rFonts w:hint="eastAsia" w:ascii="宋体" w:hAnsi="宋体" w:eastAsia="宋体" w:cs="宋体"/>
                <w:sz w:val="24"/>
                <w:szCs w:val="24"/>
                <w:lang w:val="en-US" w:eastAsia="zh-CN"/>
              </w:rPr>
            </w:pPr>
          </w:p>
        </w:tc>
        <w:tc>
          <w:tcPr>
            <w:tcW w:w="818" w:type="dxa"/>
            <w:gridSpan w:val="2"/>
            <w:vMerge w:val="continue"/>
            <w:vAlign w:val="center"/>
          </w:tcPr>
          <w:p w14:paraId="1880CC36">
            <w:pPr>
              <w:jc w:val="center"/>
              <w:rPr>
                <w:rFonts w:hint="eastAsia" w:ascii="宋体" w:hAnsi="宋体" w:eastAsia="宋体" w:cs="宋体"/>
                <w:sz w:val="24"/>
                <w:szCs w:val="24"/>
                <w:lang w:val="en-US" w:eastAsia="zh-CN"/>
              </w:rPr>
            </w:pPr>
          </w:p>
        </w:tc>
      </w:tr>
      <w:tr w14:paraId="2C728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253" w:type="dxa"/>
            <w:vMerge w:val="restart"/>
            <w:shd w:val="clear" w:color="auto" w:fill="auto"/>
            <w:vAlign w:val="center"/>
          </w:tcPr>
          <w:p w14:paraId="454AE48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697" w:type="dxa"/>
            <w:gridSpan w:val="2"/>
            <w:vMerge w:val="restart"/>
            <w:shd w:val="clear" w:color="auto" w:fill="auto"/>
            <w:vAlign w:val="center"/>
          </w:tcPr>
          <w:p w14:paraId="6517621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不锈钢冷板</w:t>
            </w:r>
          </w:p>
        </w:tc>
        <w:tc>
          <w:tcPr>
            <w:tcW w:w="8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E166A6">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304</w:t>
            </w: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D9CFAA">
            <w:pPr>
              <w:jc w:val="center"/>
              <w:rPr>
                <w:rFonts w:hint="default" w:ascii="宋体" w:hAnsi="宋体" w:eastAsia="宋体" w:cs="宋体"/>
                <w:sz w:val="21"/>
                <w:szCs w:val="21"/>
                <w:lang w:val="en-US" w:eastAsia="zh-CN"/>
              </w:rPr>
            </w:pPr>
            <w:r>
              <w:rPr>
                <w:rFonts w:hint="eastAsia"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sz w:val="21"/>
                <w:szCs w:val="21"/>
                <w:lang w:val="en-US" w:eastAsia="zh-CN"/>
              </w:rPr>
              <w:t>1.0</w:t>
            </w:r>
          </w:p>
        </w:tc>
        <w:tc>
          <w:tcPr>
            <w:tcW w:w="528" w:type="dxa"/>
            <w:gridSpan w:val="2"/>
            <w:vMerge w:val="restart"/>
            <w:tcBorders>
              <w:left w:val="single" w:color="auto" w:sz="4" w:space="0"/>
            </w:tcBorders>
            <w:shd w:val="clear" w:color="auto" w:fill="auto"/>
            <w:vAlign w:val="center"/>
          </w:tcPr>
          <w:p w14:paraId="12CF955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吨</w:t>
            </w:r>
          </w:p>
        </w:tc>
        <w:tc>
          <w:tcPr>
            <w:tcW w:w="822" w:type="dxa"/>
            <w:vMerge w:val="restart"/>
            <w:vAlign w:val="center"/>
          </w:tcPr>
          <w:p w14:paraId="11E3AAD1">
            <w:pPr>
              <w:jc w:val="center"/>
              <w:rPr>
                <w:rFonts w:hint="eastAsia" w:ascii="宋体" w:hAnsi="宋体" w:eastAsia="宋体" w:cs="宋体"/>
                <w:sz w:val="24"/>
                <w:szCs w:val="24"/>
                <w:lang w:val="en-US" w:eastAsia="zh-CN"/>
              </w:rPr>
            </w:pPr>
          </w:p>
        </w:tc>
        <w:tc>
          <w:tcPr>
            <w:tcW w:w="1065" w:type="dxa"/>
            <w:vMerge w:val="continue"/>
            <w:vAlign w:val="center"/>
          </w:tcPr>
          <w:p w14:paraId="22113F1C">
            <w:pPr>
              <w:jc w:val="center"/>
              <w:rPr>
                <w:rFonts w:hint="eastAsia" w:ascii="宋体" w:hAnsi="宋体" w:eastAsia="宋体" w:cs="宋体"/>
                <w:sz w:val="24"/>
                <w:szCs w:val="24"/>
                <w:lang w:val="en-US" w:eastAsia="zh-CN"/>
              </w:rPr>
            </w:pPr>
          </w:p>
        </w:tc>
        <w:tc>
          <w:tcPr>
            <w:tcW w:w="818" w:type="dxa"/>
            <w:gridSpan w:val="2"/>
            <w:vMerge w:val="continue"/>
            <w:vAlign w:val="center"/>
          </w:tcPr>
          <w:p w14:paraId="2E143101">
            <w:pPr>
              <w:jc w:val="center"/>
              <w:rPr>
                <w:rFonts w:hint="eastAsia" w:ascii="宋体" w:hAnsi="宋体" w:eastAsia="宋体" w:cs="宋体"/>
                <w:sz w:val="24"/>
                <w:szCs w:val="24"/>
                <w:lang w:val="en-US" w:eastAsia="zh-CN"/>
              </w:rPr>
            </w:pPr>
          </w:p>
        </w:tc>
      </w:tr>
      <w:tr w14:paraId="3CCB2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253" w:type="dxa"/>
            <w:vMerge w:val="continue"/>
            <w:shd w:val="clear" w:color="auto" w:fill="auto"/>
            <w:vAlign w:val="center"/>
          </w:tcPr>
          <w:p w14:paraId="61B841DE">
            <w:pPr>
              <w:jc w:val="center"/>
              <w:rPr>
                <w:rFonts w:hint="eastAsia" w:ascii="宋体" w:hAnsi="宋体" w:eastAsia="宋体" w:cs="宋体"/>
                <w:sz w:val="24"/>
                <w:szCs w:val="24"/>
                <w:lang w:val="en-US" w:eastAsia="zh-CN"/>
              </w:rPr>
            </w:pPr>
          </w:p>
        </w:tc>
        <w:tc>
          <w:tcPr>
            <w:tcW w:w="1697" w:type="dxa"/>
            <w:gridSpan w:val="2"/>
            <w:vMerge w:val="continue"/>
            <w:shd w:val="clear" w:color="auto" w:fill="auto"/>
            <w:vAlign w:val="center"/>
          </w:tcPr>
          <w:p w14:paraId="66F2B108">
            <w:pPr>
              <w:jc w:val="center"/>
              <w:rPr>
                <w:rFonts w:hint="eastAsia" w:ascii="宋体" w:hAnsi="宋体" w:eastAsia="宋体" w:cs="宋体"/>
                <w:sz w:val="21"/>
                <w:szCs w:val="21"/>
                <w:lang w:val="en-US" w:eastAsia="zh-CN"/>
              </w:rPr>
            </w:pPr>
          </w:p>
        </w:tc>
        <w:tc>
          <w:tcPr>
            <w:tcW w:w="8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E69D9C">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304</w:t>
            </w: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D0D2C9">
            <w:pPr>
              <w:jc w:val="center"/>
              <w:rPr>
                <w:rFonts w:hint="default" w:ascii="宋体" w:hAnsi="宋体" w:eastAsia="宋体" w:cs="宋体"/>
                <w:sz w:val="21"/>
                <w:szCs w:val="21"/>
                <w:lang w:val="en-US" w:eastAsia="zh-CN"/>
              </w:rPr>
            </w:pPr>
            <w:r>
              <w:rPr>
                <w:rFonts w:hint="eastAsia"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sz w:val="21"/>
                <w:szCs w:val="21"/>
                <w:lang w:val="en-US" w:eastAsia="zh-CN"/>
              </w:rPr>
              <w:t>1.0~3.0</w:t>
            </w:r>
          </w:p>
        </w:tc>
        <w:tc>
          <w:tcPr>
            <w:tcW w:w="528" w:type="dxa"/>
            <w:gridSpan w:val="2"/>
            <w:vMerge w:val="continue"/>
            <w:tcBorders>
              <w:left w:val="single" w:color="auto" w:sz="4" w:space="0"/>
            </w:tcBorders>
            <w:shd w:val="clear" w:color="auto" w:fill="auto"/>
            <w:vAlign w:val="center"/>
          </w:tcPr>
          <w:p w14:paraId="47DCD55C">
            <w:pPr>
              <w:jc w:val="center"/>
              <w:rPr>
                <w:rFonts w:hint="eastAsia" w:ascii="宋体" w:hAnsi="宋体" w:eastAsia="宋体" w:cs="宋体"/>
                <w:sz w:val="24"/>
                <w:szCs w:val="24"/>
                <w:lang w:val="en-US" w:eastAsia="zh-CN"/>
              </w:rPr>
            </w:pPr>
          </w:p>
        </w:tc>
        <w:tc>
          <w:tcPr>
            <w:tcW w:w="822" w:type="dxa"/>
            <w:vMerge w:val="continue"/>
            <w:vAlign w:val="center"/>
          </w:tcPr>
          <w:p w14:paraId="3F6EE759">
            <w:pPr>
              <w:jc w:val="center"/>
              <w:rPr>
                <w:rFonts w:hint="eastAsia" w:ascii="宋体" w:hAnsi="宋体" w:eastAsia="宋体" w:cs="宋体"/>
                <w:sz w:val="24"/>
                <w:szCs w:val="24"/>
                <w:lang w:val="en-US" w:eastAsia="zh-CN"/>
              </w:rPr>
            </w:pPr>
          </w:p>
        </w:tc>
        <w:tc>
          <w:tcPr>
            <w:tcW w:w="1065" w:type="dxa"/>
            <w:vMerge w:val="continue"/>
            <w:vAlign w:val="center"/>
          </w:tcPr>
          <w:p w14:paraId="03738E84">
            <w:pPr>
              <w:jc w:val="center"/>
              <w:rPr>
                <w:rFonts w:hint="eastAsia" w:ascii="宋体" w:hAnsi="宋体" w:eastAsia="宋体" w:cs="宋体"/>
                <w:sz w:val="24"/>
                <w:szCs w:val="24"/>
                <w:lang w:val="en-US" w:eastAsia="zh-CN"/>
              </w:rPr>
            </w:pPr>
          </w:p>
        </w:tc>
        <w:tc>
          <w:tcPr>
            <w:tcW w:w="818" w:type="dxa"/>
            <w:gridSpan w:val="2"/>
            <w:vMerge w:val="continue"/>
            <w:vAlign w:val="center"/>
          </w:tcPr>
          <w:p w14:paraId="57D14EE7">
            <w:pPr>
              <w:jc w:val="center"/>
              <w:rPr>
                <w:rFonts w:hint="eastAsia" w:ascii="宋体" w:hAnsi="宋体" w:eastAsia="宋体" w:cs="宋体"/>
                <w:sz w:val="24"/>
                <w:szCs w:val="24"/>
                <w:lang w:val="en-US" w:eastAsia="zh-CN"/>
              </w:rPr>
            </w:pPr>
          </w:p>
        </w:tc>
      </w:tr>
      <w:tr w14:paraId="4A2DC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255" w:type="dxa"/>
            <w:gridSpan w:val="2"/>
            <w:vMerge w:val="restart"/>
            <w:tcBorders>
              <w:right w:val="single" w:color="000000" w:sz="4" w:space="0"/>
            </w:tcBorders>
            <w:shd w:val="clear" w:color="auto" w:fill="auto"/>
            <w:vAlign w:val="center"/>
          </w:tcPr>
          <w:p w14:paraId="22005E5D">
            <w:pPr>
              <w:jc w:val="left"/>
              <w:rPr>
                <w:rFonts w:hint="eastAsia" w:asciiTheme="minorEastAsia" w:hAnsiTheme="minorEastAsia" w:eastAsiaTheme="minorEastAsia"/>
                <w:b/>
                <w:bCs/>
                <w:color w:val="FF0000"/>
                <w:sz w:val="21"/>
                <w:szCs w:val="21"/>
                <w:lang w:val="en-US" w:eastAsia="zh-CN"/>
              </w:rPr>
            </w:pPr>
          </w:p>
          <w:p w14:paraId="71F84EEC">
            <w:pPr>
              <w:bidi w:val="0"/>
              <w:jc w:val="center"/>
              <w:rPr>
                <w:rFonts w:hint="default" w:ascii="Arial" w:hAnsi="Arial" w:eastAsia="Arial" w:cs="Arial"/>
                <w:snapToGrid w:val="0"/>
                <w:color w:val="000000"/>
                <w:sz w:val="21"/>
                <w:szCs w:val="21"/>
                <w:lang w:val="en-US" w:eastAsia="zh-CN" w:bidi="ar-SA"/>
              </w:rPr>
            </w:pPr>
            <w:r>
              <w:rPr>
                <w:rFonts w:hint="eastAsia" w:cs="Arial"/>
                <w:snapToGrid w:val="0"/>
                <w:color w:val="000000"/>
                <w:sz w:val="21"/>
                <w:szCs w:val="21"/>
                <w:lang w:val="en-US" w:eastAsia="zh-CN" w:bidi="ar-SA"/>
              </w:rPr>
              <w:t>4</w:t>
            </w:r>
          </w:p>
        </w:tc>
        <w:tc>
          <w:tcPr>
            <w:tcW w:w="1700" w:type="dxa"/>
            <w:gridSpan w:val="2"/>
            <w:vMerge w:val="restart"/>
            <w:tcBorders>
              <w:left w:val="single" w:color="000000" w:sz="4" w:space="0"/>
              <w:right w:val="single" w:color="000000" w:sz="4" w:space="0"/>
            </w:tcBorders>
            <w:shd w:val="clear" w:color="auto" w:fill="auto"/>
            <w:vAlign w:val="center"/>
          </w:tcPr>
          <w:p w14:paraId="1CF5D76F">
            <w:pPr>
              <w:jc w:val="center"/>
              <w:rPr>
                <w:rFonts w:hint="default" w:asciiTheme="minorEastAsia" w:hAnsiTheme="minorEastAsia" w:eastAsiaTheme="minorEastAsia"/>
                <w:b w:val="0"/>
                <w:bCs w:val="0"/>
                <w:color w:val="auto"/>
                <w:sz w:val="22"/>
                <w:szCs w:val="22"/>
                <w:lang w:val="en-US" w:eastAsia="zh-CN"/>
              </w:rPr>
            </w:pPr>
            <w:r>
              <w:rPr>
                <w:rFonts w:hint="eastAsia" w:asciiTheme="minorEastAsia" w:hAnsiTheme="minorEastAsia" w:eastAsiaTheme="minorEastAsia"/>
                <w:b w:val="0"/>
                <w:bCs w:val="0"/>
                <w:color w:val="auto"/>
                <w:sz w:val="22"/>
                <w:szCs w:val="22"/>
                <w:lang w:val="en-US" w:eastAsia="zh-CN"/>
              </w:rPr>
              <w:t>热轧板</w:t>
            </w:r>
          </w:p>
        </w:tc>
        <w:tc>
          <w:tcPr>
            <w:tcW w:w="800" w:type="dxa"/>
            <w:gridSpan w:val="3"/>
            <w:vMerge w:val="restart"/>
            <w:tcBorders>
              <w:left w:val="single" w:color="000000" w:sz="4" w:space="0"/>
              <w:right w:val="single" w:color="000000" w:sz="4" w:space="0"/>
            </w:tcBorders>
            <w:shd w:val="clear" w:color="auto" w:fill="auto"/>
            <w:vAlign w:val="center"/>
          </w:tcPr>
          <w:p w14:paraId="22861B57">
            <w:pPr>
              <w:jc w:val="center"/>
              <w:rPr>
                <w:rFonts w:hint="default" w:asciiTheme="minorEastAsia" w:hAnsiTheme="minorEastAsia" w:eastAsiaTheme="minorEastAsia"/>
                <w:b w:val="0"/>
                <w:bCs w:val="0"/>
                <w:color w:val="FF0000"/>
                <w:sz w:val="21"/>
                <w:szCs w:val="21"/>
                <w:lang w:val="en-US" w:eastAsia="zh-CN"/>
              </w:rPr>
            </w:pPr>
            <w:r>
              <w:rPr>
                <w:rFonts w:hint="eastAsia" w:asciiTheme="minorEastAsia" w:hAnsiTheme="minorEastAsia" w:eastAsiaTheme="minorEastAsia"/>
                <w:b w:val="0"/>
                <w:bCs w:val="0"/>
                <w:color w:val="auto"/>
                <w:sz w:val="21"/>
                <w:szCs w:val="21"/>
                <w:lang w:val="en-US" w:eastAsia="zh-CN"/>
              </w:rPr>
              <w:t>Q235</w:t>
            </w:r>
          </w:p>
        </w:tc>
        <w:tc>
          <w:tcPr>
            <w:tcW w:w="1784" w:type="dxa"/>
            <w:gridSpan w:val="2"/>
            <w:tcBorders>
              <w:left w:val="single" w:color="000000" w:sz="4" w:space="0"/>
              <w:right w:val="single" w:color="000000" w:sz="4" w:space="0"/>
            </w:tcBorders>
            <w:shd w:val="clear" w:color="auto" w:fill="auto"/>
            <w:vAlign w:val="center"/>
          </w:tcPr>
          <w:p w14:paraId="45F2BFDE">
            <w:pPr>
              <w:keepNext w:val="0"/>
              <w:keepLines w:val="0"/>
              <w:widowControl/>
              <w:suppressLineNumbers w:val="0"/>
              <w:jc w:val="center"/>
              <w:textAlignment w:val="center"/>
              <w:rPr>
                <w:rFonts w:hint="eastAsia" w:asciiTheme="minorEastAsia" w:hAnsiTheme="minorEastAsia" w:eastAsiaTheme="minorEastAsia"/>
                <w:b w:val="0"/>
                <w:bCs w:val="0"/>
                <w:color w:val="FF0000"/>
                <w:sz w:val="21"/>
                <w:szCs w:val="21"/>
                <w:lang w:val="en-US" w:eastAsia="zh-CN"/>
              </w:rPr>
            </w:pPr>
            <w:r>
              <w:rPr>
                <w:rFonts w:hint="eastAsia" w:ascii="宋体" w:hAnsi="宋体" w:eastAsia="宋体" w:cs="宋体"/>
                <w:snapToGrid w:val="0"/>
                <w:color w:val="000000"/>
                <w:sz w:val="21"/>
                <w:szCs w:val="21"/>
                <w:lang w:val="en-US" w:eastAsia="zh-CN" w:bidi="ar-SA"/>
              </w:rPr>
              <w:t>2.0</w:t>
            </w:r>
          </w:p>
        </w:tc>
        <w:tc>
          <w:tcPr>
            <w:tcW w:w="526" w:type="dxa"/>
            <w:vMerge w:val="restart"/>
            <w:tcBorders>
              <w:left w:val="single" w:color="000000" w:sz="4" w:space="0"/>
              <w:right w:val="single" w:color="000000" w:sz="4" w:space="0"/>
            </w:tcBorders>
            <w:shd w:val="clear" w:color="auto" w:fill="auto"/>
            <w:vAlign w:val="center"/>
          </w:tcPr>
          <w:p w14:paraId="0F7DDD54">
            <w:pPr>
              <w:jc w:val="center"/>
              <w:rPr>
                <w:rFonts w:hint="eastAsia" w:asciiTheme="minorEastAsia" w:hAnsiTheme="minorEastAsia" w:eastAsiaTheme="minorEastAsia"/>
                <w:b w:val="0"/>
                <w:bCs w:val="0"/>
                <w:color w:val="FF0000"/>
                <w:sz w:val="21"/>
                <w:szCs w:val="21"/>
                <w:lang w:val="en-US" w:eastAsia="zh-CN"/>
              </w:rPr>
            </w:pPr>
            <w:r>
              <w:rPr>
                <w:rFonts w:hint="eastAsia" w:ascii="宋体" w:hAnsi="宋体" w:eastAsia="宋体" w:cs="宋体"/>
                <w:sz w:val="24"/>
                <w:szCs w:val="24"/>
                <w:lang w:val="en-US" w:eastAsia="zh-CN"/>
              </w:rPr>
              <w:t>吨</w:t>
            </w:r>
          </w:p>
        </w:tc>
        <w:tc>
          <w:tcPr>
            <w:tcW w:w="822" w:type="dxa"/>
            <w:vMerge w:val="restart"/>
            <w:tcBorders>
              <w:left w:val="single" w:color="000000" w:sz="4" w:space="0"/>
              <w:right w:val="single" w:color="000000" w:sz="4" w:space="0"/>
            </w:tcBorders>
            <w:shd w:val="clear" w:color="auto" w:fill="auto"/>
            <w:vAlign w:val="center"/>
          </w:tcPr>
          <w:p w14:paraId="6B041A63">
            <w:pPr>
              <w:jc w:val="left"/>
              <w:rPr>
                <w:rFonts w:hint="eastAsia" w:asciiTheme="minorEastAsia" w:hAnsiTheme="minorEastAsia" w:eastAsiaTheme="minorEastAsia"/>
                <w:b w:val="0"/>
                <w:bCs w:val="0"/>
                <w:color w:val="FF0000"/>
                <w:sz w:val="21"/>
                <w:szCs w:val="21"/>
                <w:lang w:val="en-US" w:eastAsia="zh-CN"/>
              </w:rPr>
            </w:pPr>
          </w:p>
        </w:tc>
        <w:tc>
          <w:tcPr>
            <w:tcW w:w="1068" w:type="dxa"/>
            <w:gridSpan w:val="2"/>
            <w:vMerge w:val="continue"/>
            <w:shd w:val="clear" w:color="auto" w:fill="auto"/>
            <w:vAlign w:val="center"/>
          </w:tcPr>
          <w:p w14:paraId="5491222F">
            <w:pPr>
              <w:jc w:val="left"/>
              <w:rPr>
                <w:rFonts w:hint="eastAsia" w:asciiTheme="minorEastAsia" w:hAnsiTheme="minorEastAsia" w:eastAsiaTheme="minorEastAsia"/>
                <w:b w:val="0"/>
                <w:bCs w:val="0"/>
                <w:color w:val="FF0000"/>
                <w:sz w:val="21"/>
                <w:szCs w:val="21"/>
                <w:lang w:val="en-US" w:eastAsia="zh-CN"/>
              </w:rPr>
            </w:pPr>
          </w:p>
        </w:tc>
        <w:tc>
          <w:tcPr>
            <w:tcW w:w="815" w:type="dxa"/>
            <w:vMerge w:val="continue"/>
            <w:shd w:val="clear" w:color="auto" w:fill="auto"/>
            <w:vAlign w:val="center"/>
          </w:tcPr>
          <w:p w14:paraId="629E5846">
            <w:pPr>
              <w:jc w:val="left"/>
              <w:rPr>
                <w:rFonts w:hint="eastAsia" w:asciiTheme="minorEastAsia" w:hAnsiTheme="minorEastAsia" w:eastAsiaTheme="minorEastAsia"/>
                <w:b w:val="0"/>
                <w:bCs w:val="0"/>
                <w:color w:val="FF0000"/>
                <w:sz w:val="21"/>
                <w:szCs w:val="21"/>
                <w:lang w:val="en-US" w:eastAsia="zh-CN"/>
              </w:rPr>
            </w:pPr>
          </w:p>
        </w:tc>
      </w:tr>
      <w:tr w14:paraId="41A4F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255" w:type="dxa"/>
            <w:gridSpan w:val="2"/>
            <w:vMerge w:val="continue"/>
            <w:tcBorders>
              <w:right w:val="single" w:color="000000" w:sz="4" w:space="0"/>
            </w:tcBorders>
            <w:shd w:val="clear" w:color="auto" w:fill="auto"/>
            <w:vAlign w:val="center"/>
          </w:tcPr>
          <w:p w14:paraId="1AF76613">
            <w:pPr>
              <w:jc w:val="left"/>
              <w:rPr>
                <w:rFonts w:hint="eastAsia" w:asciiTheme="minorEastAsia" w:hAnsiTheme="minorEastAsia" w:eastAsiaTheme="minorEastAsia"/>
                <w:b/>
                <w:bCs/>
                <w:color w:val="FF0000"/>
                <w:sz w:val="21"/>
                <w:szCs w:val="21"/>
                <w:lang w:val="en-US" w:eastAsia="zh-CN"/>
              </w:rPr>
            </w:pPr>
          </w:p>
        </w:tc>
        <w:tc>
          <w:tcPr>
            <w:tcW w:w="1700" w:type="dxa"/>
            <w:gridSpan w:val="2"/>
            <w:vMerge w:val="continue"/>
            <w:tcBorders>
              <w:left w:val="single" w:color="000000" w:sz="4" w:space="0"/>
              <w:right w:val="single" w:color="000000" w:sz="4" w:space="0"/>
            </w:tcBorders>
            <w:shd w:val="clear" w:color="auto" w:fill="auto"/>
            <w:vAlign w:val="center"/>
          </w:tcPr>
          <w:p w14:paraId="5475BAFF">
            <w:pPr>
              <w:jc w:val="left"/>
              <w:rPr>
                <w:rFonts w:hint="eastAsia" w:asciiTheme="minorEastAsia" w:hAnsiTheme="minorEastAsia" w:eastAsiaTheme="minorEastAsia"/>
                <w:b/>
                <w:bCs/>
                <w:color w:val="FF0000"/>
                <w:sz w:val="21"/>
                <w:szCs w:val="21"/>
                <w:lang w:val="en-US" w:eastAsia="zh-CN"/>
              </w:rPr>
            </w:pPr>
          </w:p>
        </w:tc>
        <w:tc>
          <w:tcPr>
            <w:tcW w:w="800" w:type="dxa"/>
            <w:gridSpan w:val="3"/>
            <w:vMerge w:val="continue"/>
            <w:tcBorders>
              <w:left w:val="single" w:color="000000" w:sz="4" w:space="0"/>
              <w:right w:val="single" w:color="000000" w:sz="4" w:space="0"/>
            </w:tcBorders>
            <w:shd w:val="clear" w:color="auto" w:fill="auto"/>
            <w:vAlign w:val="center"/>
          </w:tcPr>
          <w:p w14:paraId="3CAF6BF9">
            <w:pPr>
              <w:jc w:val="left"/>
              <w:rPr>
                <w:rFonts w:hint="eastAsia" w:asciiTheme="minorEastAsia" w:hAnsiTheme="minorEastAsia" w:eastAsiaTheme="minorEastAsia"/>
                <w:b/>
                <w:bCs/>
                <w:color w:val="FF0000"/>
                <w:sz w:val="21"/>
                <w:szCs w:val="21"/>
                <w:lang w:val="en-US" w:eastAsia="zh-CN"/>
              </w:rPr>
            </w:pPr>
          </w:p>
        </w:tc>
        <w:tc>
          <w:tcPr>
            <w:tcW w:w="1784" w:type="dxa"/>
            <w:gridSpan w:val="2"/>
            <w:tcBorders>
              <w:left w:val="single" w:color="000000" w:sz="4" w:space="0"/>
              <w:right w:val="single" w:color="000000" w:sz="4" w:space="0"/>
            </w:tcBorders>
            <w:shd w:val="clear" w:color="auto" w:fill="auto"/>
            <w:vAlign w:val="center"/>
          </w:tcPr>
          <w:p w14:paraId="7869DF89">
            <w:pPr>
              <w:keepNext w:val="0"/>
              <w:keepLines w:val="0"/>
              <w:widowControl/>
              <w:suppressLineNumbers w:val="0"/>
              <w:jc w:val="center"/>
              <w:textAlignment w:val="center"/>
              <w:rPr>
                <w:rFonts w:hint="eastAsia" w:asciiTheme="minorEastAsia" w:hAnsiTheme="minorEastAsia" w:eastAsiaTheme="minorEastAsia"/>
                <w:b/>
                <w:bCs/>
                <w:color w:val="FF0000"/>
                <w:sz w:val="21"/>
                <w:szCs w:val="21"/>
                <w:lang w:val="en-US" w:eastAsia="zh-CN"/>
              </w:rPr>
            </w:pPr>
            <w:r>
              <w:rPr>
                <w:rFonts w:hint="eastAsia" w:ascii="宋体" w:hAnsi="宋体" w:eastAsia="宋体" w:cs="宋体"/>
                <w:i w:val="0"/>
                <w:iCs w:val="0"/>
                <w:snapToGrid w:val="0"/>
                <w:color w:val="000000"/>
                <w:kern w:val="0"/>
                <w:sz w:val="22"/>
                <w:szCs w:val="22"/>
                <w:u w:val="none"/>
                <w:lang w:val="en-US" w:eastAsia="zh-CN" w:bidi="ar"/>
              </w:rPr>
              <w:t>2.5</w:t>
            </w:r>
          </w:p>
        </w:tc>
        <w:tc>
          <w:tcPr>
            <w:tcW w:w="526" w:type="dxa"/>
            <w:vMerge w:val="continue"/>
            <w:tcBorders>
              <w:left w:val="single" w:color="000000" w:sz="4" w:space="0"/>
              <w:right w:val="single" w:color="000000" w:sz="4" w:space="0"/>
            </w:tcBorders>
            <w:shd w:val="clear" w:color="auto" w:fill="auto"/>
            <w:vAlign w:val="center"/>
          </w:tcPr>
          <w:p w14:paraId="2F061E09">
            <w:pPr>
              <w:jc w:val="left"/>
              <w:rPr>
                <w:rFonts w:hint="eastAsia" w:asciiTheme="minorEastAsia" w:hAnsiTheme="minorEastAsia" w:eastAsiaTheme="minorEastAsia"/>
                <w:b/>
                <w:bCs/>
                <w:color w:val="FF0000"/>
                <w:sz w:val="21"/>
                <w:szCs w:val="21"/>
                <w:lang w:val="en-US" w:eastAsia="zh-CN"/>
              </w:rPr>
            </w:pPr>
          </w:p>
        </w:tc>
        <w:tc>
          <w:tcPr>
            <w:tcW w:w="822" w:type="dxa"/>
            <w:vMerge w:val="continue"/>
            <w:tcBorders>
              <w:left w:val="single" w:color="000000" w:sz="4" w:space="0"/>
              <w:right w:val="single" w:color="000000" w:sz="4" w:space="0"/>
            </w:tcBorders>
            <w:shd w:val="clear" w:color="auto" w:fill="auto"/>
            <w:vAlign w:val="center"/>
          </w:tcPr>
          <w:p w14:paraId="42CA5F88">
            <w:pPr>
              <w:jc w:val="left"/>
              <w:rPr>
                <w:rFonts w:hint="eastAsia" w:asciiTheme="minorEastAsia" w:hAnsiTheme="minorEastAsia" w:eastAsiaTheme="minorEastAsia"/>
                <w:b/>
                <w:bCs/>
                <w:color w:val="FF0000"/>
                <w:sz w:val="21"/>
                <w:szCs w:val="21"/>
                <w:lang w:val="en-US" w:eastAsia="zh-CN"/>
              </w:rPr>
            </w:pPr>
          </w:p>
        </w:tc>
        <w:tc>
          <w:tcPr>
            <w:tcW w:w="1068" w:type="dxa"/>
            <w:gridSpan w:val="2"/>
            <w:vMerge w:val="continue"/>
            <w:shd w:val="clear" w:color="auto" w:fill="auto"/>
            <w:vAlign w:val="center"/>
          </w:tcPr>
          <w:p w14:paraId="0945183C">
            <w:pPr>
              <w:jc w:val="left"/>
              <w:rPr>
                <w:rFonts w:hint="eastAsia" w:asciiTheme="minorEastAsia" w:hAnsiTheme="minorEastAsia" w:eastAsiaTheme="minorEastAsia"/>
                <w:b/>
                <w:bCs/>
                <w:color w:val="FF0000"/>
                <w:sz w:val="21"/>
                <w:szCs w:val="21"/>
                <w:lang w:val="en-US" w:eastAsia="zh-CN"/>
              </w:rPr>
            </w:pPr>
          </w:p>
        </w:tc>
        <w:tc>
          <w:tcPr>
            <w:tcW w:w="815" w:type="dxa"/>
            <w:vMerge w:val="continue"/>
            <w:shd w:val="clear" w:color="auto" w:fill="auto"/>
            <w:vAlign w:val="center"/>
          </w:tcPr>
          <w:p w14:paraId="7ACF4C66">
            <w:pPr>
              <w:jc w:val="left"/>
              <w:rPr>
                <w:rFonts w:hint="eastAsia" w:asciiTheme="minorEastAsia" w:hAnsiTheme="minorEastAsia" w:eastAsiaTheme="minorEastAsia"/>
                <w:b/>
                <w:bCs/>
                <w:color w:val="FF0000"/>
                <w:sz w:val="21"/>
                <w:szCs w:val="21"/>
                <w:lang w:val="en-US" w:eastAsia="zh-CN"/>
              </w:rPr>
            </w:pPr>
          </w:p>
        </w:tc>
      </w:tr>
      <w:tr w14:paraId="1C89A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255" w:type="dxa"/>
            <w:gridSpan w:val="2"/>
            <w:vMerge w:val="continue"/>
            <w:tcBorders>
              <w:right w:val="single" w:color="000000" w:sz="4" w:space="0"/>
            </w:tcBorders>
            <w:shd w:val="clear" w:color="auto" w:fill="auto"/>
            <w:vAlign w:val="center"/>
          </w:tcPr>
          <w:p w14:paraId="5BFCB616">
            <w:pPr>
              <w:jc w:val="left"/>
              <w:rPr>
                <w:rFonts w:hint="eastAsia" w:asciiTheme="minorEastAsia" w:hAnsiTheme="minorEastAsia" w:eastAsiaTheme="minorEastAsia"/>
                <w:b/>
                <w:bCs/>
                <w:color w:val="FF0000"/>
                <w:sz w:val="21"/>
                <w:szCs w:val="21"/>
                <w:lang w:val="en-US" w:eastAsia="zh-CN"/>
              </w:rPr>
            </w:pPr>
          </w:p>
        </w:tc>
        <w:tc>
          <w:tcPr>
            <w:tcW w:w="1700" w:type="dxa"/>
            <w:gridSpan w:val="2"/>
            <w:vMerge w:val="continue"/>
            <w:tcBorders>
              <w:left w:val="single" w:color="000000" w:sz="4" w:space="0"/>
              <w:right w:val="single" w:color="000000" w:sz="4" w:space="0"/>
            </w:tcBorders>
            <w:shd w:val="clear" w:color="auto" w:fill="auto"/>
            <w:vAlign w:val="center"/>
          </w:tcPr>
          <w:p w14:paraId="39BCBEA7">
            <w:pPr>
              <w:jc w:val="left"/>
              <w:rPr>
                <w:rFonts w:hint="eastAsia" w:asciiTheme="minorEastAsia" w:hAnsiTheme="minorEastAsia" w:eastAsiaTheme="minorEastAsia"/>
                <w:b/>
                <w:bCs/>
                <w:color w:val="FF0000"/>
                <w:sz w:val="21"/>
                <w:szCs w:val="21"/>
                <w:lang w:val="en-US" w:eastAsia="zh-CN"/>
              </w:rPr>
            </w:pPr>
          </w:p>
        </w:tc>
        <w:tc>
          <w:tcPr>
            <w:tcW w:w="800" w:type="dxa"/>
            <w:gridSpan w:val="3"/>
            <w:vMerge w:val="continue"/>
            <w:tcBorders>
              <w:left w:val="single" w:color="000000" w:sz="4" w:space="0"/>
              <w:right w:val="single" w:color="000000" w:sz="4" w:space="0"/>
            </w:tcBorders>
            <w:shd w:val="clear" w:color="auto" w:fill="auto"/>
            <w:vAlign w:val="center"/>
          </w:tcPr>
          <w:p w14:paraId="71CE71A5">
            <w:pPr>
              <w:jc w:val="left"/>
              <w:rPr>
                <w:rFonts w:hint="eastAsia" w:asciiTheme="minorEastAsia" w:hAnsiTheme="minorEastAsia" w:eastAsiaTheme="minorEastAsia"/>
                <w:b/>
                <w:bCs/>
                <w:color w:val="FF0000"/>
                <w:sz w:val="21"/>
                <w:szCs w:val="21"/>
                <w:lang w:val="en-US" w:eastAsia="zh-CN"/>
              </w:rPr>
            </w:pPr>
          </w:p>
        </w:tc>
        <w:tc>
          <w:tcPr>
            <w:tcW w:w="1784" w:type="dxa"/>
            <w:gridSpan w:val="2"/>
            <w:tcBorders>
              <w:left w:val="single" w:color="000000" w:sz="4" w:space="0"/>
              <w:right w:val="single" w:color="000000" w:sz="4" w:space="0"/>
            </w:tcBorders>
            <w:shd w:val="clear" w:color="auto" w:fill="auto"/>
            <w:vAlign w:val="center"/>
          </w:tcPr>
          <w:p w14:paraId="7D45C135">
            <w:pPr>
              <w:keepNext w:val="0"/>
              <w:keepLines w:val="0"/>
              <w:widowControl/>
              <w:suppressLineNumbers w:val="0"/>
              <w:jc w:val="center"/>
              <w:textAlignment w:val="center"/>
              <w:rPr>
                <w:rFonts w:hint="eastAsia" w:asciiTheme="minorEastAsia" w:hAnsiTheme="minorEastAsia" w:eastAsiaTheme="minorEastAsia"/>
                <w:b/>
                <w:bCs/>
                <w:color w:val="FF0000"/>
                <w:sz w:val="21"/>
                <w:szCs w:val="21"/>
                <w:lang w:val="en-US" w:eastAsia="zh-CN"/>
              </w:rPr>
            </w:pPr>
            <w:r>
              <w:rPr>
                <w:rFonts w:hint="eastAsia" w:ascii="宋体" w:hAnsi="宋体" w:eastAsia="宋体" w:cs="宋体"/>
                <w:i w:val="0"/>
                <w:iCs w:val="0"/>
                <w:snapToGrid w:val="0"/>
                <w:color w:val="000000"/>
                <w:kern w:val="0"/>
                <w:sz w:val="22"/>
                <w:szCs w:val="22"/>
                <w:u w:val="none"/>
                <w:lang w:val="en-US" w:eastAsia="zh-CN" w:bidi="ar"/>
              </w:rPr>
              <w:t>3.0~5.0</w:t>
            </w:r>
          </w:p>
        </w:tc>
        <w:tc>
          <w:tcPr>
            <w:tcW w:w="526" w:type="dxa"/>
            <w:vMerge w:val="continue"/>
            <w:tcBorders>
              <w:left w:val="single" w:color="000000" w:sz="4" w:space="0"/>
              <w:right w:val="single" w:color="000000" w:sz="4" w:space="0"/>
            </w:tcBorders>
            <w:shd w:val="clear" w:color="auto" w:fill="auto"/>
            <w:vAlign w:val="center"/>
          </w:tcPr>
          <w:p w14:paraId="283361BB">
            <w:pPr>
              <w:jc w:val="left"/>
              <w:rPr>
                <w:rFonts w:hint="eastAsia" w:asciiTheme="minorEastAsia" w:hAnsiTheme="minorEastAsia" w:eastAsiaTheme="minorEastAsia"/>
                <w:b/>
                <w:bCs/>
                <w:color w:val="FF0000"/>
                <w:sz w:val="21"/>
                <w:szCs w:val="21"/>
                <w:lang w:val="en-US" w:eastAsia="zh-CN"/>
              </w:rPr>
            </w:pPr>
          </w:p>
        </w:tc>
        <w:tc>
          <w:tcPr>
            <w:tcW w:w="822" w:type="dxa"/>
            <w:vMerge w:val="continue"/>
            <w:tcBorders>
              <w:left w:val="single" w:color="000000" w:sz="4" w:space="0"/>
              <w:right w:val="single" w:color="000000" w:sz="4" w:space="0"/>
            </w:tcBorders>
            <w:shd w:val="clear" w:color="auto" w:fill="auto"/>
            <w:vAlign w:val="center"/>
          </w:tcPr>
          <w:p w14:paraId="05463240">
            <w:pPr>
              <w:jc w:val="left"/>
              <w:rPr>
                <w:rFonts w:hint="eastAsia" w:asciiTheme="minorEastAsia" w:hAnsiTheme="minorEastAsia" w:eastAsiaTheme="minorEastAsia"/>
                <w:b/>
                <w:bCs/>
                <w:color w:val="FF0000"/>
                <w:sz w:val="21"/>
                <w:szCs w:val="21"/>
                <w:lang w:val="en-US" w:eastAsia="zh-CN"/>
              </w:rPr>
            </w:pPr>
          </w:p>
        </w:tc>
        <w:tc>
          <w:tcPr>
            <w:tcW w:w="1068" w:type="dxa"/>
            <w:gridSpan w:val="2"/>
            <w:vMerge w:val="continue"/>
            <w:shd w:val="clear" w:color="auto" w:fill="auto"/>
            <w:vAlign w:val="center"/>
          </w:tcPr>
          <w:p w14:paraId="0A16591A">
            <w:pPr>
              <w:jc w:val="left"/>
              <w:rPr>
                <w:rFonts w:hint="eastAsia" w:asciiTheme="minorEastAsia" w:hAnsiTheme="minorEastAsia" w:eastAsiaTheme="minorEastAsia"/>
                <w:b/>
                <w:bCs/>
                <w:color w:val="FF0000"/>
                <w:sz w:val="21"/>
                <w:szCs w:val="21"/>
                <w:lang w:val="en-US" w:eastAsia="zh-CN"/>
              </w:rPr>
            </w:pPr>
          </w:p>
        </w:tc>
        <w:tc>
          <w:tcPr>
            <w:tcW w:w="815" w:type="dxa"/>
            <w:vMerge w:val="continue"/>
            <w:shd w:val="clear" w:color="auto" w:fill="auto"/>
            <w:vAlign w:val="center"/>
          </w:tcPr>
          <w:p w14:paraId="061A6CDC">
            <w:pPr>
              <w:jc w:val="left"/>
              <w:rPr>
                <w:rFonts w:hint="eastAsia" w:asciiTheme="minorEastAsia" w:hAnsiTheme="minorEastAsia" w:eastAsiaTheme="minorEastAsia"/>
                <w:b/>
                <w:bCs/>
                <w:color w:val="FF0000"/>
                <w:sz w:val="21"/>
                <w:szCs w:val="21"/>
                <w:lang w:val="en-US" w:eastAsia="zh-CN"/>
              </w:rPr>
            </w:pPr>
          </w:p>
        </w:tc>
      </w:tr>
      <w:tr w14:paraId="7FC62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255" w:type="dxa"/>
            <w:gridSpan w:val="2"/>
            <w:vMerge w:val="continue"/>
            <w:tcBorders>
              <w:right w:val="single" w:color="000000" w:sz="4" w:space="0"/>
            </w:tcBorders>
            <w:shd w:val="clear" w:color="auto" w:fill="auto"/>
            <w:vAlign w:val="center"/>
          </w:tcPr>
          <w:p w14:paraId="0BC74028">
            <w:pPr>
              <w:jc w:val="left"/>
              <w:rPr>
                <w:rFonts w:hint="eastAsia" w:asciiTheme="minorEastAsia" w:hAnsiTheme="minorEastAsia" w:eastAsiaTheme="minorEastAsia"/>
                <w:b/>
                <w:bCs/>
                <w:color w:val="FF0000"/>
                <w:sz w:val="21"/>
                <w:szCs w:val="21"/>
                <w:lang w:val="en-US" w:eastAsia="zh-CN"/>
              </w:rPr>
            </w:pPr>
          </w:p>
        </w:tc>
        <w:tc>
          <w:tcPr>
            <w:tcW w:w="1700" w:type="dxa"/>
            <w:gridSpan w:val="2"/>
            <w:vMerge w:val="continue"/>
            <w:tcBorders>
              <w:left w:val="single" w:color="000000" w:sz="4" w:space="0"/>
              <w:right w:val="single" w:color="000000" w:sz="4" w:space="0"/>
            </w:tcBorders>
            <w:shd w:val="clear" w:color="auto" w:fill="auto"/>
            <w:vAlign w:val="center"/>
          </w:tcPr>
          <w:p w14:paraId="5C5D9B5F">
            <w:pPr>
              <w:jc w:val="left"/>
              <w:rPr>
                <w:rFonts w:hint="eastAsia" w:asciiTheme="minorEastAsia" w:hAnsiTheme="minorEastAsia" w:eastAsiaTheme="minorEastAsia"/>
                <w:b/>
                <w:bCs/>
                <w:color w:val="FF0000"/>
                <w:sz w:val="21"/>
                <w:szCs w:val="21"/>
                <w:lang w:val="en-US" w:eastAsia="zh-CN"/>
              </w:rPr>
            </w:pPr>
          </w:p>
        </w:tc>
        <w:tc>
          <w:tcPr>
            <w:tcW w:w="800" w:type="dxa"/>
            <w:gridSpan w:val="3"/>
            <w:vMerge w:val="continue"/>
            <w:tcBorders>
              <w:left w:val="single" w:color="000000" w:sz="4" w:space="0"/>
              <w:right w:val="single" w:color="000000" w:sz="4" w:space="0"/>
            </w:tcBorders>
            <w:shd w:val="clear" w:color="auto" w:fill="auto"/>
            <w:vAlign w:val="center"/>
          </w:tcPr>
          <w:p w14:paraId="75D294D8">
            <w:pPr>
              <w:jc w:val="left"/>
              <w:rPr>
                <w:rFonts w:hint="eastAsia" w:asciiTheme="minorEastAsia" w:hAnsiTheme="minorEastAsia" w:eastAsiaTheme="minorEastAsia"/>
                <w:b/>
                <w:bCs/>
                <w:color w:val="FF0000"/>
                <w:sz w:val="21"/>
                <w:szCs w:val="21"/>
                <w:lang w:val="en-US" w:eastAsia="zh-CN"/>
              </w:rPr>
            </w:pPr>
          </w:p>
        </w:tc>
        <w:tc>
          <w:tcPr>
            <w:tcW w:w="1784" w:type="dxa"/>
            <w:gridSpan w:val="2"/>
            <w:tcBorders>
              <w:left w:val="single" w:color="000000" w:sz="4" w:space="0"/>
              <w:right w:val="single" w:color="000000" w:sz="4" w:space="0"/>
            </w:tcBorders>
            <w:shd w:val="clear" w:color="auto" w:fill="auto"/>
            <w:vAlign w:val="center"/>
          </w:tcPr>
          <w:p w14:paraId="10B41511">
            <w:pPr>
              <w:keepNext w:val="0"/>
              <w:keepLines w:val="0"/>
              <w:widowControl/>
              <w:suppressLineNumbers w:val="0"/>
              <w:jc w:val="center"/>
              <w:textAlignment w:val="center"/>
              <w:rPr>
                <w:rFonts w:hint="eastAsia" w:asciiTheme="minorEastAsia" w:hAnsiTheme="minorEastAsia" w:eastAsiaTheme="minorEastAsia"/>
                <w:b/>
                <w:bCs/>
                <w:color w:val="FF0000"/>
                <w:sz w:val="21"/>
                <w:szCs w:val="21"/>
                <w:lang w:val="en-US" w:eastAsia="zh-CN"/>
              </w:rPr>
            </w:pPr>
            <w:r>
              <w:rPr>
                <w:rFonts w:hint="eastAsia" w:ascii="宋体" w:hAnsi="宋体" w:eastAsia="宋体" w:cs="宋体"/>
                <w:i w:val="0"/>
                <w:iCs w:val="0"/>
                <w:snapToGrid w:val="0"/>
                <w:color w:val="000000"/>
                <w:kern w:val="0"/>
                <w:sz w:val="22"/>
                <w:szCs w:val="22"/>
                <w:u w:val="none"/>
                <w:lang w:val="en-US" w:eastAsia="zh-CN" w:bidi="ar"/>
              </w:rPr>
              <w:t>5.0~8.0</w:t>
            </w:r>
          </w:p>
        </w:tc>
        <w:tc>
          <w:tcPr>
            <w:tcW w:w="526" w:type="dxa"/>
            <w:vMerge w:val="continue"/>
            <w:tcBorders>
              <w:left w:val="single" w:color="000000" w:sz="4" w:space="0"/>
              <w:right w:val="single" w:color="000000" w:sz="4" w:space="0"/>
            </w:tcBorders>
            <w:shd w:val="clear" w:color="auto" w:fill="auto"/>
            <w:vAlign w:val="center"/>
          </w:tcPr>
          <w:p w14:paraId="4B3CC311">
            <w:pPr>
              <w:jc w:val="left"/>
              <w:rPr>
                <w:rFonts w:hint="eastAsia" w:asciiTheme="minorEastAsia" w:hAnsiTheme="minorEastAsia" w:eastAsiaTheme="minorEastAsia"/>
                <w:b/>
                <w:bCs/>
                <w:color w:val="FF0000"/>
                <w:sz w:val="21"/>
                <w:szCs w:val="21"/>
                <w:lang w:val="en-US" w:eastAsia="zh-CN"/>
              </w:rPr>
            </w:pPr>
          </w:p>
        </w:tc>
        <w:tc>
          <w:tcPr>
            <w:tcW w:w="822" w:type="dxa"/>
            <w:vMerge w:val="continue"/>
            <w:tcBorders>
              <w:left w:val="single" w:color="000000" w:sz="4" w:space="0"/>
              <w:right w:val="single" w:color="000000" w:sz="4" w:space="0"/>
            </w:tcBorders>
            <w:shd w:val="clear" w:color="auto" w:fill="auto"/>
            <w:vAlign w:val="center"/>
          </w:tcPr>
          <w:p w14:paraId="3FAF06F5">
            <w:pPr>
              <w:jc w:val="left"/>
              <w:rPr>
                <w:rFonts w:hint="eastAsia" w:asciiTheme="minorEastAsia" w:hAnsiTheme="minorEastAsia" w:eastAsiaTheme="minorEastAsia"/>
                <w:b/>
                <w:bCs/>
                <w:color w:val="FF0000"/>
                <w:sz w:val="21"/>
                <w:szCs w:val="21"/>
                <w:lang w:val="en-US" w:eastAsia="zh-CN"/>
              </w:rPr>
            </w:pPr>
          </w:p>
        </w:tc>
        <w:tc>
          <w:tcPr>
            <w:tcW w:w="1068" w:type="dxa"/>
            <w:gridSpan w:val="2"/>
            <w:vMerge w:val="continue"/>
            <w:shd w:val="clear" w:color="auto" w:fill="auto"/>
            <w:vAlign w:val="center"/>
          </w:tcPr>
          <w:p w14:paraId="3CDA33B1">
            <w:pPr>
              <w:jc w:val="left"/>
              <w:rPr>
                <w:rFonts w:hint="eastAsia" w:asciiTheme="minorEastAsia" w:hAnsiTheme="minorEastAsia" w:eastAsiaTheme="minorEastAsia"/>
                <w:b/>
                <w:bCs/>
                <w:color w:val="FF0000"/>
                <w:sz w:val="21"/>
                <w:szCs w:val="21"/>
                <w:lang w:val="en-US" w:eastAsia="zh-CN"/>
              </w:rPr>
            </w:pPr>
          </w:p>
        </w:tc>
        <w:tc>
          <w:tcPr>
            <w:tcW w:w="815" w:type="dxa"/>
            <w:vMerge w:val="continue"/>
            <w:shd w:val="clear" w:color="auto" w:fill="auto"/>
            <w:vAlign w:val="center"/>
          </w:tcPr>
          <w:p w14:paraId="0A815D65">
            <w:pPr>
              <w:jc w:val="left"/>
              <w:rPr>
                <w:rFonts w:hint="eastAsia" w:asciiTheme="minorEastAsia" w:hAnsiTheme="minorEastAsia" w:eastAsiaTheme="minorEastAsia"/>
                <w:b/>
                <w:bCs/>
                <w:color w:val="FF0000"/>
                <w:sz w:val="21"/>
                <w:szCs w:val="21"/>
                <w:lang w:val="en-US" w:eastAsia="zh-CN"/>
              </w:rPr>
            </w:pPr>
          </w:p>
        </w:tc>
      </w:tr>
      <w:tr w14:paraId="1643E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255" w:type="dxa"/>
            <w:gridSpan w:val="2"/>
            <w:vMerge w:val="continue"/>
            <w:tcBorders>
              <w:right w:val="single" w:color="000000" w:sz="4" w:space="0"/>
            </w:tcBorders>
            <w:shd w:val="clear" w:color="auto" w:fill="auto"/>
            <w:vAlign w:val="center"/>
          </w:tcPr>
          <w:p w14:paraId="20B7D9B2">
            <w:pPr>
              <w:jc w:val="left"/>
              <w:rPr>
                <w:rFonts w:hint="eastAsia" w:asciiTheme="minorEastAsia" w:hAnsiTheme="minorEastAsia" w:eastAsiaTheme="minorEastAsia"/>
                <w:b/>
                <w:bCs/>
                <w:color w:val="FF0000"/>
                <w:sz w:val="21"/>
                <w:szCs w:val="21"/>
                <w:lang w:val="en-US" w:eastAsia="zh-CN"/>
              </w:rPr>
            </w:pPr>
          </w:p>
        </w:tc>
        <w:tc>
          <w:tcPr>
            <w:tcW w:w="1700" w:type="dxa"/>
            <w:gridSpan w:val="2"/>
            <w:vMerge w:val="continue"/>
            <w:tcBorders>
              <w:left w:val="single" w:color="000000" w:sz="4" w:space="0"/>
              <w:right w:val="single" w:color="000000" w:sz="4" w:space="0"/>
            </w:tcBorders>
            <w:shd w:val="clear" w:color="auto" w:fill="auto"/>
            <w:vAlign w:val="center"/>
          </w:tcPr>
          <w:p w14:paraId="632D3D6D">
            <w:pPr>
              <w:jc w:val="left"/>
              <w:rPr>
                <w:rFonts w:hint="eastAsia" w:asciiTheme="minorEastAsia" w:hAnsiTheme="minorEastAsia" w:eastAsiaTheme="minorEastAsia"/>
                <w:b/>
                <w:bCs/>
                <w:color w:val="FF0000"/>
                <w:sz w:val="21"/>
                <w:szCs w:val="21"/>
                <w:lang w:val="en-US" w:eastAsia="zh-CN"/>
              </w:rPr>
            </w:pPr>
          </w:p>
        </w:tc>
        <w:tc>
          <w:tcPr>
            <w:tcW w:w="800" w:type="dxa"/>
            <w:gridSpan w:val="3"/>
            <w:vMerge w:val="continue"/>
            <w:tcBorders>
              <w:left w:val="single" w:color="000000" w:sz="4" w:space="0"/>
              <w:right w:val="single" w:color="000000" w:sz="4" w:space="0"/>
            </w:tcBorders>
            <w:shd w:val="clear" w:color="auto" w:fill="auto"/>
            <w:vAlign w:val="center"/>
          </w:tcPr>
          <w:p w14:paraId="08EDAB3E">
            <w:pPr>
              <w:jc w:val="left"/>
              <w:rPr>
                <w:rFonts w:hint="eastAsia" w:asciiTheme="minorEastAsia" w:hAnsiTheme="minorEastAsia" w:eastAsiaTheme="minorEastAsia"/>
                <w:b/>
                <w:bCs/>
                <w:color w:val="FF0000"/>
                <w:sz w:val="21"/>
                <w:szCs w:val="21"/>
                <w:lang w:val="en-US" w:eastAsia="zh-CN"/>
              </w:rPr>
            </w:pPr>
          </w:p>
        </w:tc>
        <w:tc>
          <w:tcPr>
            <w:tcW w:w="1784" w:type="dxa"/>
            <w:gridSpan w:val="2"/>
            <w:tcBorders>
              <w:left w:val="single" w:color="000000" w:sz="4" w:space="0"/>
              <w:right w:val="single" w:color="000000" w:sz="4" w:space="0"/>
            </w:tcBorders>
            <w:shd w:val="clear" w:color="auto" w:fill="auto"/>
            <w:vAlign w:val="center"/>
          </w:tcPr>
          <w:p w14:paraId="7F55CF76">
            <w:pPr>
              <w:keepNext w:val="0"/>
              <w:keepLines w:val="0"/>
              <w:widowControl/>
              <w:suppressLineNumbers w:val="0"/>
              <w:jc w:val="center"/>
              <w:textAlignment w:val="center"/>
              <w:rPr>
                <w:rFonts w:hint="eastAsia" w:asciiTheme="minorEastAsia" w:hAnsiTheme="minorEastAsia" w:eastAsiaTheme="minorEastAsia"/>
                <w:b/>
                <w:bCs/>
                <w:color w:val="FF0000"/>
                <w:sz w:val="21"/>
                <w:szCs w:val="21"/>
                <w:lang w:val="en-US" w:eastAsia="zh-CN"/>
              </w:rPr>
            </w:pPr>
            <w:r>
              <w:rPr>
                <w:rFonts w:hint="eastAsia" w:ascii="宋体" w:hAnsi="宋体" w:eastAsia="宋体" w:cs="宋体"/>
                <w:i w:val="0"/>
                <w:iCs w:val="0"/>
                <w:snapToGrid w:val="0"/>
                <w:color w:val="000000"/>
                <w:kern w:val="0"/>
                <w:sz w:val="22"/>
                <w:szCs w:val="22"/>
                <w:u w:val="none"/>
                <w:lang w:val="en-US" w:eastAsia="zh-CN" w:bidi="ar"/>
              </w:rPr>
              <w:t>8.0~15</w:t>
            </w:r>
          </w:p>
        </w:tc>
        <w:tc>
          <w:tcPr>
            <w:tcW w:w="526" w:type="dxa"/>
            <w:vMerge w:val="continue"/>
            <w:tcBorders>
              <w:left w:val="single" w:color="000000" w:sz="4" w:space="0"/>
              <w:right w:val="single" w:color="000000" w:sz="4" w:space="0"/>
            </w:tcBorders>
            <w:shd w:val="clear" w:color="auto" w:fill="auto"/>
            <w:vAlign w:val="center"/>
          </w:tcPr>
          <w:p w14:paraId="0C372D90">
            <w:pPr>
              <w:jc w:val="left"/>
              <w:rPr>
                <w:rFonts w:hint="eastAsia" w:asciiTheme="minorEastAsia" w:hAnsiTheme="minorEastAsia" w:eastAsiaTheme="minorEastAsia"/>
                <w:b/>
                <w:bCs/>
                <w:color w:val="FF0000"/>
                <w:sz w:val="21"/>
                <w:szCs w:val="21"/>
                <w:lang w:val="en-US" w:eastAsia="zh-CN"/>
              </w:rPr>
            </w:pPr>
          </w:p>
        </w:tc>
        <w:tc>
          <w:tcPr>
            <w:tcW w:w="822" w:type="dxa"/>
            <w:vMerge w:val="continue"/>
            <w:tcBorders>
              <w:left w:val="single" w:color="000000" w:sz="4" w:space="0"/>
              <w:right w:val="single" w:color="000000" w:sz="4" w:space="0"/>
            </w:tcBorders>
            <w:shd w:val="clear" w:color="auto" w:fill="auto"/>
            <w:vAlign w:val="center"/>
          </w:tcPr>
          <w:p w14:paraId="5B342CFA">
            <w:pPr>
              <w:jc w:val="left"/>
              <w:rPr>
                <w:rFonts w:hint="eastAsia" w:asciiTheme="minorEastAsia" w:hAnsiTheme="minorEastAsia" w:eastAsiaTheme="minorEastAsia"/>
                <w:b/>
                <w:bCs/>
                <w:color w:val="FF0000"/>
                <w:sz w:val="21"/>
                <w:szCs w:val="21"/>
                <w:lang w:val="en-US" w:eastAsia="zh-CN"/>
              </w:rPr>
            </w:pPr>
          </w:p>
        </w:tc>
        <w:tc>
          <w:tcPr>
            <w:tcW w:w="1068" w:type="dxa"/>
            <w:gridSpan w:val="2"/>
            <w:vMerge w:val="continue"/>
            <w:shd w:val="clear" w:color="auto" w:fill="auto"/>
            <w:vAlign w:val="center"/>
          </w:tcPr>
          <w:p w14:paraId="2EBA2407">
            <w:pPr>
              <w:jc w:val="left"/>
              <w:rPr>
                <w:rFonts w:hint="eastAsia" w:asciiTheme="minorEastAsia" w:hAnsiTheme="minorEastAsia" w:eastAsiaTheme="minorEastAsia"/>
                <w:b/>
                <w:bCs/>
                <w:color w:val="FF0000"/>
                <w:sz w:val="21"/>
                <w:szCs w:val="21"/>
                <w:lang w:val="en-US" w:eastAsia="zh-CN"/>
              </w:rPr>
            </w:pPr>
          </w:p>
        </w:tc>
        <w:tc>
          <w:tcPr>
            <w:tcW w:w="815" w:type="dxa"/>
            <w:vMerge w:val="continue"/>
            <w:shd w:val="clear" w:color="auto" w:fill="auto"/>
            <w:vAlign w:val="center"/>
          </w:tcPr>
          <w:p w14:paraId="579A29DA">
            <w:pPr>
              <w:jc w:val="left"/>
              <w:rPr>
                <w:rFonts w:hint="eastAsia" w:asciiTheme="minorEastAsia" w:hAnsiTheme="minorEastAsia" w:eastAsiaTheme="minorEastAsia"/>
                <w:b/>
                <w:bCs/>
                <w:color w:val="FF0000"/>
                <w:sz w:val="21"/>
                <w:szCs w:val="21"/>
                <w:lang w:val="en-US" w:eastAsia="zh-CN"/>
              </w:rPr>
            </w:pPr>
          </w:p>
        </w:tc>
      </w:tr>
      <w:tr w14:paraId="1A745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255" w:type="dxa"/>
            <w:gridSpan w:val="2"/>
            <w:vMerge w:val="continue"/>
            <w:tcBorders>
              <w:right w:val="single" w:color="000000" w:sz="4" w:space="0"/>
            </w:tcBorders>
            <w:shd w:val="clear" w:color="auto" w:fill="auto"/>
            <w:vAlign w:val="center"/>
          </w:tcPr>
          <w:p w14:paraId="6DE49199">
            <w:pPr>
              <w:jc w:val="left"/>
              <w:rPr>
                <w:rFonts w:hint="eastAsia" w:asciiTheme="minorEastAsia" w:hAnsiTheme="minorEastAsia" w:eastAsiaTheme="minorEastAsia"/>
                <w:b/>
                <w:bCs/>
                <w:color w:val="FF0000"/>
                <w:sz w:val="21"/>
                <w:szCs w:val="21"/>
                <w:lang w:val="en-US" w:eastAsia="zh-CN"/>
              </w:rPr>
            </w:pPr>
          </w:p>
        </w:tc>
        <w:tc>
          <w:tcPr>
            <w:tcW w:w="1700" w:type="dxa"/>
            <w:gridSpan w:val="2"/>
            <w:vMerge w:val="continue"/>
            <w:tcBorders>
              <w:left w:val="single" w:color="000000" w:sz="4" w:space="0"/>
              <w:right w:val="single" w:color="000000" w:sz="4" w:space="0"/>
            </w:tcBorders>
            <w:shd w:val="clear" w:color="auto" w:fill="auto"/>
            <w:vAlign w:val="center"/>
          </w:tcPr>
          <w:p w14:paraId="2E8DAC6C">
            <w:pPr>
              <w:jc w:val="left"/>
              <w:rPr>
                <w:rFonts w:hint="eastAsia" w:asciiTheme="minorEastAsia" w:hAnsiTheme="minorEastAsia" w:eastAsiaTheme="minorEastAsia"/>
                <w:b/>
                <w:bCs/>
                <w:color w:val="FF0000"/>
                <w:sz w:val="21"/>
                <w:szCs w:val="21"/>
                <w:lang w:val="en-US" w:eastAsia="zh-CN"/>
              </w:rPr>
            </w:pPr>
          </w:p>
        </w:tc>
        <w:tc>
          <w:tcPr>
            <w:tcW w:w="800" w:type="dxa"/>
            <w:gridSpan w:val="3"/>
            <w:vMerge w:val="continue"/>
            <w:tcBorders>
              <w:left w:val="single" w:color="000000" w:sz="4" w:space="0"/>
              <w:right w:val="single" w:color="000000" w:sz="4" w:space="0"/>
            </w:tcBorders>
            <w:shd w:val="clear" w:color="auto" w:fill="auto"/>
            <w:vAlign w:val="center"/>
          </w:tcPr>
          <w:p w14:paraId="26BCB27E">
            <w:pPr>
              <w:jc w:val="left"/>
              <w:rPr>
                <w:rFonts w:hint="eastAsia" w:asciiTheme="minorEastAsia" w:hAnsiTheme="minorEastAsia" w:eastAsiaTheme="minorEastAsia"/>
                <w:b/>
                <w:bCs/>
                <w:color w:val="FF0000"/>
                <w:sz w:val="21"/>
                <w:szCs w:val="21"/>
                <w:lang w:val="en-US" w:eastAsia="zh-CN"/>
              </w:rPr>
            </w:pPr>
          </w:p>
        </w:tc>
        <w:tc>
          <w:tcPr>
            <w:tcW w:w="1784" w:type="dxa"/>
            <w:gridSpan w:val="2"/>
            <w:tcBorders>
              <w:left w:val="single" w:color="000000" w:sz="4" w:space="0"/>
              <w:right w:val="single" w:color="000000" w:sz="4" w:space="0"/>
            </w:tcBorders>
            <w:shd w:val="clear" w:color="auto" w:fill="auto"/>
            <w:vAlign w:val="center"/>
          </w:tcPr>
          <w:p w14:paraId="4EB0BD43">
            <w:pPr>
              <w:keepNext w:val="0"/>
              <w:keepLines w:val="0"/>
              <w:widowControl/>
              <w:suppressLineNumbers w:val="0"/>
              <w:jc w:val="center"/>
              <w:textAlignment w:val="center"/>
              <w:rPr>
                <w:rFonts w:hint="eastAsia" w:asciiTheme="minorEastAsia" w:hAnsiTheme="minorEastAsia" w:eastAsiaTheme="minorEastAsia"/>
                <w:b/>
                <w:bCs/>
                <w:color w:val="FF0000"/>
                <w:sz w:val="21"/>
                <w:szCs w:val="21"/>
                <w:lang w:val="en-US" w:eastAsia="zh-CN"/>
              </w:rPr>
            </w:pPr>
            <w:r>
              <w:rPr>
                <w:rFonts w:hint="eastAsia" w:ascii="宋体" w:hAnsi="宋体" w:eastAsia="宋体" w:cs="宋体"/>
                <w:i w:val="0"/>
                <w:iCs w:val="0"/>
                <w:snapToGrid w:val="0"/>
                <w:color w:val="000000"/>
                <w:kern w:val="0"/>
                <w:sz w:val="22"/>
                <w:szCs w:val="22"/>
                <w:u w:val="none"/>
                <w:lang w:val="en-US" w:eastAsia="zh-CN" w:bidi="ar"/>
              </w:rPr>
              <w:t>15~25</w:t>
            </w:r>
          </w:p>
        </w:tc>
        <w:tc>
          <w:tcPr>
            <w:tcW w:w="526" w:type="dxa"/>
            <w:vMerge w:val="continue"/>
            <w:tcBorders>
              <w:left w:val="single" w:color="000000" w:sz="4" w:space="0"/>
              <w:right w:val="single" w:color="000000" w:sz="4" w:space="0"/>
            </w:tcBorders>
            <w:shd w:val="clear" w:color="auto" w:fill="auto"/>
            <w:vAlign w:val="center"/>
          </w:tcPr>
          <w:p w14:paraId="3CB5C5CD">
            <w:pPr>
              <w:jc w:val="left"/>
              <w:rPr>
                <w:rFonts w:hint="eastAsia" w:asciiTheme="minorEastAsia" w:hAnsiTheme="minorEastAsia" w:eastAsiaTheme="minorEastAsia"/>
                <w:b/>
                <w:bCs/>
                <w:color w:val="FF0000"/>
                <w:sz w:val="21"/>
                <w:szCs w:val="21"/>
                <w:lang w:val="en-US" w:eastAsia="zh-CN"/>
              </w:rPr>
            </w:pPr>
          </w:p>
        </w:tc>
        <w:tc>
          <w:tcPr>
            <w:tcW w:w="822" w:type="dxa"/>
            <w:vMerge w:val="continue"/>
            <w:tcBorders>
              <w:left w:val="single" w:color="000000" w:sz="4" w:space="0"/>
              <w:right w:val="single" w:color="000000" w:sz="4" w:space="0"/>
            </w:tcBorders>
            <w:shd w:val="clear" w:color="auto" w:fill="auto"/>
            <w:vAlign w:val="center"/>
          </w:tcPr>
          <w:p w14:paraId="28B640ED">
            <w:pPr>
              <w:jc w:val="left"/>
              <w:rPr>
                <w:rFonts w:hint="eastAsia" w:asciiTheme="minorEastAsia" w:hAnsiTheme="minorEastAsia" w:eastAsiaTheme="minorEastAsia"/>
                <w:b/>
                <w:bCs/>
                <w:color w:val="FF0000"/>
                <w:sz w:val="21"/>
                <w:szCs w:val="21"/>
                <w:lang w:val="en-US" w:eastAsia="zh-CN"/>
              </w:rPr>
            </w:pPr>
          </w:p>
        </w:tc>
        <w:tc>
          <w:tcPr>
            <w:tcW w:w="1068" w:type="dxa"/>
            <w:gridSpan w:val="2"/>
            <w:vMerge w:val="continue"/>
            <w:shd w:val="clear" w:color="auto" w:fill="auto"/>
            <w:vAlign w:val="center"/>
          </w:tcPr>
          <w:p w14:paraId="1BAD1EB8">
            <w:pPr>
              <w:jc w:val="left"/>
              <w:rPr>
                <w:rFonts w:hint="eastAsia" w:asciiTheme="minorEastAsia" w:hAnsiTheme="minorEastAsia" w:eastAsiaTheme="minorEastAsia"/>
                <w:b/>
                <w:bCs/>
                <w:color w:val="FF0000"/>
                <w:sz w:val="21"/>
                <w:szCs w:val="21"/>
                <w:lang w:val="en-US" w:eastAsia="zh-CN"/>
              </w:rPr>
            </w:pPr>
          </w:p>
        </w:tc>
        <w:tc>
          <w:tcPr>
            <w:tcW w:w="815" w:type="dxa"/>
            <w:vMerge w:val="continue"/>
            <w:shd w:val="clear" w:color="auto" w:fill="auto"/>
            <w:vAlign w:val="center"/>
          </w:tcPr>
          <w:p w14:paraId="039135C7">
            <w:pPr>
              <w:jc w:val="left"/>
              <w:rPr>
                <w:rFonts w:hint="eastAsia" w:asciiTheme="minorEastAsia" w:hAnsiTheme="minorEastAsia" w:eastAsiaTheme="minorEastAsia"/>
                <w:b/>
                <w:bCs/>
                <w:color w:val="FF0000"/>
                <w:sz w:val="21"/>
                <w:szCs w:val="21"/>
                <w:lang w:val="en-US" w:eastAsia="zh-CN"/>
              </w:rPr>
            </w:pPr>
          </w:p>
        </w:tc>
      </w:tr>
      <w:tr w14:paraId="5E266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1255" w:type="dxa"/>
            <w:gridSpan w:val="2"/>
            <w:vMerge w:val="continue"/>
            <w:tcBorders>
              <w:right w:val="single" w:color="000000" w:sz="4" w:space="0"/>
            </w:tcBorders>
            <w:shd w:val="clear" w:color="auto" w:fill="auto"/>
            <w:vAlign w:val="center"/>
          </w:tcPr>
          <w:p w14:paraId="4A8D4F3E">
            <w:pPr>
              <w:jc w:val="left"/>
              <w:rPr>
                <w:rFonts w:hint="eastAsia" w:asciiTheme="minorEastAsia" w:hAnsiTheme="minorEastAsia" w:eastAsiaTheme="minorEastAsia"/>
                <w:b/>
                <w:bCs/>
                <w:color w:val="FF0000"/>
                <w:sz w:val="21"/>
                <w:szCs w:val="21"/>
                <w:lang w:val="en-US" w:eastAsia="zh-CN"/>
              </w:rPr>
            </w:pPr>
          </w:p>
        </w:tc>
        <w:tc>
          <w:tcPr>
            <w:tcW w:w="1700" w:type="dxa"/>
            <w:gridSpan w:val="2"/>
            <w:vMerge w:val="continue"/>
            <w:tcBorders>
              <w:left w:val="single" w:color="000000" w:sz="4" w:space="0"/>
              <w:right w:val="single" w:color="000000" w:sz="4" w:space="0"/>
            </w:tcBorders>
            <w:shd w:val="clear" w:color="auto" w:fill="auto"/>
            <w:vAlign w:val="center"/>
          </w:tcPr>
          <w:p w14:paraId="6D6D61C9">
            <w:pPr>
              <w:jc w:val="left"/>
              <w:rPr>
                <w:rFonts w:hint="eastAsia" w:asciiTheme="minorEastAsia" w:hAnsiTheme="minorEastAsia" w:eastAsiaTheme="minorEastAsia"/>
                <w:b/>
                <w:bCs/>
                <w:color w:val="FF0000"/>
                <w:sz w:val="21"/>
                <w:szCs w:val="21"/>
                <w:lang w:val="en-US" w:eastAsia="zh-CN"/>
              </w:rPr>
            </w:pPr>
          </w:p>
        </w:tc>
        <w:tc>
          <w:tcPr>
            <w:tcW w:w="800" w:type="dxa"/>
            <w:gridSpan w:val="3"/>
            <w:vMerge w:val="continue"/>
            <w:tcBorders>
              <w:left w:val="single" w:color="000000" w:sz="4" w:space="0"/>
              <w:right w:val="single" w:color="000000" w:sz="4" w:space="0"/>
            </w:tcBorders>
            <w:shd w:val="clear" w:color="auto" w:fill="auto"/>
            <w:vAlign w:val="center"/>
          </w:tcPr>
          <w:p w14:paraId="4E926FE7">
            <w:pPr>
              <w:jc w:val="left"/>
              <w:rPr>
                <w:rFonts w:hint="eastAsia" w:asciiTheme="minorEastAsia" w:hAnsiTheme="minorEastAsia" w:eastAsiaTheme="minorEastAsia"/>
                <w:b/>
                <w:bCs/>
                <w:color w:val="FF0000"/>
                <w:sz w:val="21"/>
                <w:szCs w:val="21"/>
                <w:lang w:val="en-US" w:eastAsia="zh-CN"/>
              </w:rPr>
            </w:pPr>
          </w:p>
        </w:tc>
        <w:tc>
          <w:tcPr>
            <w:tcW w:w="1784" w:type="dxa"/>
            <w:gridSpan w:val="2"/>
            <w:tcBorders>
              <w:left w:val="single" w:color="000000" w:sz="4" w:space="0"/>
              <w:right w:val="single" w:color="000000" w:sz="4" w:space="0"/>
            </w:tcBorders>
            <w:shd w:val="clear" w:color="auto" w:fill="auto"/>
            <w:vAlign w:val="center"/>
          </w:tcPr>
          <w:p w14:paraId="6C09E10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25~40</w:t>
            </w:r>
          </w:p>
        </w:tc>
        <w:tc>
          <w:tcPr>
            <w:tcW w:w="526" w:type="dxa"/>
            <w:vMerge w:val="continue"/>
            <w:tcBorders>
              <w:left w:val="single" w:color="000000" w:sz="4" w:space="0"/>
              <w:right w:val="single" w:color="000000" w:sz="4" w:space="0"/>
            </w:tcBorders>
            <w:shd w:val="clear" w:color="auto" w:fill="auto"/>
            <w:vAlign w:val="center"/>
          </w:tcPr>
          <w:p w14:paraId="583713C7">
            <w:pPr>
              <w:jc w:val="left"/>
              <w:rPr>
                <w:rFonts w:hint="eastAsia" w:asciiTheme="minorEastAsia" w:hAnsiTheme="minorEastAsia" w:eastAsiaTheme="minorEastAsia"/>
                <w:b/>
                <w:bCs/>
                <w:color w:val="FF0000"/>
                <w:sz w:val="21"/>
                <w:szCs w:val="21"/>
                <w:lang w:val="en-US" w:eastAsia="zh-CN"/>
              </w:rPr>
            </w:pPr>
          </w:p>
        </w:tc>
        <w:tc>
          <w:tcPr>
            <w:tcW w:w="822" w:type="dxa"/>
            <w:vMerge w:val="continue"/>
            <w:tcBorders>
              <w:left w:val="single" w:color="000000" w:sz="4" w:space="0"/>
              <w:right w:val="single" w:color="000000" w:sz="4" w:space="0"/>
            </w:tcBorders>
            <w:shd w:val="clear" w:color="auto" w:fill="auto"/>
            <w:vAlign w:val="center"/>
          </w:tcPr>
          <w:p w14:paraId="0C75D4FB">
            <w:pPr>
              <w:jc w:val="left"/>
              <w:rPr>
                <w:rFonts w:hint="eastAsia" w:asciiTheme="minorEastAsia" w:hAnsiTheme="minorEastAsia" w:eastAsiaTheme="minorEastAsia"/>
                <w:b/>
                <w:bCs/>
                <w:color w:val="FF0000"/>
                <w:sz w:val="21"/>
                <w:szCs w:val="21"/>
                <w:lang w:val="en-US" w:eastAsia="zh-CN"/>
              </w:rPr>
            </w:pPr>
          </w:p>
        </w:tc>
        <w:tc>
          <w:tcPr>
            <w:tcW w:w="1068" w:type="dxa"/>
            <w:gridSpan w:val="2"/>
            <w:vMerge w:val="continue"/>
            <w:shd w:val="clear" w:color="auto" w:fill="auto"/>
            <w:vAlign w:val="center"/>
          </w:tcPr>
          <w:p w14:paraId="4EF14D0E">
            <w:pPr>
              <w:jc w:val="left"/>
              <w:rPr>
                <w:rFonts w:hint="eastAsia" w:asciiTheme="minorEastAsia" w:hAnsiTheme="minorEastAsia" w:eastAsiaTheme="minorEastAsia"/>
                <w:b/>
                <w:bCs/>
                <w:color w:val="FF0000"/>
                <w:sz w:val="21"/>
                <w:szCs w:val="21"/>
                <w:lang w:val="en-US" w:eastAsia="zh-CN"/>
              </w:rPr>
            </w:pPr>
          </w:p>
        </w:tc>
        <w:tc>
          <w:tcPr>
            <w:tcW w:w="815" w:type="dxa"/>
            <w:vMerge w:val="continue"/>
            <w:shd w:val="clear" w:color="auto" w:fill="auto"/>
            <w:vAlign w:val="center"/>
          </w:tcPr>
          <w:p w14:paraId="7AF4B6CD">
            <w:pPr>
              <w:jc w:val="left"/>
              <w:rPr>
                <w:rFonts w:hint="eastAsia" w:asciiTheme="minorEastAsia" w:hAnsiTheme="minorEastAsia" w:eastAsiaTheme="minorEastAsia"/>
                <w:b/>
                <w:bCs/>
                <w:color w:val="FF0000"/>
                <w:sz w:val="21"/>
                <w:szCs w:val="21"/>
                <w:lang w:val="en-US" w:eastAsia="zh-CN"/>
              </w:rPr>
            </w:pPr>
          </w:p>
        </w:tc>
      </w:tr>
      <w:tr w14:paraId="4E049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 w:hRule="atLeast"/>
          <w:jc w:val="center"/>
        </w:trPr>
        <w:tc>
          <w:tcPr>
            <w:tcW w:w="8770" w:type="dxa"/>
            <w:gridSpan w:val="14"/>
            <w:shd w:val="clear" w:color="auto" w:fill="auto"/>
            <w:vAlign w:val="center"/>
          </w:tcPr>
          <w:p w14:paraId="04C7DFDD">
            <w:pPr>
              <w:jc w:val="left"/>
              <w:rPr>
                <w:rFonts w:hint="eastAsia" w:ascii="宋体" w:hAnsi="宋体" w:eastAsia="宋体" w:cs="宋体"/>
                <w:sz w:val="24"/>
                <w:szCs w:val="24"/>
                <w:lang w:val="en-US" w:eastAsia="zh-CN"/>
              </w:rPr>
            </w:pPr>
            <w:r>
              <w:rPr>
                <w:rFonts w:hint="eastAsia" w:asciiTheme="minorEastAsia" w:hAnsiTheme="minorEastAsia" w:eastAsiaTheme="minorEastAsia"/>
                <w:b/>
                <w:bCs/>
                <w:color w:val="FF0000"/>
                <w:sz w:val="21"/>
                <w:szCs w:val="21"/>
                <w:lang w:val="en-US" w:eastAsia="zh-CN"/>
              </w:rPr>
              <w:t>含13%税票和运费到厂价格，确定中标单位后，每次下订单仍按我的钢铁网，上海市场当日市场基准单价+固定幅度（以10元/吨为升降基准幅度，降幅最高或升幅最低）作为单次采购单价</w:t>
            </w:r>
          </w:p>
        </w:tc>
      </w:tr>
    </w:tbl>
    <w:p w14:paraId="01985D0A">
      <w:pPr>
        <w:pStyle w:val="28"/>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sz w:val="24"/>
          <w:szCs w:val="24"/>
        </w:rPr>
        <w:t>(具体相关信息如技术参数、规格、质量标准、包装、运输费等要求请与我单位相关人员联系，联系人：</w:t>
      </w:r>
      <w:r>
        <w:rPr>
          <w:rFonts w:hint="eastAsia" w:ascii="宋体" w:hAnsi="宋体" w:eastAsia="宋体" w:cs="宋体"/>
          <w:sz w:val="24"/>
          <w:szCs w:val="24"/>
          <w:u w:val="single"/>
          <w:lang w:val="en-US" w:eastAsia="zh-CN"/>
        </w:rPr>
        <w:t xml:space="preserve">翁经理 </w:t>
      </w: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18506982285</w:t>
      </w:r>
      <w:r>
        <w:rPr>
          <w:rFonts w:hint="eastAsia" w:ascii="宋体" w:hAnsi="宋体" w:eastAsia="宋体" w:cs="宋体"/>
          <w:sz w:val="24"/>
          <w:szCs w:val="24"/>
        </w:rPr>
        <w:t>)</w:t>
      </w:r>
    </w:p>
    <w:p w14:paraId="0DA4197D">
      <w:pPr>
        <w:pStyle w:val="28"/>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sz w:val="24"/>
          <w:szCs w:val="24"/>
          <w:lang w:val="en-US" w:eastAsia="zh-CN"/>
        </w:rPr>
        <w:t>执行标准：</w:t>
      </w:r>
    </w:p>
    <w:p w14:paraId="5824E4EE">
      <w:pPr>
        <w:pStyle w:val="28"/>
        <w:numPr>
          <w:ilvl w:val="0"/>
          <w:numId w:val="0"/>
        </w:numPr>
        <w:kinsoku/>
        <w:spacing w:line="360" w:lineRule="auto"/>
        <w:ind w:left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(1)包装、标志和质量证明书执行</w:t>
      </w:r>
      <w:r>
        <w:rPr>
          <w:rFonts w:hint="eastAsia" w:ascii="宋体" w:hAnsi="宋体" w:eastAsia="宋体" w:cs="宋体"/>
          <w:color w:val="auto"/>
          <w:sz w:val="24"/>
          <w:szCs w:val="24"/>
          <w:lang w:val="en-US" w:eastAsia="zh-CN"/>
        </w:rPr>
        <w:t>以下</w:t>
      </w:r>
      <w:r>
        <w:rPr>
          <w:rFonts w:hint="eastAsia" w:ascii="宋体" w:hAnsi="宋体" w:eastAsia="宋体" w:cs="宋体"/>
          <w:color w:val="auto"/>
          <w:sz w:val="24"/>
          <w:szCs w:val="24"/>
        </w:rPr>
        <w:t>标准</w:t>
      </w:r>
      <w:r>
        <w:rPr>
          <w:rFonts w:hint="eastAsia" w:ascii="宋体" w:hAnsi="宋体" w:eastAsia="宋体" w:cs="宋体"/>
          <w:color w:val="auto"/>
          <w:sz w:val="24"/>
          <w:szCs w:val="24"/>
          <w:lang w:eastAsia="zh-CN"/>
        </w:rPr>
        <w:t>。</w:t>
      </w:r>
    </w:p>
    <w:tbl>
      <w:tblPr>
        <w:tblStyle w:val="16"/>
        <w:tblW w:w="0" w:type="auto"/>
        <w:tblInd w:w="5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0"/>
        <w:gridCol w:w="5730"/>
      </w:tblGrid>
      <w:tr w14:paraId="7A03E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890" w:type="dxa"/>
            <w:tcBorders>
              <w:tl2br w:val="nil"/>
              <w:tr2bl w:val="nil"/>
            </w:tcBorders>
            <w:noWrap w:val="0"/>
            <w:vAlign w:val="top"/>
          </w:tcPr>
          <w:p w14:paraId="7541013C">
            <w:pPr>
              <w:spacing w:line="440" w:lineRule="exact"/>
              <w:rPr>
                <w:rFonts w:hint="default" w:ascii="宋体" w:hAnsi="宋体" w:eastAsia="宋体"/>
                <w:color w:val="000000"/>
                <w:szCs w:val="21"/>
                <w:lang w:val="en-US" w:eastAsia="zh-CN"/>
              </w:rPr>
            </w:pPr>
            <w:r>
              <w:rPr>
                <w:rFonts w:ascii="宋体" w:hAnsi="宋体"/>
                <w:color w:val="000000"/>
                <w:szCs w:val="21"/>
              </w:rPr>
              <w:t>GB/</w:t>
            </w:r>
            <w:r>
              <w:rPr>
                <w:rFonts w:hint="eastAsia" w:ascii="宋体" w:hAnsi="宋体"/>
                <w:color w:val="000000"/>
                <w:szCs w:val="21"/>
              </w:rPr>
              <w:t>T</w:t>
            </w:r>
            <w:r>
              <w:rPr>
                <w:rFonts w:ascii="宋体" w:hAnsi="宋体"/>
                <w:color w:val="000000"/>
                <w:szCs w:val="21"/>
              </w:rPr>
              <w:t xml:space="preserve"> </w:t>
            </w:r>
            <w:r>
              <w:rPr>
                <w:rFonts w:hint="eastAsia" w:ascii="宋体" w:hAnsi="宋体" w:eastAsia="宋体"/>
                <w:color w:val="000000"/>
                <w:szCs w:val="21"/>
                <w:lang w:val="en-US" w:eastAsia="zh-CN"/>
              </w:rPr>
              <w:t>247-2008</w:t>
            </w:r>
          </w:p>
        </w:tc>
        <w:tc>
          <w:tcPr>
            <w:tcW w:w="5730" w:type="dxa"/>
            <w:tcBorders>
              <w:tl2br w:val="nil"/>
              <w:tr2bl w:val="nil"/>
            </w:tcBorders>
            <w:noWrap w:val="0"/>
            <w:vAlign w:val="top"/>
          </w:tcPr>
          <w:p w14:paraId="3D9C6E8A">
            <w:pPr>
              <w:spacing w:line="440" w:lineRule="exact"/>
              <w:rPr>
                <w:rFonts w:hint="eastAsia" w:ascii="宋体" w:hAnsi="宋体"/>
                <w:color w:val="000000"/>
                <w:szCs w:val="21"/>
              </w:rPr>
            </w:pPr>
            <w:r>
              <w:rPr>
                <w:rFonts w:hint="eastAsia" w:ascii="宋体" w:hAnsi="宋体"/>
                <w:color w:val="000000"/>
                <w:szCs w:val="21"/>
              </w:rPr>
              <w:t>钢板和钢带包装、标志及质量证明书的一般规定</w:t>
            </w:r>
          </w:p>
        </w:tc>
      </w:tr>
    </w:tbl>
    <w:p w14:paraId="108A842B">
      <w:pPr>
        <w:pStyle w:val="28"/>
        <w:numPr>
          <w:ilvl w:val="0"/>
          <w:numId w:val="0"/>
        </w:numPr>
        <w:kinsoku/>
        <w:spacing w:line="360" w:lineRule="auto"/>
        <w:ind w:leftChars="200"/>
        <w:rPr>
          <w:rFonts w:hint="eastAsia" w:ascii="宋体" w:hAnsi="宋体" w:eastAsia="宋体" w:cs="宋体"/>
          <w:color w:val="auto"/>
          <w:sz w:val="24"/>
          <w:szCs w:val="24"/>
        </w:rPr>
      </w:pPr>
    </w:p>
    <w:p w14:paraId="37610B69">
      <w:pPr>
        <w:pStyle w:val="28"/>
        <w:numPr>
          <w:ilvl w:val="0"/>
          <w:numId w:val="0"/>
        </w:numPr>
        <w:kinsoku/>
        <w:spacing w:line="360" w:lineRule="auto"/>
        <w:ind w:leftChars="200"/>
        <w:rPr>
          <w:rFonts w:hint="eastAsia" w:ascii="宋体" w:hAnsi="宋体" w:eastAsia="宋体" w:cs="宋体"/>
          <w:color w:val="auto"/>
          <w:sz w:val="24"/>
          <w:szCs w:val="24"/>
        </w:rPr>
      </w:pPr>
      <w:r>
        <w:rPr>
          <w:rFonts w:hint="eastAsia" w:ascii="宋体" w:hAnsi="宋体" w:eastAsia="宋体" w:cs="宋体"/>
          <w:color w:val="auto"/>
          <w:sz w:val="24"/>
          <w:szCs w:val="24"/>
        </w:rPr>
        <w:t>(2)尺寸、外形、重量及允许偏差执行</w:t>
      </w:r>
      <w:r>
        <w:rPr>
          <w:rFonts w:hint="eastAsia" w:ascii="宋体" w:hAnsi="宋体" w:eastAsia="宋体" w:cs="宋体"/>
          <w:color w:val="auto"/>
          <w:sz w:val="24"/>
          <w:szCs w:val="24"/>
          <w:lang w:val="en-US" w:eastAsia="zh-CN"/>
        </w:rPr>
        <w:t>以下</w:t>
      </w:r>
      <w:r>
        <w:rPr>
          <w:rFonts w:hint="eastAsia" w:ascii="宋体" w:hAnsi="宋体" w:eastAsia="宋体" w:cs="宋体"/>
          <w:color w:val="auto"/>
          <w:sz w:val="24"/>
          <w:szCs w:val="24"/>
        </w:rPr>
        <w:t>国家标准。</w:t>
      </w:r>
    </w:p>
    <w:tbl>
      <w:tblPr>
        <w:tblStyle w:val="16"/>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5730"/>
      </w:tblGrid>
      <w:tr w14:paraId="05D0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0" w:type="dxa"/>
            <w:tcBorders>
              <w:tl2br w:val="nil"/>
              <w:tr2bl w:val="nil"/>
            </w:tcBorders>
            <w:noWrap w:val="0"/>
            <w:vAlign w:val="top"/>
          </w:tcPr>
          <w:p w14:paraId="3E97005E">
            <w:pPr>
              <w:spacing w:line="440" w:lineRule="exact"/>
              <w:rPr>
                <w:rFonts w:hint="eastAsia" w:ascii="宋体" w:hAnsi="宋体"/>
                <w:color w:val="000000"/>
                <w:szCs w:val="21"/>
              </w:rPr>
            </w:pPr>
            <w:r>
              <w:rPr>
                <w:rFonts w:ascii="宋体" w:hAnsi="宋体"/>
                <w:color w:val="000000"/>
                <w:szCs w:val="21"/>
              </w:rPr>
              <w:t>GB/</w:t>
            </w:r>
            <w:r>
              <w:rPr>
                <w:rFonts w:hint="eastAsia" w:ascii="宋体" w:hAnsi="宋体"/>
                <w:color w:val="000000"/>
                <w:szCs w:val="21"/>
              </w:rPr>
              <w:t>T</w:t>
            </w:r>
            <w:r>
              <w:rPr>
                <w:rFonts w:ascii="宋体" w:hAnsi="宋体"/>
                <w:color w:val="000000"/>
                <w:szCs w:val="21"/>
              </w:rPr>
              <w:t xml:space="preserve"> 70</w:t>
            </w:r>
            <w:r>
              <w:rPr>
                <w:rFonts w:hint="eastAsia" w:ascii="宋体" w:hAnsi="宋体"/>
                <w:color w:val="000000"/>
                <w:szCs w:val="21"/>
              </w:rPr>
              <w:t>8</w:t>
            </w:r>
          </w:p>
        </w:tc>
        <w:tc>
          <w:tcPr>
            <w:tcW w:w="5730" w:type="dxa"/>
            <w:tcBorders>
              <w:tl2br w:val="nil"/>
              <w:tr2bl w:val="nil"/>
            </w:tcBorders>
            <w:noWrap w:val="0"/>
            <w:vAlign w:val="top"/>
          </w:tcPr>
          <w:p w14:paraId="34B025CE">
            <w:pPr>
              <w:spacing w:line="440" w:lineRule="exact"/>
              <w:rPr>
                <w:rFonts w:hint="eastAsia" w:ascii="宋体" w:hAnsi="宋体"/>
                <w:color w:val="000000"/>
                <w:szCs w:val="21"/>
              </w:rPr>
            </w:pPr>
            <w:r>
              <w:rPr>
                <w:rFonts w:hint="eastAsia" w:ascii="宋体" w:hAnsi="宋体"/>
                <w:color w:val="000000"/>
                <w:szCs w:val="21"/>
              </w:rPr>
              <w:t>冷轧钢板和钢带尺寸、外形、重量及允许偏差</w:t>
            </w:r>
          </w:p>
        </w:tc>
      </w:tr>
      <w:tr w14:paraId="2294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0" w:type="dxa"/>
            <w:tcBorders>
              <w:tl2br w:val="nil"/>
              <w:tr2bl w:val="nil"/>
            </w:tcBorders>
            <w:noWrap w:val="0"/>
            <w:vAlign w:val="top"/>
          </w:tcPr>
          <w:p w14:paraId="0363F0B3">
            <w:pPr>
              <w:spacing w:line="440" w:lineRule="exact"/>
              <w:rPr>
                <w:rFonts w:hint="eastAsia" w:ascii="宋体" w:hAnsi="宋体"/>
                <w:color w:val="000000"/>
                <w:szCs w:val="21"/>
              </w:rPr>
            </w:pPr>
            <w:r>
              <w:rPr>
                <w:rFonts w:ascii="宋体" w:hAnsi="宋体"/>
                <w:color w:val="000000"/>
                <w:szCs w:val="21"/>
              </w:rPr>
              <w:t>GB/</w:t>
            </w:r>
            <w:r>
              <w:rPr>
                <w:rFonts w:hint="eastAsia" w:ascii="宋体" w:hAnsi="宋体"/>
                <w:color w:val="000000"/>
                <w:szCs w:val="21"/>
              </w:rPr>
              <w:t>T</w:t>
            </w:r>
            <w:r>
              <w:rPr>
                <w:rFonts w:ascii="宋体" w:hAnsi="宋体"/>
                <w:color w:val="000000"/>
                <w:szCs w:val="21"/>
              </w:rPr>
              <w:t xml:space="preserve"> 709</w:t>
            </w:r>
          </w:p>
        </w:tc>
        <w:tc>
          <w:tcPr>
            <w:tcW w:w="5730" w:type="dxa"/>
            <w:tcBorders>
              <w:tl2br w:val="nil"/>
              <w:tr2bl w:val="nil"/>
            </w:tcBorders>
            <w:noWrap w:val="0"/>
            <w:vAlign w:val="top"/>
          </w:tcPr>
          <w:p w14:paraId="4EA96F57">
            <w:pPr>
              <w:spacing w:line="440" w:lineRule="exact"/>
              <w:rPr>
                <w:rFonts w:hint="eastAsia" w:ascii="宋体" w:hAnsi="宋体"/>
                <w:color w:val="000000"/>
                <w:szCs w:val="21"/>
              </w:rPr>
            </w:pPr>
            <w:r>
              <w:rPr>
                <w:rFonts w:hint="eastAsia" w:ascii="宋体" w:hAnsi="宋体"/>
                <w:color w:val="000000"/>
                <w:szCs w:val="21"/>
              </w:rPr>
              <w:t>热轧钢板和钢带尺寸、外形、重量及允许偏差</w:t>
            </w:r>
          </w:p>
        </w:tc>
      </w:tr>
      <w:tr w14:paraId="28E6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0" w:type="dxa"/>
            <w:tcBorders>
              <w:tl2br w:val="nil"/>
              <w:tr2bl w:val="nil"/>
            </w:tcBorders>
            <w:noWrap w:val="0"/>
            <w:vAlign w:val="top"/>
          </w:tcPr>
          <w:p w14:paraId="1FC2446A">
            <w:pPr>
              <w:spacing w:line="440" w:lineRule="exact"/>
              <w:rPr>
                <w:rFonts w:hint="eastAsia" w:ascii="宋体" w:hAnsi="宋体"/>
                <w:color w:val="000000"/>
                <w:szCs w:val="21"/>
              </w:rPr>
            </w:pPr>
            <w:r>
              <w:rPr>
                <w:rFonts w:ascii="宋体" w:hAnsi="宋体"/>
                <w:color w:val="000000"/>
                <w:szCs w:val="21"/>
              </w:rPr>
              <w:t>GB/</w:t>
            </w:r>
            <w:r>
              <w:rPr>
                <w:rFonts w:hint="eastAsia" w:ascii="宋体" w:hAnsi="宋体"/>
                <w:color w:val="000000"/>
                <w:szCs w:val="21"/>
              </w:rPr>
              <w:t>T</w:t>
            </w:r>
            <w:r>
              <w:rPr>
                <w:rFonts w:ascii="宋体" w:hAnsi="宋体"/>
                <w:color w:val="000000"/>
                <w:szCs w:val="21"/>
              </w:rPr>
              <w:t xml:space="preserve"> 710</w:t>
            </w:r>
          </w:p>
        </w:tc>
        <w:tc>
          <w:tcPr>
            <w:tcW w:w="5730" w:type="dxa"/>
            <w:tcBorders>
              <w:tl2br w:val="nil"/>
              <w:tr2bl w:val="nil"/>
            </w:tcBorders>
            <w:noWrap w:val="0"/>
            <w:vAlign w:val="top"/>
          </w:tcPr>
          <w:p w14:paraId="2C68C34F">
            <w:pPr>
              <w:spacing w:line="440" w:lineRule="exact"/>
              <w:rPr>
                <w:rFonts w:hint="eastAsia" w:ascii="宋体" w:hAnsi="宋体"/>
                <w:color w:val="000000"/>
                <w:szCs w:val="21"/>
              </w:rPr>
            </w:pPr>
            <w:r>
              <w:rPr>
                <w:rFonts w:hint="eastAsia" w:ascii="宋体" w:hAnsi="宋体"/>
                <w:color w:val="000000"/>
                <w:szCs w:val="21"/>
              </w:rPr>
              <w:t>优质碳素结构钢热轧薄钢板和钢带</w:t>
            </w:r>
          </w:p>
        </w:tc>
      </w:tr>
      <w:tr w14:paraId="50C4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0" w:type="dxa"/>
            <w:tcBorders>
              <w:tl2br w:val="nil"/>
              <w:tr2bl w:val="nil"/>
            </w:tcBorders>
            <w:noWrap w:val="0"/>
            <w:vAlign w:val="top"/>
          </w:tcPr>
          <w:p w14:paraId="447582ED">
            <w:pPr>
              <w:spacing w:line="440" w:lineRule="exact"/>
              <w:rPr>
                <w:rFonts w:hint="eastAsia" w:ascii="宋体" w:hAnsi="宋体"/>
                <w:color w:val="000000"/>
                <w:szCs w:val="21"/>
              </w:rPr>
            </w:pPr>
            <w:r>
              <w:rPr>
                <w:rFonts w:ascii="宋体" w:hAnsi="宋体"/>
                <w:color w:val="000000"/>
                <w:szCs w:val="21"/>
              </w:rPr>
              <w:t>GB/</w:t>
            </w:r>
            <w:r>
              <w:rPr>
                <w:rFonts w:hint="eastAsia" w:ascii="宋体" w:hAnsi="宋体"/>
                <w:color w:val="000000"/>
                <w:szCs w:val="21"/>
              </w:rPr>
              <w:t>T</w:t>
            </w:r>
            <w:r>
              <w:rPr>
                <w:rFonts w:ascii="宋体" w:hAnsi="宋体"/>
                <w:color w:val="000000"/>
                <w:szCs w:val="21"/>
              </w:rPr>
              <w:t xml:space="preserve"> 71</w:t>
            </w:r>
            <w:r>
              <w:rPr>
                <w:rFonts w:hint="eastAsia" w:ascii="宋体" w:hAnsi="宋体"/>
                <w:color w:val="000000"/>
                <w:szCs w:val="21"/>
              </w:rPr>
              <w:t>1</w:t>
            </w:r>
          </w:p>
        </w:tc>
        <w:tc>
          <w:tcPr>
            <w:tcW w:w="5730" w:type="dxa"/>
            <w:tcBorders>
              <w:tl2br w:val="nil"/>
              <w:tr2bl w:val="nil"/>
            </w:tcBorders>
            <w:noWrap w:val="0"/>
            <w:vAlign w:val="top"/>
          </w:tcPr>
          <w:p w14:paraId="3C591BDC">
            <w:pPr>
              <w:spacing w:line="440" w:lineRule="exact"/>
              <w:rPr>
                <w:rFonts w:hint="eastAsia" w:ascii="宋体" w:hAnsi="宋体"/>
                <w:color w:val="000000"/>
                <w:szCs w:val="21"/>
              </w:rPr>
            </w:pPr>
            <w:r>
              <w:rPr>
                <w:rFonts w:hint="eastAsia" w:ascii="宋体" w:hAnsi="宋体"/>
                <w:color w:val="000000"/>
                <w:szCs w:val="21"/>
              </w:rPr>
              <w:t>优质碳素结构钢热轧厚钢板和宽钢带</w:t>
            </w:r>
          </w:p>
        </w:tc>
      </w:tr>
      <w:tr w14:paraId="0D7A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0" w:type="dxa"/>
            <w:tcBorders>
              <w:tl2br w:val="nil"/>
              <w:tr2bl w:val="nil"/>
            </w:tcBorders>
            <w:noWrap w:val="0"/>
            <w:vAlign w:val="top"/>
          </w:tcPr>
          <w:p w14:paraId="4DB1F0AF">
            <w:pPr>
              <w:spacing w:line="440" w:lineRule="exact"/>
              <w:rPr>
                <w:rFonts w:ascii="宋体" w:hAnsi="宋体"/>
                <w:color w:val="000000"/>
                <w:szCs w:val="21"/>
              </w:rPr>
            </w:pPr>
            <w:r>
              <w:rPr>
                <w:rFonts w:hint="eastAsia" w:ascii="宋体" w:hAnsi="宋体"/>
                <w:color w:val="000000"/>
                <w:szCs w:val="21"/>
              </w:rPr>
              <w:t>GB/T 3280-2015</w:t>
            </w:r>
          </w:p>
        </w:tc>
        <w:tc>
          <w:tcPr>
            <w:tcW w:w="5730" w:type="dxa"/>
            <w:tcBorders>
              <w:tl2br w:val="nil"/>
              <w:tr2bl w:val="nil"/>
            </w:tcBorders>
            <w:noWrap w:val="0"/>
            <w:vAlign w:val="top"/>
          </w:tcPr>
          <w:p w14:paraId="142FC6D4">
            <w:pPr>
              <w:spacing w:line="440" w:lineRule="exact"/>
              <w:rPr>
                <w:rFonts w:hint="eastAsia" w:ascii="宋体" w:hAnsi="宋体"/>
                <w:color w:val="000000"/>
                <w:szCs w:val="21"/>
              </w:rPr>
            </w:pPr>
            <w:r>
              <w:rPr>
                <w:rFonts w:hint="eastAsia" w:ascii="宋体" w:hAnsi="宋体"/>
                <w:color w:val="000000"/>
                <w:szCs w:val="21"/>
              </w:rPr>
              <w:t>不锈钢冷轧钢板和钢带</w:t>
            </w:r>
          </w:p>
        </w:tc>
      </w:tr>
    </w:tbl>
    <w:p w14:paraId="56684D4C">
      <w:pPr>
        <w:widowControl w:val="0"/>
        <w:kinsoku/>
        <w:spacing w:line="360" w:lineRule="auto"/>
        <w:rPr>
          <w:rFonts w:hint="eastAsia" w:ascii="宋体" w:hAnsi="宋体" w:eastAsia="宋体" w:cs="宋体"/>
          <w:sz w:val="24"/>
          <w:szCs w:val="24"/>
          <w:lang w:eastAsia="zh-CN"/>
        </w:rPr>
      </w:pPr>
    </w:p>
    <w:p w14:paraId="21724E7A">
      <w:pPr>
        <w:widowControl w:val="0"/>
        <w:numPr>
          <w:ilvl w:val="0"/>
          <w:numId w:val="1"/>
        </w:numPr>
        <w:kinsoku/>
        <w:spacing w:line="360" w:lineRule="auto"/>
        <w:ind w:left="0" w:leftChars="0" w:firstLine="480" w:firstLineChars="200"/>
        <w:rPr>
          <w:rFonts w:hint="eastAsia" w:ascii="宋体" w:hAnsi="宋体" w:eastAsia="宋体" w:cs="宋体"/>
          <w:color w:val="auto"/>
          <w:sz w:val="24"/>
          <w:szCs w:val="24"/>
        </w:rPr>
      </w:pPr>
      <w:r>
        <w:rPr>
          <w:rFonts w:hint="default" w:ascii="宋体" w:hAnsi="宋体" w:eastAsia="宋体" w:cs="宋体"/>
          <w:sz w:val="24"/>
          <w:szCs w:val="24"/>
          <w:lang w:val="en-US" w:eastAsia="zh-CN"/>
        </w:rPr>
        <w:t>本次采购物资计划供货开始时间为</w:t>
      </w:r>
      <w:r>
        <w:rPr>
          <w:rFonts w:hint="eastAsia" w:ascii="宋体" w:hAnsi="宋体" w:eastAsia="宋体" w:cs="宋体"/>
          <w:sz w:val="24"/>
          <w:szCs w:val="24"/>
          <w:lang w:val="en-US" w:eastAsia="zh-CN"/>
        </w:rPr>
        <w:t>2025</w:t>
      </w:r>
      <w:r>
        <w:rPr>
          <w:rFonts w:hint="default" w:ascii="宋体" w:hAnsi="宋体" w:eastAsia="宋体" w:cs="宋体"/>
          <w:sz w:val="24"/>
          <w:szCs w:val="24"/>
          <w:lang w:val="en-US" w:eastAsia="zh-CN"/>
        </w:rPr>
        <w:t>年</w:t>
      </w: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月</w:t>
      </w: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日，计划供货结束时间为202</w:t>
      </w:r>
      <w:r>
        <w:rPr>
          <w:rFonts w:hint="eastAsia" w:ascii="宋体" w:hAnsi="宋体" w:eastAsia="宋体" w:cs="宋体"/>
          <w:sz w:val="24"/>
          <w:szCs w:val="24"/>
          <w:lang w:val="en-US" w:eastAsia="zh-CN"/>
        </w:rPr>
        <w:t>6</w:t>
      </w:r>
      <w:r>
        <w:rPr>
          <w:rFonts w:hint="default" w:ascii="宋体" w:hAnsi="宋体" w:eastAsia="宋体" w:cs="宋体"/>
          <w:sz w:val="24"/>
          <w:szCs w:val="24"/>
          <w:lang w:val="en-US" w:eastAsia="zh-CN"/>
        </w:rPr>
        <w:t>年</w:t>
      </w: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月</w:t>
      </w: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日</w:t>
      </w:r>
    </w:p>
    <w:p w14:paraId="4E46E10D">
      <w:pPr>
        <w:widowControl w:val="0"/>
        <w:numPr>
          <w:ilvl w:val="0"/>
          <w:numId w:val="1"/>
        </w:numPr>
        <w:kinsoku/>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参考品牌：新钢、萍钢、湘钢、韶钢、柳钢、涟钢、鞍钢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宝钢</w:t>
      </w:r>
      <w:r>
        <w:rPr>
          <w:rFonts w:hint="eastAsia" w:ascii="宋体" w:hAnsi="宋体" w:eastAsia="宋体" w:cs="宋体"/>
          <w:color w:val="auto"/>
          <w:sz w:val="24"/>
          <w:szCs w:val="24"/>
        </w:rPr>
        <w:t>或相当于以上的品牌</w:t>
      </w:r>
    </w:p>
    <w:p w14:paraId="15708376">
      <w:pPr>
        <w:widowControl w:val="0"/>
        <w:numPr>
          <w:ilvl w:val="0"/>
          <w:numId w:val="1"/>
        </w:numPr>
        <w:kinsoku/>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bookmarkStart w:id="19" w:name="_Toc5828"/>
    </w:p>
    <w:p w14:paraId="1F66257B">
      <w:pPr>
        <w:widowControl w:val="0"/>
        <w:numPr>
          <w:ilvl w:val="0"/>
          <w:numId w:val="1"/>
        </w:numPr>
        <w:kinsoku/>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highlight w:val="none"/>
          <w:lang w:val="en-US" w:eastAsia="zh-CN"/>
        </w:rPr>
        <w:t>7</w:t>
      </w:r>
      <w:bookmarkStart w:id="101" w:name="_GoBack"/>
      <w:bookmarkEnd w:id="101"/>
      <w:r>
        <w:rPr>
          <w:rFonts w:hint="eastAsia" w:ascii="宋体" w:hAnsi="宋体" w:eastAsia="宋体" w:cs="宋体"/>
          <w:color w:val="auto"/>
          <w:sz w:val="24"/>
          <w:szCs w:val="24"/>
        </w:rPr>
        <w:t>日</w:t>
      </w:r>
      <w:bookmarkEnd w:id="19"/>
    </w:p>
    <w:p w14:paraId="3303C7FE">
      <w:pPr>
        <w:widowControl w:val="0"/>
        <w:numPr>
          <w:ilvl w:val="0"/>
          <w:numId w:val="1"/>
        </w:numPr>
        <w:kinsoku/>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4C226329">
      <w:pPr>
        <w:widowControl w:val="0"/>
        <w:numPr>
          <w:ilvl w:val="0"/>
          <w:numId w:val="1"/>
        </w:numPr>
        <w:kinsoku/>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rPr>
        <w:t>日</w:t>
      </w:r>
      <w:bookmarkStart w:id="20" w:name="_Toc7018"/>
      <w:bookmarkStart w:id="21" w:name="_Toc9339"/>
      <w:bookmarkStart w:id="22" w:name="_Toc30159"/>
      <w:bookmarkStart w:id="23" w:name="_Toc654"/>
      <w:bookmarkStart w:id="24" w:name="_Toc27635"/>
      <w:bookmarkStart w:id="25" w:name="_Toc24591"/>
    </w:p>
    <w:p w14:paraId="45738703">
      <w:pPr>
        <w:widowControl w:val="0"/>
        <w:numPr>
          <w:ilvl w:val="0"/>
          <w:numId w:val="1"/>
        </w:numPr>
        <w:kinsoku/>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相关要求：</w:t>
      </w:r>
      <w:bookmarkEnd w:id="20"/>
      <w:bookmarkEnd w:id="21"/>
      <w:bookmarkEnd w:id="22"/>
      <w:bookmarkEnd w:id="23"/>
      <w:bookmarkEnd w:id="24"/>
      <w:bookmarkEnd w:id="25"/>
    </w:p>
    <w:p w14:paraId="0D9BD387">
      <w:pPr>
        <w:widowControl w:val="0"/>
        <w:kinsoku/>
        <w:spacing w:line="360" w:lineRule="auto"/>
        <w:ind w:firstLine="420" w:firstLineChars="200"/>
        <w:rPr>
          <w:rFonts w:hint="eastAsia" w:ascii="宋体" w:hAnsi="宋体" w:eastAsia="宋体" w:cs="宋体"/>
          <w:sz w:val="24"/>
          <w:szCs w:val="24"/>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特殊情况可稍作调整，内容必须填写完整、真实和准确。除投标报价表外，不得对文件格式和内容进行修改，如发现投标文件未按我公司提供的招标文件格式填写，将视为废标。</w:t>
      </w:r>
    </w:p>
    <w:p w14:paraId="6D6619CF">
      <w:pPr>
        <w:widowControl w:val="0"/>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密封文件袋上必须标注项目名称和投标单位名称,并注明“正式开标前，不得开启”字样。投标人投标时应提供加盖单位公章的项目技术方案、供货业绩及营业执照副本、资质证书、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54DCB0EC">
      <w:pPr>
        <w:widowControl w:val="0"/>
        <w:kinsoku/>
        <w:spacing w:line="360" w:lineRule="auto"/>
        <w:ind w:firstLine="480" w:firstLineChars="20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（3）本次招标报价税率为13%。</w:t>
      </w:r>
    </w:p>
    <w:p w14:paraId="76B8F163">
      <w:pPr>
        <w:pStyle w:val="15"/>
        <w:ind w:left="0" w:leftChars="0" w:firstLine="480" w:firstLineChars="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（4）营业执照</w:t>
      </w:r>
    </w:p>
    <w:p w14:paraId="59F5F29E">
      <w:pPr>
        <w:pStyle w:val="15"/>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7416AD2C">
      <w:pPr>
        <w:pStyle w:val="15"/>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投标人近三年来承接过合同金额</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万元及以上类似业绩且验收合格</w:t>
      </w:r>
      <w:r>
        <w:rPr>
          <w:rFonts w:hint="eastAsia" w:ascii="宋体" w:hAnsi="宋体" w:eastAsia="宋体" w:cs="宋体"/>
          <w:color w:val="auto"/>
          <w:sz w:val="24"/>
          <w:szCs w:val="24"/>
          <w:lang w:val="en-US" w:eastAsia="zh-CN"/>
        </w:rPr>
        <w:t>类似业绩（</w:t>
      </w:r>
      <w:r>
        <w:rPr>
          <w:rFonts w:hint="eastAsia" w:ascii="宋体" w:hAnsi="宋体" w:eastAsia="宋体" w:cs="宋体"/>
          <w:color w:val="auto"/>
          <w:sz w:val="24"/>
          <w:szCs w:val="24"/>
        </w:rPr>
        <w:t>投标人应当提供合同、验收证明复印件（须加盖验收方公章）等证明材料</w:t>
      </w:r>
      <w:r>
        <w:rPr>
          <w:rFonts w:hint="eastAsia" w:ascii="宋体" w:hAnsi="宋体" w:eastAsia="宋体" w:cs="宋体"/>
          <w:color w:val="auto"/>
          <w:sz w:val="24"/>
          <w:szCs w:val="24"/>
          <w:lang w:eastAsia="zh-CN"/>
        </w:rPr>
        <w:t>）</w:t>
      </w:r>
    </w:p>
    <w:p w14:paraId="7FE306B5">
      <w:pPr>
        <w:widowControl w:val="0"/>
        <w:kinsoku/>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7）货到票到付款。需方收到供方货物、检测报告，验收合格后7日内需方将相应合同货款转到供方指定账号，供方收到货款后提供相应发票，电汇或银承。</w:t>
      </w:r>
    </w:p>
    <w:p w14:paraId="0B489DFE">
      <w:pPr>
        <w:widowControl w:val="0"/>
        <w:kinsoku/>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投标人须对所售出的产品实行三包:即产品在正常使用情况下发生质量问题时，投标人应按使用方的要求，负责对产品实行包修、包换、包退。</w:t>
      </w:r>
    </w:p>
    <w:p w14:paraId="49B1B400">
      <w:pPr>
        <w:widowControl w:val="0"/>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0661A7BC">
      <w:pPr>
        <w:pStyle w:val="28"/>
        <w:numPr>
          <w:ilvl w:val="0"/>
          <w:numId w:val="0"/>
        </w:numPr>
        <w:kinsoku/>
        <w:spacing w:line="360" w:lineRule="auto"/>
        <w:ind w:leftChars="200"/>
        <w:outlineLvl w:val="0"/>
        <w:rPr>
          <w:rFonts w:hint="eastAsia" w:ascii="宋体" w:hAnsi="宋体" w:eastAsia="宋体" w:cs="宋体"/>
          <w:sz w:val="24"/>
          <w:szCs w:val="24"/>
        </w:rPr>
      </w:pPr>
      <w:bookmarkStart w:id="26" w:name="_Toc19941"/>
      <w:bookmarkStart w:id="27" w:name="_Toc21790"/>
      <w:bookmarkStart w:id="28" w:name="_Toc30078"/>
      <w:bookmarkStart w:id="29" w:name="_Toc21113"/>
      <w:bookmarkStart w:id="30" w:name="_Toc20083"/>
      <w:bookmarkStart w:id="31" w:name="_Toc4182"/>
      <w:r>
        <w:rPr>
          <w:rFonts w:hint="eastAsia" w:ascii="宋体" w:hAnsi="宋体" w:eastAsia="宋体" w:cs="宋体"/>
          <w:sz w:val="24"/>
          <w:szCs w:val="24"/>
          <w:lang w:val="en-US" w:eastAsia="zh-CN"/>
        </w:rPr>
        <w:t>11.</w:t>
      </w:r>
      <w:r>
        <w:rPr>
          <w:rFonts w:hint="eastAsia" w:ascii="宋体" w:hAnsi="宋体" w:eastAsia="宋体" w:cs="宋体"/>
          <w:sz w:val="24"/>
          <w:szCs w:val="24"/>
        </w:rPr>
        <w:t>联系方式</w:t>
      </w:r>
      <w:bookmarkEnd w:id="26"/>
      <w:bookmarkEnd w:id="27"/>
      <w:bookmarkEnd w:id="28"/>
      <w:bookmarkEnd w:id="29"/>
      <w:bookmarkEnd w:id="30"/>
      <w:bookmarkEnd w:id="31"/>
    </w:p>
    <w:p w14:paraId="4CE0CCD1">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w:t>
      </w:r>
    </w:p>
    <w:p w14:paraId="189177DB">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李浩东</w:t>
      </w:r>
    </w:p>
    <w:p w14:paraId="58D6F16E">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联系电话：0598-8050808、</w:t>
      </w:r>
      <w:r>
        <w:rPr>
          <w:rFonts w:hint="eastAsia" w:ascii="宋体" w:hAnsi="宋体" w:eastAsia="宋体" w:cs="宋体"/>
          <w:sz w:val="24"/>
          <w:szCs w:val="24"/>
          <w:lang w:val="en-US" w:eastAsia="zh-CN"/>
        </w:rPr>
        <w:t>18707194032</w:t>
      </w:r>
    </w:p>
    <w:p w14:paraId="30C30382">
      <w:pPr>
        <w:tabs>
          <w:tab w:val="left" w:pos="1446"/>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纪检监督电话：0598-8050668</w:t>
      </w:r>
    </w:p>
    <w:p w14:paraId="0A1E6DAE">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地址：福建省三明市沙县区金沙园开发区创新东路413号</w:t>
      </w:r>
    </w:p>
    <w:p w14:paraId="34227CA9">
      <w:pPr>
        <w:spacing w:line="270" w:lineRule="auto"/>
        <w:rPr>
          <w:rFonts w:hint="eastAsia" w:ascii="宋体" w:hAnsi="宋体" w:eastAsia="宋体" w:cs="宋体"/>
        </w:rPr>
      </w:pPr>
    </w:p>
    <w:p w14:paraId="7DC70607">
      <w:pPr>
        <w:spacing w:line="360" w:lineRule="auto"/>
        <w:rPr>
          <w:rFonts w:hint="eastAsia" w:ascii="宋体" w:hAnsi="宋体" w:eastAsia="宋体" w:cs="宋体"/>
        </w:rPr>
      </w:pPr>
    </w:p>
    <w:p w14:paraId="0F90590B">
      <w:pPr>
        <w:spacing w:line="360" w:lineRule="auto"/>
        <w:ind w:firstLine="459"/>
        <w:jc w:val="right"/>
        <w:outlineLvl w:val="0"/>
        <w:rPr>
          <w:rFonts w:hint="eastAsia" w:ascii="宋体" w:hAnsi="宋体" w:eastAsia="宋体" w:cs="宋体"/>
          <w:sz w:val="24"/>
          <w:szCs w:val="24"/>
          <w:lang w:eastAsia="zh-CN"/>
        </w:rPr>
      </w:pPr>
      <w:bookmarkStart w:id="32" w:name="_Toc322"/>
      <w:bookmarkStart w:id="33" w:name="_Toc23207"/>
      <w:bookmarkStart w:id="34" w:name="_Toc20059"/>
      <w:bookmarkStart w:id="35" w:name="_Toc19147"/>
      <w:r>
        <w:rPr>
          <w:rFonts w:hint="eastAsia" w:ascii="宋体" w:hAnsi="宋体" w:eastAsia="宋体" w:cs="宋体"/>
          <w:sz w:val="24"/>
          <w:szCs w:val="24"/>
        </w:rPr>
        <w:t>中国机械总院集团海西（福建）分院有限公司</w:t>
      </w:r>
      <w:bookmarkEnd w:id="32"/>
      <w:bookmarkEnd w:id="33"/>
      <w:bookmarkEnd w:id="34"/>
      <w:bookmarkEnd w:id="35"/>
    </w:p>
    <w:p w14:paraId="09442243">
      <w:pPr>
        <w:spacing w:line="360" w:lineRule="auto"/>
        <w:ind w:firstLine="459"/>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招标委员会办公室</w:t>
      </w:r>
    </w:p>
    <w:p w14:paraId="7BBEF32A">
      <w:pPr>
        <w:spacing w:line="360" w:lineRule="auto"/>
        <w:ind w:firstLine="6480" w:firstLineChars="2700"/>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01</w:t>
      </w:r>
      <w:r>
        <w:rPr>
          <w:rFonts w:hint="eastAsia" w:ascii="宋体" w:hAnsi="宋体" w:eastAsia="宋体" w:cs="宋体"/>
          <w:sz w:val="24"/>
          <w:szCs w:val="24"/>
        </w:rPr>
        <w:t>月</w:t>
      </w:r>
      <w:r>
        <w:rPr>
          <w:rFonts w:hint="eastAsia" w:ascii="宋体" w:hAnsi="宋体" w:eastAsia="宋体" w:cs="宋体"/>
          <w:sz w:val="24"/>
          <w:szCs w:val="24"/>
          <w:lang w:val="en-US" w:eastAsia="zh-CN"/>
        </w:rPr>
        <w:t>21</w:t>
      </w:r>
      <w:r>
        <w:rPr>
          <w:rFonts w:hint="eastAsia" w:ascii="宋体" w:hAnsi="宋体" w:eastAsia="宋体" w:cs="宋体"/>
          <w:sz w:val="24"/>
          <w:szCs w:val="24"/>
        </w:rPr>
        <w:t>日</w:t>
      </w:r>
    </w:p>
    <w:p w14:paraId="666018ED">
      <w:pPr>
        <w:kinsoku/>
        <w:autoSpaceDE/>
        <w:autoSpaceDN/>
        <w:adjustRightInd/>
        <w:snapToGrid/>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7DFE86DD">
      <w:pPr>
        <w:spacing w:before="240" w:beforeLines="100" w:after="120" w:afterLines="50" w:line="360" w:lineRule="auto"/>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10599"/>
      <w:bookmarkStart w:id="37" w:name="_Toc25726"/>
      <w:bookmarkStart w:id="38" w:name="_Toc18439"/>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4E742DF5">
      <w:pPr>
        <w:kinsoku/>
        <w:spacing w:line="360" w:lineRule="auto"/>
        <w:ind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14DF5E03">
      <w:pPr>
        <w:pStyle w:val="28"/>
        <w:numPr>
          <w:ilvl w:val="0"/>
          <w:numId w:val="2"/>
        </w:numPr>
        <w:kinsoku/>
        <w:spacing w:line="360" w:lineRule="auto"/>
        <w:ind w:lef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273D8D61">
      <w:pPr>
        <w:pStyle w:val="28"/>
        <w:numPr>
          <w:ilvl w:val="0"/>
          <w:numId w:val="2"/>
        </w:numPr>
        <w:kinsoku/>
        <w:spacing w:line="360" w:lineRule="auto"/>
        <w:ind w:left="0" w:firstLine="424" w:firstLineChars="177"/>
        <w:outlineLvl w:val="0"/>
        <w:rPr>
          <w:rFonts w:hint="eastAsia" w:ascii="宋体" w:hAnsi="宋体" w:eastAsia="宋体" w:cs="宋体"/>
          <w:sz w:val="24"/>
          <w:szCs w:val="24"/>
        </w:rPr>
      </w:pPr>
      <w:bookmarkStart w:id="39" w:name="_Toc14879"/>
      <w:bookmarkStart w:id="40" w:name="_Toc21532"/>
      <w:bookmarkStart w:id="41" w:name="_Toc24156"/>
      <w:bookmarkStart w:id="42" w:name="_Toc15722"/>
      <w:bookmarkStart w:id="43" w:name="_Toc5448"/>
      <w:bookmarkStart w:id="44" w:name="_Toc9822"/>
      <w:r>
        <w:rPr>
          <w:rFonts w:hint="eastAsia" w:ascii="宋体" w:hAnsi="宋体" w:eastAsia="宋体" w:cs="宋体"/>
          <w:sz w:val="24"/>
          <w:szCs w:val="24"/>
        </w:rPr>
        <w:t>投标资格（包括但不限于）：</w:t>
      </w:r>
      <w:bookmarkEnd w:id="39"/>
      <w:bookmarkEnd w:id="40"/>
      <w:bookmarkEnd w:id="41"/>
      <w:bookmarkEnd w:id="42"/>
      <w:bookmarkEnd w:id="43"/>
      <w:bookmarkEnd w:id="44"/>
    </w:p>
    <w:p w14:paraId="42113DFD">
      <w:pPr>
        <w:numPr>
          <w:ilvl w:val="0"/>
          <w:numId w:val="3"/>
        </w:numPr>
        <w:kinsoku/>
        <w:spacing w:line="360" w:lineRule="auto"/>
        <w:ind w:lef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r>
        <w:rPr>
          <w:rFonts w:hint="eastAsia" w:ascii="宋体" w:hAnsi="宋体" w:eastAsia="宋体" w:cs="宋体"/>
          <w:color w:val="auto"/>
          <w:position w:val="5"/>
          <w:sz w:val="24"/>
          <w:szCs w:val="24"/>
          <w:lang w:eastAsia="zh-CN"/>
        </w:rPr>
        <w:t>，</w:t>
      </w:r>
      <w:r>
        <w:rPr>
          <w:rFonts w:hint="eastAsia" w:ascii="宋体" w:hAnsi="宋体" w:eastAsia="宋体" w:cs="宋体"/>
          <w:color w:val="auto"/>
          <w:position w:val="5"/>
          <w:sz w:val="24"/>
          <w:szCs w:val="24"/>
        </w:rPr>
        <w:t>报价人必须在中国境内依法注册，具有法人资格、县备采购物资生产供应经验的生产商或代理商，并目均具有经过年审的法人营业执照</w:t>
      </w:r>
    </w:p>
    <w:p w14:paraId="10C0D7FD">
      <w:pPr>
        <w:numPr>
          <w:ilvl w:val="0"/>
          <w:numId w:val="3"/>
        </w:numPr>
        <w:tabs>
          <w:tab w:val="left" w:pos="620"/>
        </w:tabs>
        <w:kinsoku/>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报价人必须在中国境内依法注册，具有法人资格、县备采购物资生产供应经验的生产商或代理商，并目均具有经过年审的法人营业执照</w:t>
      </w:r>
    </w:p>
    <w:p w14:paraId="59159788">
      <w:pPr>
        <w:numPr>
          <w:ilvl w:val="0"/>
          <w:numId w:val="3"/>
        </w:numPr>
        <w:tabs>
          <w:tab w:val="left" w:pos="620"/>
        </w:tabs>
        <w:kinsoku/>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5CD4CFAA">
      <w:pPr>
        <w:numPr>
          <w:ilvl w:val="0"/>
          <w:numId w:val="3"/>
        </w:numPr>
        <w:tabs>
          <w:tab w:val="left" w:pos="620"/>
        </w:tabs>
        <w:kinsoku/>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具有一定规模和良好的资金财务状况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报价人注册资金不低于100万元(含)人民币。</w:t>
      </w:r>
    </w:p>
    <w:p w14:paraId="3A72AF06">
      <w:pPr>
        <w:numPr>
          <w:ilvl w:val="0"/>
          <w:numId w:val="3"/>
        </w:numPr>
        <w:tabs>
          <w:tab w:val="left" w:pos="620"/>
        </w:tabs>
        <w:kinsoku/>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履约信用要求:报价人必须具有良好的社会信营，最近三年内没有与骗取合同有关的犯罪或严重违法行为而引起的诉讼和仲裁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近三年不曾在合同中严重违约;财产被接管或企业未处于禁止或取消投标状态。</w:t>
      </w:r>
    </w:p>
    <w:p w14:paraId="00AB5BD6">
      <w:pPr>
        <w:kinsoku/>
        <w:spacing w:line="360" w:lineRule="auto"/>
        <w:ind w:left="1" w:right="64" w:firstLine="424" w:firstLineChars="177"/>
        <w:rPr>
          <w:rFonts w:hint="eastAsia" w:ascii="宋体" w:hAnsi="宋体" w:eastAsia="宋体" w:cs="宋体"/>
          <w:sz w:val="24"/>
          <w:szCs w:val="24"/>
        </w:rPr>
      </w:pPr>
      <w:r>
        <w:rPr>
          <w:rFonts w:hint="eastAsia" w:ascii="宋体" w:hAnsi="宋体" w:eastAsia="宋体" w:cs="宋体"/>
          <w:sz w:val="24"/>
          <w:szCs w:val="24"/>
        </w:rPr>
        <w:t>3.投标费用：投标人应承担投标过程中所涉及的一切费用，不管投标结果如何，招标人对上述费用不负任何责任。</w:t>
      </w:r>
    </w:p>
    <w:p w14:paraId="37DCA467">
      <w:pPr>
        <w:kinsoku/>
        <w:spacing w:line="360" w:lineRule="auto"/>
        <w:ind w:firstLine="482" w:firstLineChars="200"/>
        <w:outlineLvl w:val="0"/>
        <w:rPr>
          <w:rFonts w:hint="eastAsia" w:ascii="宋体" w:hAnsi="宋体" w:eastAsia="宋体" w:cs="宋体"/>
          <w:b/>
          <w:bCs/>
          <w:sz w:val="24"/>
          <w:szCs w:val="24"/>
        </w:rPr>
      </w:pPr>
      <w:bookmarkStart w:id="45" w:name="_Toc16770"/>
      <w:bookmarkStart w:id="46" w:name="_Toc23688"/>
      <w:bookmarkStart w:id="47" w:name="_Toc9930"/>
      <w:bookmarkStart w:id="48" w:name="_Toc15847"/>
      <w:bookmarkStart w:id="49" w:name="_Toc12309"/>
      <w:r>
        <w:rPr>
          <w:rFonts w:hint="eastAsia" w:ascii="宋体" w:hAnsi="宋体" w:eastAsia="宋体" w:cs="宋体"/>
          <w:b/>
          <w:bCs/>
          <w:sz w:val="24"/>
          <w:szCs w:val="24"/>
        </w:rPr>
        <w:t>二、投标报价</w:t>
      </w:r>
      <w:bookmarkEnd w:id="45"/>
      <w:bookmarkEnd w:id="46"/>
      <w:bookmarkEnd w:id="47"/>
      <w:bookmarkEnd w:id="48"/>
      <w:bookmarkEnd w:id="49"/>
    </w:p>
    <w:p w14:paraId="4C168E00">
      <w:pPr>
        <w:pStyle w:val="28"/>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48888CF1">
      <w:pPr>
        <w:pStyle w:val="28"/>
        <w:numPr>
          <w:ilvl w:val="0"/>
          <w:numId w:val="4"/>
        </w:numPr>
        <w:kinsoku/>
        <w:spacing w:line="360" w:lineRule="auto"/>
        <w:ind w:lef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7C07BA43">
      <w:pPr>
        <w:pStyle w:val="28"/>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159B2FC1">
      <w:pPr>
        <w:pStyle w:val="28"/>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w:t>
      </w:r>
      <w:r>
        <w:rPr>
          <w:rFonts w:hint="eastAsia" w:ascii="宋体" w:hAnsi="宋体" w:eastAsia="宋体" w:cs="宋体"/>
          <w:sz w:val="24"/>
          <w:szCs w:val="24"/>
          <w:lang w:val="en-US" w:eastAsia="zh-CN"/>
        </w:rPr>
        <w:t>裁切、</w:t>
      </w:r>
      <w:r>
        <w:rPr>
          <w:rFonts w:hint="eastAsia" w:ascii="宋体" w:hAnsi="宋体" w:eastAsia="宋体" w:cs="宋体"/>
          <w:sz w:val="24"/>
          <w:szCs w:val="24"/>
        </w:rPr>
        <w:t>包装、运输、装卸等相关费用）；投标报价以元为单位，精确到小数点后两位数，超出两位按四舍五入计；包装物投标人不回收，费用由投标人负担。</w:t>
      </w:r>
    </w:p>
    <w:p w14:paraId="74E9DE3D">
      <w:pPr>
        <w:pStyle w:val="28"/>
        <w:numPr>
          <w:ilvl w:val="0"/>
          <w:numId w:val="4"/>
        </w:numPr>
        <w:kinsoku/>
        <w:topLinePunct/>
        <w:autoSpaceDN/>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3C23245B">
      <w:pPr>
        <w:pStyle w:val="28"/>
        <w:numPr>
          <w:ilvl w:val="0"/>
          <w:numId w:val="4"/>
        </w:numPr>
        <w:kinsoku/>
        <w:topLinePunct/>
        <w:autoSpaceDN/>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计量单位和计量方法:</w:t>
      </w:r>
    </w:p>
    <w:p w14:paraId="2504397D">
      <w:pPr>
        <w:pStyle w:val="28"/>
        <w:numPr>
          <w:ilvl w:val="0"/>
          <w:numId w:val="0"/>
        </w:numPr>
        <w:kinsoku/>
        <w:topLinePunct/>
        <w:autoSpaceDN/>
        <w:spacing w:line="360" w:lineRule="auto"/>
        <w:ind w:leftChars="177"/>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计量单位采用国际计量单位“吨”</w:t>
      </w:r>
    </w:p>
    <w:p w14:paraId="1607D841">
      <w:pPr>
        <w:pStyle w:val="28"/>
        <w:numPr>
          <w:ilvl w:val="0"/>
          <w:numId w:val="0"/>
        </w:numPr>
        <w:kinsoku/>
        <w:topLinePunct/>
        <w:autoSpaceDN/>
        <w:spacing w:line="360" w:lineRule="auto"/>
        <w:ind w:leftChars="177"/>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计量方法:过磅称量，数量以实际进场验收合格数量为准，甲、乙双方经办人签字的现场验收入库单据作为数量结算依据，乙方指定专人与甲方进行单据核对，并按合同进场批次确定无误后甲方出具结算单，双方签字盖章后作为付款依据。</w:t>
      </w:r>
    </w:p>
    <w:p w14:paraId="76E6EFCF">
      <w:pPr>
        <w:pStyle w:val="28"/>
        <w:numPr>
          <w:ilvl w:val="0"/>
          <w:numId w:val="4"/>
        </w:numPr>
        <w:kinsoku/>
        <w:topLinePunct/>
        <w:autoSpaceDN/>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单价约定:结算方式及结算价格:钢材单价采用浮动价格结算，结算货款=结算数量x综合单价。综合单价=比较价(订货当日“我的钢铁网”(</w:t>
      </w:r>
      <w:r>
        <w:rPr>
          <w:rFonts w:hint="eastAsia" w:ascii="宋体" w:hAnsi="宋体" w:eastAsia="宋体" w:cs="宋体"/>
          <w:sz w:val="24"/>
          <w:szCs w:val="24"/>
          <w:lang w:val="en-US" w:eastAsia="zh-CN"/>
        </w:rPr>
        <w:t>上海</w:t>
      </w:r>
      <w:r>
        <w:rPr>
          <w:rFonts w:hint="eastAsia" w:ascii="宋体" w:hAnsi="宋体" w:eastAsia="宋体" w:cs="宋体"/>
          <w:sz w:val="24"/>
          <w:szCs w:val="24"/>
        </w:rPr>
        <w:t>市)首次公布的相对应品牌的指导价)+固定差额，交货日为国家法定节假日的(包括周末)，则采取前序工作日信息价确认</w:t>
      </w:r>
      <w:r>
        <w:rPr>
          <w:rFonts w:hint="eastAsia" w:ascii="宋体" w:hAnsi="宋体" w:eastAsia="宋体" w:cs="宋体"/>
          <w:sz w:val="24"/>
          <w:szCs w:val="24"/>
          <w:lang w:val="en-US" w:eastAsia="zh-CN"/>
        </w:rPr>
        <w:t>单</w:t>
      </w:r>
      <w:r>
        <w:rPr>
          <w:rFonts w:hint="eastAsia" w:ascii="宋体" w:hAnsi="宋体" w:eastAsia="宋体" w:cs="宋体"/>
          <w:sz w:val="24"/>
          <w:szCs w:val="24"/>
        </w:rPr>
        <w:t>价。</w:t>
      </w:r>
    </w:p>
    <w:p w14:paraId="00D56075">
      <w:pPr>
        <w:pStyle w:val="28"/>
        <w:numPr>
          <w:ilvl w:val="0"/>
          <w:numId w:val="4"/>
        </w:numPr>
        <w:kinsoku/>
        <w:topLinePunct/>
        <w:autoSpaceDN/>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基准价:以</w:t>
      </w:r>
      <w:r>
        <w:rPr>
          <w:rFonts w:hint="eastAsia" w:ascii="宋体" w:hAnsi="宋体" w:eastAsia="宋体" w:cs="宋体"/>
          <w:sz w:val="24"/>
          <w:szCs w:val="24"/>
          <w:lang w:val="en-US" w:eastAsia="zh-CN"/>
        </w:rPr>
        <w:t>开标当日</w:t>
      </w:r>
      <w:r>
        <w:rPr>
          <w:rFonts w:hint="eastAsia" w:ascii="宋体" w:hAnsi="宋体" w:eastAsia="宋体" w:cs="宋体"/>
          <w:sz w:val="24"/>
          <w:szCs w:val="24"/>
        </w:rPr>
        <w:t>“我的钢铁网”(www.mysteel.com)首次公布的</w:t>
      </w:r>
      <w:r>
        <w:rPr>
          <w:rFonts w:hint="eastAsia" w:ascii="宋体" w:hAnsi="宋体" w:eastAsia="宋体" w:cs="宋体"/>
          <w:sz w:val="24"/>
          <w:szCs w:val="24"/>
          <w:lang w:val="en-US" w:eastAsia="zh-CN"/>
        </w:rPr>
        <w:t>上海市</w:t>
      </w:r>
      <w:r>
        <w:rPr>
          <w:rFonts w:hint="eastAsia" w:ascii="宋体" w:hAnsi="宋体" w:eastAsia="宋体" w:cs="宋体"/>
          <w:sz w:val="24"/>
          <w:szCs w:val="24"/>
        </w:rPr>
        <w:t>市场钢结构钢材价格行情中所公布的</w:t>
      </w:r>
      <w:r>
        <w:rPr>
          <w:rFonts w:hint="eastAsia" w:ascii="宋体" w:hAnsi="宋体" w:eastAsia="宋体" w:cs="宋体"/>
          <w:sz w:val="24"/>
          <w:szCs w:val="24"/>
          <w:lang w:val="en-US" w:eastAsia="zh-CN"/>
        </w:rPr>
        <w:t>宝山钢铁</w:t>
      </w:r>
      <w:r>
        <w:rPr>
          <w:rFonts w:hint="eastAsia" w:ascii="宋体" w:hAnsi="宋体" w:eastAsia="宋体" w:cs="宋体"/>
          <w:sz w:val="24"/>
          <w:szCs w:val="24"/>
        </w:rPr>
        <w:t>钢厂品牌对应各规格型号钢结构钢材的信息价为格同规格对应的基准价。如果网站一天多次公布价格，以第一次公布的价格为准。</w:t>
      </w:r>
    </w:p>
    <w:p w14:paraId="401C14A8">
      <w:pPr>
        <w:pStyle w:val="28"/>
        <w:numPr>
          <w:ilvl w:val="0"/>
          <w:numId w:val="4"/>
        </w:numPr>
        <w:kinsoku/>
        <w:topLinePunct/>
        <w:autoSpaceDN/>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比较价:以订货当日“我的钢铁网”(www.mysteel.com)首次公布的</w:t>
      </w:r>
      <w:r>
        <w:rPr>
          <w:rFonts w:hint="eastAsia" w:ascii="宋体" w:hAnsi="宋体" w:eastAsia="宋体" w:cs="宋体"/>
          <w:sz w:val="24"/>
          <w:szCs w:val="24"/>
          <w:lang w:val="en-US" w:eastAsia="zh-CN"/>
        </w:rPr>
        <w:t>上海市</w:t>
      </w:r>
      <w:r>
        <w:rPr>
          <w:rFonts w:hint="eastAsia" w:ascii="宋体" w:hAnsi="宋体" w:eastAsia="宋体" w:cs="宋体"/>
          <w:sz w:val="24"/>
          <w:szCs w:val="24"/>
        </w:rPr>
        <w:t>市场钢结构钢材价格行情中对应钢厂/产地所对应规格型号钢结构银材的信息价。订货日为国家法定节假日的(包括周末)，则采取前序工作日信息</w:t>
      </w:r>
      <w:r>
        <w:rPr>
          <w:rFonts w:hint="eastAsia" w:ascii="宋体" w:hAnsi="宋体" w:eastAsia="宋体" w:cs="宋体"/>
          <w:sz w:val="24"/>
          <w:szCs w:val="24"/>
          <w:lang w:val="en-US" w:eastAsia="zh-CN"/>
        </w:rPr>
        <w:t>价</w:t>
      </w:r>
      <w:r>
        <w:rPr>
          <w:rFonts w:hint="eastAsia" w:ascii="宋体" w:hAnsi="宋体" w:eastAsia="宋体" w:cs="宋体"/>
          <w:sz w:val="24"/>
          <w:szCs w:val="24"/>
        </w:rPr>
        <w:t>确认单价结算</w:t>
      </w:r>
      <w:r>
        <w:rPr>
          <w:rFonts w:hint="eastAsia" w:ascii="宋体" w:hAnsi="宋体" w:eastAsia="宋体" w:cs="宋体"/>
          <w:sz w:val="24"/>
          <w:szCs w:val="24"/>
          <w:lang w:eastAsia="zh-CN"/>
        </w:rPr>
        <w:t>。【</w:t>
      </w:r>
      <w:r>
        <w:rPr>
          <w:rFonts w:hint="eastAsia" w:ascii="宋体" w:hAnsi="宋体" w:eastAsia="宋体" w:cs="宋体"/>
          <w:sz w:val="24"/>
          <w:szCs w:val="24"/>
        </w:rPr>
        <w:t>注:特殊情况下“我的钢铁网”中没有公布钢厂/产地所对应规格型号钢结构钢材的价格则按照已公布的(日照营口、山钢湘钢、南钢、汉冶、唐钢、辽宁鞍钢、江苏沙钢、江西萍钢)同种规格型号钢结构钢材的信息价的算术平均值为比较价</w:t>
      </w:r>
      <w:r>
        <w:rPr>
          <w:rFonts w:hint="eastAsia" w:ascii="宋体" w:hAnsi="宋体" w:eastAsia="宋体" w:cs="宋体"/>
          <w:sz w:val="24"/>
          <w:szCs w:val="24"/>
          <w:lang w:eastAsia="zh-CN"/>
        </w:rPr>
        <w:t>。】</w:t>
      </w:r>
    </w:p>
    <w:p w14:paraId="1FDDFF62">
      <w:pPr>
        <w:pStyle w:val="28"/>
        <w:numPr>
          <w:ilvl w:val="0"/>
          <w:numId w:val="4"/>
        </w:numPr>
        <w:kinsoku/>
        <w:topLinePunct/>
        <w:autoSpaceDN/>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固定差额:供应商根据自身情况进行自由报价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报价包括货物运输、包装、保险、验收等费用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以10元/吨为升降基准幅度，降幅最高或升幅最低。</w:t>
      </w:r>
    </w:p>
    <w:p w14:paraId="27ACBBED">
      <w:pPr>
        <w:kinsoku/>
        <w:spacing w:line="360" w:lineRule="auto"/>
        <w:ind w:firstLine="482" w:firstLineChars="200"/>
        <w:outlineLvl w:val="0"/>
        <w:rPr>
          <w:rFonts w:hint="eastAsia" w:ascii="宋体" w:hAnsi="宋体" w:eastAsia="宋体" w:cs="宋体"/>
          <w:b/>
          <w:bCs/>
          <w:sz w:val="24"/>
          <w:szCs w:val="24"/>
        </w:rPr>
      </w:pPr>
      <w:bookmarkStart w:id="51" w:name="_Toc13329"/>
      <w:bookmarkStart w:id="52" w:name="_Toc19945"/>
      <w:bookmarkStart w:id="53" w:name="_Toc14547"/>
      <w:bookmarkStart w:id="54" w:name="_Toc24896"/>
      <w:bookmarkStart w:id="55" w:name="_Toc2348"/>
      <w:r>
        <w:rPr>
          <w:rFonts w:hint="eastAsia" w:ascii="宋体" w:hAnsi="宋体" w:eastAsia="宋体" w:cs="宋体"/>
          <w:b/>
          <w:bCs/>
          <w:sz w:val="24"/>
          <w:szCs w:val="24"/>
        </w:rPr>
        <w:t>三、投标文件</w:t>
      </w:r>
      <w:bookmarkEnd w:id="51"/>
      <w:bookmarkEnd w:id="52"/>
      <w:bookmarkEnd w:id="53"/>
      <w:bookmarkEnd w:id="54"/>
      <w:bookmarkEnd w:id="55"/>
    </w:p>
    <w:p w14:paraId="14574961">
      <w:pPr>
        <w:pStyle w:val="28"/>
        <w:numPr>
          <w:ilvl w:val="0"/>
          <w:numId w:val="5"/>
        </w:numPr>
        <w:kinsoku/>
        <w:spacing w:line="360" w:lineRule="auto"/>
        <w:ind w:left="0" w:firstLine="480"/>
        <w:outlineLvl w:val="0"/>
        <w:rPr>
          <w:rFonts w:hint="eastAsia" w:ascii="宋体" w:hAnsi="宋体" w:eastAsia="宋体" w:cs="宋体"/>
          <w:sz w:val="24"/>
          <w:szCs w:val="24"/>
        </w:rPr>
      </w:pPr>
      <w:bookmarkStart w:id="56" w:name="_Toc29954"/>
      <w:bookmarkStart w:id="57" w:name="_Toc30156"/>
      <w:bookmarkStart w:id="58" w:name="_Toc11398"/>
      <w:bookmarkStart w:id="59" w:name="_Toc2231"/>
      <w:bookmarkStart w:id="60" w:name="_Toc30571"/>
      <w:bookmarkStart w:id="61" w:name="_Toc7457"/>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14:paraId="0BD17F9C">
      <w:pPr>
        <w:pStyle w:val="28"/>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14:paraId="5896FAD0">
      <w:pPr>
        <w:pStyle w:val="28"/>
        <w:widowControl w:val="0"/>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14:paraId="07A4899F">
      <w:pPr>
        <w:pStyle w:val="28"/>
        <w:widowControl w:val="0"/>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14:paraId="4B82661E">
      <w:pPr>
        <w:kinsoku/>
        <w:spacing w:line="360" w:lineRule="auto"/>
        <w:ind w:firstLine="482" w:firstLineChars="200"/>
        <w:outlineLvl w:val="0"/>
        <w:rPr>
          <w:rFonts w:hint="eastAsia" w:ascii="宋体" w:hAnsi="宋体" w:eastAsia="宋体" w:cs="宋体"/>
          <w:b/>
          <w:bCs/>
          <w:sz w:val="24"/>
          <w:szCs w:val="24"/>
        </w:rPr>
      </w:pPr>
      <w:bookmarkStart w:id="62" w:name="_Toc14760"/>
      <w:bookmarkStart w:id="63" w:name="_Toc29111"/>
      <w:bookmarkStart w:id="64" w:name="_Toc8"/>
      <w:bookmarkStart w:id="65" w:name="_Toc18677"/>
      <w:bookmarkStart w:id="66" w:name="_Toc23458"/>
      <w:r>
        <w:rPr>
          <w:rFonts w:hint="eastAsia" w:ascii="宋体" w:hAnsi="宋体" w:eastAsia="宋体" w:cs="宋体"/>
          <w:b/>
          <w:bCs/>
          <w:sz w:val="24"/>
          <w:szCs w:val="24"/>
        </w:rPr>
        <w:t>四、开标、评标、定标</w:t>
      </w:r>
      <w:bookmarkEnd w:id="62"/>
      <w:bookmarkEnd w:id="63"/>
      <w:bookmarkEnd w:id="64"/>
      <w:bookmarkEnd w:id="65"/>
      <w:bookmarkEnd w:id="66"/>
    </w:p>
    <w:p w14:paraId="0FF2611A">
      <w:pPr>
        <w:pStyle w:val="28"/>
        <w:numPr>
          <w:ilvl w:val="0"/>
          <w:numId w:val="6"/>
        </w:numPr>
        <w:kinsoku/>
        <w:spacing w:line="360" w:lineRule="auto"/>
        <w:ind w:left="0" w:firstLine="480"/>
        <w:outlineLvl w:val="0"/>
        <w:rPr>
          <w:rFonts w:hint="eastAsia" w:ascii="宋体" w:hAnsi="宋体" w:eastAsia="宋体" w:cs="宋体"/>
          <w:sz w:val="24"/>
          <w:szCs w:val="24"/>
        </w:rPr>
      </w:pPr>
      <w:bookmarkStart w:id="67" w:name="_Toc998"/>
      <w:bookmarkStart w:id="68" w:name="_Toc31780"/>
      <w:bookmarkStart w:id="69" w:name="_Toc3331"/>
      <w:bookmarkStart w:id="70" w:name="_Toc5695"/>
      <w:bookmarkStart w:id="71" w:name="_Toc20255"/>
      <w:bookmarkStart w:id="72" w:name="_Toc29386"/>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14:paraId="724C8222">
      <w:pPr>
        <w:pStyle w:val="28"/>
        <w:numPr>
          <w:ilvl w:val="0"/>
          <w:numId w:val="6"/>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11A884E5">
      <w:pPr>
        <w:pStyle w:val="28"/>
        <w:numPr>
          <w:ilvl w:val="0"/>
          <w:numId w:val="6"/>
        </w:numPr>
        <w:kinsoku/>
        <w:spacing w:line="360" w:lineRule="auto"/>
        <w:ind w:left="0" w:firstLine="480"/>
        <w:outlineLvl w:val="0"/>
        <w:rPr>
          <w:rFonts w:hint="eastAsia" w:ascii="宋体" w:hAnsi="宋体" w:eastAsia="宋体" w:cs="宋体"/>
          <w:sz w:val="24"/>
          <w:szCs w:val="24"/>
        </w:rPr>
      </w:pPr>
      <w:bookmarkStart w:id="73" w:name="_Toc14086"/>
      <w:bookmarkStart w:id="74" w:name="_Toc24129"/>
      <w:bookmarkStart w:id="75" w:name="_Toc26371"/>
      <w:bookmarkStart w:id="76" w:name="_Toc6426"/>
      <w:bookmarkStart w:id="77" w:name="_Toc18886"/>
      <w:bookmarkStart w:id="78" w:name="_Toc12"/>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14:paraId="17B3E48C">
      <w:pPr>
        <w:kinsoku/>
        <w:spacing w:line="360" w:lineRule="auto"/>
        <w:ind w:firstLine="482" w:firstLineChars="200"/>
        <w:outlineLvl w:val="0"/>
        <w:rPr>
          <w:rFonts w:hint="eastAsia" w:ascii="宋体" w:hAnsi="宋体" w:eastAsia="宋体" w:cs="宋体"/>
          <w:b/>
          <w:bCs/>
          <w:sz w:val="24"/>
          <w:szCs w:val="24"/>
        </w:rPr>
      </w:pPr>
      <w:bookmarkStart w:id="79" w:name="_Toc29662"/>
      <w:bookmarkStart w:id="80" w:name="_Toc25649"/>
      <w:bookmarkStart w:id="81" w:name="_Toc32748"/>
      <w:bookmarkStart w:id="82" w:name="_Toc2586"/>
      <w:bookmarkStart w:id="83" w:name="_Toc6326"/>
      <w:r>
        <w:rPr>
          <w:rFonts w:hint="eastAsia" w:ascii="宋体" w:hAnsi="宋体" w:eastAsia="宋体" w:cs="宋体"/>
          <w:b/>
          <w:bCs/>
          <w:sz w:val="24"/>
          <w:szCs w:val="24"/>
        </w:rPr>
        <w:t>五、纪律要求</w:t>
      </w:r>
      <w:bookmarkEnd w:id="79"/>
      <w:bookmarkEnd w:id="80"/>
      <w:bookmarkEnd w:id="81"/>
      <w:bookmarkEnd w:id="82"/>
      <w:bookmarkEnd w:id="83"/>
    </w:p>
    <w:p w14:paraId="37FDB8E8">
      <w:pPr>
        <w:pStyle w:val="28"/>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1A4DC963">
      <w:pPr>
        <w:pStyle w:val="28"/>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40F2B354">
      <w:pPr>
        <w:kinsoku/>
        <w:spacing w:line="360" w:lineRule="auto"/>
        <w:ind w:firstLine="482" w:firstLineChars="200"/>
        <w:outlineLvl w:val="0"/>
        <w:rPr>
          <w:rFonts w:hint="eastAsia" w:ascii="宋体" w:hAnsi="宋体" w:eastAsia="宋体" w:cs="宋体"/>
          <w:b/>
          <w:bCs/>
          <w:sz w:val="24"/>
          <w:szCs w:val="24"/>
        </w:rPr>
      </w:pPr>
      <w:bookmarkStart w:id="84" w:name="_Toc7771"/>
      <w:bookmarkStart w:id="85" w:name="_Toc3302"/>
      <w:bookmarkStart w:id="86" w:name="_Toc23438"/>
      <w:bookmarkStart w:id="87" w:name="_Toc9588"/>
      <w:bookmarkStart w:id="88" w:name="_Toc11099"/>
      <w:r>
        <w:rPr>
          <w:rFonts w:hint="eastAsia" w:ascii="宋体" w:hAnsi="宋体" w:eastAsia="宋体" w:cs="宋体"/>
          <w:b/>
          <w:bCs/>
          <w:sz w:val="24"/>
          <w:szCs w:val="24"/>
        </w:rPr>
        <w:t>六、其他</w:t>
      </w:r>
      <w:bookmarkEnd w:id="84"/>
      <w:bookmarkEnd w:id="85"/>
      <w:bookmarkEnd w:id="86"/>
      <w:bookmarkEnd w:id="87"/>
      <w:bookmarkEnd w:id="88"/>
    </w:p>
    <w:p w14:paraId="60700764">
      <w:pPr>
        <w:pStyle w:val="28"/>
        <w:numPr>
          <w:ilvl w:val="0"/>
          <w:numId w:val="8"/>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258FC748">
      <w:pPr>
        <w:pStyle w:val="28"/>
        <w:numPr>
          <w:ilvl w:val="0"/>
          <w:numId w:val="8"/>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138AF11E">
      <w:pPr>
        <w:rPr>
          <w:rFonts w:hint="eastAsia" w:ascii="宋体" w:hAnsi="宋体" w:eastAsia="宋体" w:cs="宋体"/>
        </w:rPr>
      </w:pPr>
    </w:p>
    <w:p w14:paraId="3B6D3991">
      <w:pPr>
        <w:rPr>
          <w:rFonts w:hint="eastAsia" w:ascii="宋体" w:hAnsi="宋体" w:eastAsia="宋体" w:cs="宋体"/>
        </w:rPr>
      </w:pPr>
    </w:p>
    <w:p w14:paraId="335CFF3E">
      <w:pPr>
        <w:rPr>
          <w:rFonts w:hint="eastAsia" w:ascii="宋体" w:hAnsi="宋体" w:eastAsia="宋体" w:cs="宋体"/>
        </w:rPr>
      </w:pPr>
    </w:p>
    <w:p w14:paraId="7FFDFEEA">
      <w:pPr>
        <w:rPr>
          <w:rFonts w:hint="eastAsia" w:ascii="宋体" w:hAnsi="宋体" w:eastAsia="宋体" w:cs="宋体"/>
        </w:rPr>
      </w:pPr>
    </w:p>
    <w:p w14:paraId="2D86E77B">
      <w:pPr>
        <w:rPr>
          <w:rFonts w:hint="eastAsia" w:ascii="宋体" w:hAnsi="宋体" w:eastAsia="宋体" w:cs="宋体"/>
        </w:rPr>
      </w:pPr>
    </w:p>
    <w:p w14:paraId="12D3E00B">
      <w:pPr>
        <w:rPr>
          <w:rFonts w:hint="eastAsia" w:ascii="宋体" w:hAnsi="宋体" w:eastAsia="宋体" w:cs="宋体"/>
        </w:rPr>
      </w:pPr>
    </w:p>
    <w:p w14:paraId="41A63F4B">
      <w:pPr>
        <w:rPr>
          <w:rFonts w:hint="eastAsia" w:ascii="宋体" w:hAnsi="宋体" w:eastAsia="宋体" w:cs="宋体"/>
        </w:rPr>
      </w:pPr>
    </w:p>
    <w:p w14:paraId="4D4789B0">
      <w:pPr>
        <w:rPr>
          <w:rFonts w:hint="eastAsia" w:ascii="宋体" w:hAnsi="宋体" w:eastAsia="宋体" w:cs="宋体"/>
        </w:rPr>
      </w:pPr>
    </w:p>
    <w:p w14:paraId="2FEFC795">
      <w:pPr>
        <w:rPr>
          <w:rFonts w:hint="eastAsia" w:ascii="宋体" w:hAnsi="宋体" w:eastAsia="宋体" w:cs="宋体"/>
        </w:rPr>
      </w:pPr>
    </w:p>
    <w:p w14:paraId="6EAA7321">
      <w:pPr>
        <w:rPr>
          <w:rFonts w:hint="eastAsia" w:ascii="宋体" w:hAnsi="宋体" w:eastAsia="宋体" w:cs="宋体"/>
        </w:rPr>
      </w:pPr>
    </w:p>
    <w:p w14:paraId="16C90376">
      <w:pPr>
        <w:rPr>
          <w:rFonts w:hint="eastAsia" w:ascii="宋体" w:hAnsi="宋体" w:eastAsia="宋体" w:cs="宋体"/>
        </w:rPr>
      </w:pPr>
    </w:p>
    <w:p w14:paraId="5ADC2487">
      <w:pPr>
        <w:rPr>
          <w:rFonts w:hint="eastAsia" w:ascii="宋体" w:hAnsi="宋体" w:eastAsia="宋体" w:cs="宋体"/>
        </w:rPr>
      </w:pPr>
    </w:p>
    <w:p w14:paraId="747DFF56">
      <w:pPr>
        <w:rPr>
          <w:rFonts w:hint="eastAsia" w:ascii="宋体" w:hAnsi="宋体" w:eastAsia="宋体" w:cs="宋体"/>
        </w:rPr>
      </w:pPr>
    </w:p>
    <w:p w14:paraId="0E6EEADD">
      <w:pPr>
        <w:rPr>
          <w:rFonts w:hint="eastAsia" w:ascii="宋体" w:hAnsi="宋体" w:eastAsia="宋体" w:cs="宋体"/>
        </w:rPr>
      </w:pPr>
    </w:p>
    <w:p w14:paraId="3842F2A8">
      <w:pPr>
        <w:rPr>
          <w:rFonts w:hint="eastAsia" w:ascii="宋体" w:hAnsi="宋体" w:eastAsia="宋体" w:cs="宋体"/>
        </w:rPr>
      </w:pPr>
    </w:p>
    <w:p w14:paraId="4C812737">
      <w:pPr>
        <w:rPr>
          <w:rFonts w:hint="eastAsia" w:ascii="宋体" w:hAnsi="宋体" w:eastAsia="宋体" w:cs="宋体"/>
        </w:rPr>
      </w:pPr>
    </w:p>
    <w:p w14:paraId="5DB34943">
      <w:pPr>
        <w:rPr>
          <w:rFonts w:hint="eastAsia" w:ascii="宋体" w:hAnsi="宋体" w:eastAsia="宋体" w:cs="宋体"/>
        </w:rPr>
      </w:pPr>
    </w:p>
    <w:p w14:paraId="285968CA">
      <w:pPr>
        <w:rPr>
          <w:rFonts w:hint="eastAsia" w:ascii="宋体" w:hAnsi="宋体" w:eastAsia="宋体" w:cs="宋体"/>
        </w:rPr>
      </w:pPr>
    </w:p>
    <w:p w14:paraId="4F89C659">
      <w:pPr>
        <w:rPr>
          <w:rFonts w:hint="eastAsia" w:ascii="宋体" w:hAnsi="宋体" w:eastAsia="宋体" w:cs="宋体"/>
        </w:rPr>
      </w:pPr>
    </w:p>
    <w:p w14:paraId="64FAC694">
      <w:pPr>
        <w:rPr>
          <w:rFonts w:hint="eastAsia" w:ascii="宋体" w:hAnsi="宋体" w:eastAsia="宋体" w:cs="宋体"/>
        </w:rPr>
      </w:pPr>
    </w:p>
    <w:p w14:paraId="31D10B52">
      <w:pPr>
        <w:rPr>
          <w:rFonts w:hint="eastAsia" w:ascii="宋体" w:hAnsi="宋体" w:eastAsia="宋体" w:cs="宋体"/>
        </w:rPr>
      </w:pPr>
    </w:p>
    <w:p w14:paraId="236F8103">
      <w:pPr>
        <w:rPr>
          <w:rFonts w:hint="eastAsia" w:ascii="宋体" w:hAnsi="宋体" w:eastAsia="宋体" w:cs="宋体"/>
        </w:rPr>
      </w:pPr>
    </w:p>
    <w:p w14:paraId="3A16E092">
      <w:pPr>
        <w:rPr>
          <w:rFonts w:hint="eastAsia" w:ascii="宋体" w:hAnsi="宋体" w:eastAsia="宋体" w:cs="宋体"/>
        </w:rPr>
      </w:pPr>
    </w:p>
    <w:p w14:paraId="33DA8C4B">
      <w:pPr>
        <w:rPr>
          <w:rFonts w:hint="eastAsia" w:ascii="宋体" w:hAnsi="宋体" w:eastAsia="宋体" w:cs="宋体"/>
        </w:rPr>
      </w:pPr>
    </w:p>
    <w:p w14:paraId="4F33421F">
      <w:pPr>
        <w:rPr>
          <w:rFonts w:hint="eastAsia" w:ascii="宋体" w:hAnsi="宋体" w:eastAsia="宋体" w:cs="宋体"/>
        </w:rPr>
      </w:pPr>
    </w:p>
    <w:p w14:paraId="074B7BD4">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26223"/>
      <w:bookmarkStart w:id="90" w:name="_Toc14035"/>
      <w:bookmarkStart w:id="91" w:name="_Toc14207"/>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69D29DDB">
      <w:pPr>
        <w:pStyle w:val="9"/>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143BF22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0CD8A79E">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4E5F5F1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1864C9D7">
      <w:pPr>
        <w:pStyle w:val="9"/>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593DFA9D">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423420FD">
      <w:pPr>
        <w:pStyle w:val="9"/>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.2投标报价；</w:t>
      </w:r>
    </w:p>
    <w:p w14:paraId="667B336C">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30E0DE8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22B0A5F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1E02B4B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63FEF71E">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352D787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6AEBC94A">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00AE2BD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rPr>
        <w:t>部分（</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组成，评审标准具体如下：</w:t>
      </w:r>
    </w:p>
    <w:p w14:paraId="56612FBB">
      <w:pPr>
        <w:pStyle w:val="24"/>
        <w:rPr>
          <w:rFonts w:hint="eastAsia" w:ascii="宋体" w:hAnsi="宋体" w:eastAsia="宋体" w:cs="宋体"/>
          <w:color w:val="auto"/>
          <w:sz w:val="24"/>
          <w:highlight w:val="none"/>
        </w:rPr>
      </w:pPr>
    </w:p>
    <w:p w14:paraId="21B215BF">
      <w:pPr>
        <w:pStyle w:val="24"/>
        <w:rPr>
          <w:rFonts w:hint="eastAsia" w:ascii="宋体" w:hAnsi="宋体" w:eastAsia="宋体" w:cs="宋体"/>
          <w:color w:val="auto"/>
          <w:sz w:val="24"/>
          <w:highlight w:val="none"/>
        </w:rPr>
      </w:pPr>
    </w:p>
    <w:p w14:paraId="7BD37EAD">
      <w:pPr>
        <w:ind w:firstLine="458" w:firstLineChars="200"/>
        <w:rPr>
          <w:rFonts w:hint="eastAsia" w:ascii="宋体" w:hAnsi="宋体" w:eastAsia="宋体" w:cs="宋体"/>
          <w:b/>
          <w:bCs/>
          <w:color w:val="auto"/>
          <w:spacing w:val="-6"/>
          <w:sz w:val="24"/>
          <w:highlight w:val="none"/>
          <w:lang w:eastAsia="zh-CN"/>
        </w:rPr>
      </w:pPr>
    </w:p>
    <w:p w14:paraId="05BEEFFD">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14784"/>
      <w:bookmarkStart w:id="93" w:name="_Toc13537"/>
      <w:bookmarkStart w:id="94" w:name="_Toc23296"/>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444A922C">
      <w:pPr>
        <w:widowControl w:val="0"/>
        <w:kinsoku/>
        <w:autoSpaceDE/>
        <w:autoSpaceDN/>
        <w:adjustRightInd/>
        <w:snapToGrid/>
        <w:spacing w:before="120" w:beforeLines="50" w:line="360" w:lineRule="auto"/>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1</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523C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356BA0B2">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7D5D4AC6">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02EF46A8">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0E0095D6">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17C378FA">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6AA1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7DE69451">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3B199278">
            <w:pPr>
              <w:pStyle w:val="5"/>
              <w:widowControl w:val="0"/>
              <w:kinsoku/>
              <w:autoSpaceDE/>
              <w:autoSpaceDN/>
              <w:spacing w:line="360" w:lineRule="auto"/>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50EA110B">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2165BE5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性能参数：一项不响应扣1-2分。</w:t>
            </w:r>
          </w:p>
        </w:tc>
        <w:tc>
          <w:tcPr>
            <w:tcW w:w="1134" w:type="dxa"/>
            <w:tcMar>
              <w:left w:w="103" w:type="dxa"/>
            </w:tcMar>
            <w:vAlign w:val="center"/>
          </w:tcPr>
          <w:p w14:paraId="0DC3255B">
            <w:pPr>
              <w:widowControl w:val="0"/>
              <w:kinsoku/>
              <w:autoSpaceDE/>
              <w:autoSpaceDN/>
              <w:spacing w:line="360" w:lineRule="auto"/>
              <w:jc w:val="center"/>
              <w:textAlignment w:val="auto"/>
              <w:rPr>
                <w:rFonts w:hint="eastAsia" w:ascii="宋体" w:hAnsi="宋体" w:eastAsia="宋体" w:cs="宋体"/>
                <w:color w:val="auto"/>
                <w:sz w:val="24"/>
                <w:szCs w:val="24"/>
              </w:rPr>
            </w:pPr>
          </w:p>
        </w:tc>
      </w:tr>
    </w:tbl>
    <w:p w14:paraId="13BDFE94">
      <w:pPr>
        <w:spacing w:line="360" w:lineRule="auto"/>
        <w:jc w:val="both"/>
        <w:rPr>
          <w:rFonts w:hint="eastAsia" w:ascii="宋体" w:hAnsi="宋体" w:eastAsia="宋体" w:cs="宋体"/>
          <w:b/>
          <w:bCs/>
          <w:sz w:val="24"/>
        </w:rPr>
      </w:pPr>
    </w:p>
    <w:p w14:paraId="4D6C5512">
      <w:pPr>
        <w:spacing w:line="360" w:lineRule="auto"/>
        <w:ind w:firstLine="482" w:firstLineChars="200"/>
        <w:jc w:val="both"/>
        <w:rPr>
          <w:rFonts w:hint="eastAsia" w:ascii="宋体" w:hAnsi="宋体" w:eastAsia="宋体" w:cs="宋体"/>
          <w:b/>
          <w:bCs/>
          <w:sz w:val="24"/>
        </w:rPr>
      </w:pPr>
      <w:r>
        <w:rPr>
          <w:rFonts w:hint="eastAsia" w:ascii="宋体" w:hAnsi="宋体" w:eastAsia="宋体" w:cs="宋体"/>
          <w:b/>
          <w:bCs/>
          <w:sz w:val="24"/>
        </w:rPr>
        <w:t>3、价格部分（分值</w:t>
      </w:r>
      <w:r>
        <w:rPr>
          <w:rFonts w:hint="eastAsia" w:ascii="宋体" w:hAnsi="宋体" w:eastAsia="宋体" w:cs="宋体"/>
          <w:b/>
          <w:bCs/>
          <w:sz w:val="24"/>
          <w:lang w:val="en-US" w:eastAsia="zh-CN"/>
        </w:rPr>
        <w:t>90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6F704E0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3434489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0B9E1CFD">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247E3181">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DAFAA7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1E19190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29A1FCBC">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00D5F7A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53DFD6F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022BBA2B">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5086D95D">
            <w:pPr>
              <w:spacing w:line="360" w:lineRule="auto"/>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0084DFBF">
            <w:pPr>
              <w:spacing w:line="360" w:lineRule="auto"/>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9</w:t>
            </w:r>
            <w:r>
              <w:rPr>
                <w:rFonts w:hint="eastAsia" w:ascii="宋体" w:hAnsi="宋体" w:eastAsia="宋体" w:cs="宋体"/>
                <w:sz w:val="24"/>
              </w:rPr>
              <w:t>0%，评审过程中，不得去掉最后报价中的最高报价和最低报价。（保留到小数点后两位，第三位四舍五入。）</w:t>
            </w:r>
          </w:p>
          <w:p w14:paraId="675B0376">
            <w:pPr>
              <w:spacing w:line="360" w:lineRule="auto"/>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1AA796D">
            <w:pPr>
              <w:spacing w:line="360" w:lineRule="auto"/>
              <w:rPr>
                <w:rFonts w:hint="eastAsia" w:ascii="宋体" w:hAnsi="宋体" w:eastAsia="宋体" w:cs="宋体"/>
                <w:sz w:val="24"/>
                <w:szCs w:val="24"/>
              </w:rPr>
            </w:pPr>
          </w:p>
        </w:tc>
      </w:tr>
    </w:tbl>
    <w:p w14:paraId="72E789AD">
      <w:pPr>
        <w:pStyle w:val="15"/>
        <w:ind w:left="0" w:leftChars="0" w:firstLine="0" w:firstLineChars="0"/>
        <w:rPr>
          <w:rFonts w:hint="eastAsia" w:ascii="宋体" w:hAnsi="宋体" w:eastAsia="宋体" w:cs="宋体"/>
          <w:color w:val="auto"/>
        </w:rPr>
      </w:pPr>
    </w:p>
    <w:p w14:paraId="3DB0B67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.定标办法</w:t>
      </w:r>
    </w:p>
    <w:p w14:paraId="564E5C0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14:paraId="66E0348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p>
    <w:p w14:paraId="23A589A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7B3289AD">
      <w:pPr>
        <w:spacing w:line="360" w:lineRule="auto"/>
        <w:ind w:firstLine="480" w:firstLineChars="200"/>
        <w:rPr>
          <w:rFonts w:hint="eastAsia" w:ascii="宋体" w:hAnsi="宋体" w:eastAsia="宋体" w:cs="宋体"/>
          <w:color w:val="auto"/>
          <w:sz w:val="24"/>
          <w:highlight w:val="yellow"/>
          <w:lang w:val="en-US" w:eastAsia="zh-CN"/>
        </w:rPr>
      </w:pPr>
      <w:r>
        <w:rPr>
          <w:rFonts w:hint="eastAsia" w:ascii="宋体" w:hAnsi="宋体" w:eastAsia="宋体" w:cs="宋体"/>
          <w:color w:val="auto"/>
          <w:sz w:val="24"/>
          <w:lang w:val="en-US" w:eastAsia="zh-CN"/>
        </w:rPr>
        <w:t>5</w:t>
      </w:r>
      <w:r>
        <w:rPr>
          <w:rFonts w:hint="eastAsia" w:ascii="宋体" w:hAnsi="宋体" w:eastAsia="宋体" w:cs="宋体"/>
          <w:color w:val="auto"/>
          <w:sz w:val="24"/>
        </w:rPr>
        <w:t>.评标小组评委依据得分高低顺序依次确定</w:t>
      </w:r>
      <w:r>
        <w:rPr>
          <w:rFonts w:hint="eastAsia" w:ascii="宋体" w:hAnsi="宋体" w:eastAsia="宋体" w:cs="宋体"/>
          <w:color w:val="auto"/>
          <w:sz w:val="24"/>
          <w:lang w:val="en-US" w:eastAsia="zh-CN"/>
        </w:rPr>
        <w:t>一家</w:t>
      </w:r>
      <w:r>
        <w:rPr>
          <w:rFonts w:hint="eastAsia" w:ascii="宋体" w:hAnsi="宋体" w:eastAsia="宋体" w:cs="宋体"/>
          <w:color w:val="auto"/>
          <w:sz w:val="24"/>
        </w:rPr>
        <w:t>中标候选人。如果出现并列得分最高，则确定价格较低者排名在前；价格投标仍相</w:t>
      </w:r>
      <w:r>
        <w:rPr>
          <w:rFonts w:hint="eastAsia" w:ascii="宋体" w:hAnsi="宋体" w:eastAsia="宋体" w:cs="宋体"/>
          <w:color w:val="auto"/>
          <w:sz w:val="24"/>
          <w:lang w:val="en-US" w:eastAsia="zh-CN"/>
        </w:rPr>
        <w:t>同时则采用抽签方式现场确定中标候选人。</w:t>
      </w:r>
    </w:p>
    <w:p w14:paraId="09CD1046">
      <w:pPr>
        <w:spacing w:line="360" w:lineRule="auto"/>
        <w:ind w:firstLine="480" w:firstLineChars="200"/>
        <w:rPr>
          <w:rFonts w:hint="eastAsia" w:ascii="宋体" w:hAnsi="宋体" w:eastAsia="宋体" w:cs="宋体"/>
          <w:lang w:val="en-US" w:eastAsia="zh-CN"/>
        </w:rPr>
        <w:sectPr>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lang w:val="en-US" w:eastAsia="zh-CN"/>
        </w:rPr>
        <w:t>6</w:t>
      </w:r>
      <w:r>
        <w:rPr>
          <w:rFonts w:hint="eastAsia" w:ascii="宋体" w:hAnsi="宋体" w:eastAsia="宋体" w:cs="宋体"/>
          <w:color w:val="auto"/>
          <w:sz w:val="24"/>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r>
        <w:rPr>
          <w:rFonts w:hint="eastAsia" w:ascii="宋体" w:hAnsi="宋体" w:eastAsia="宋体" w:cs="宋体"/>
          <w:color w:val="auto"/>
          <w:sz w:val="24"/>
          <w:lang w:eastAsia="zh-CN"/>
        </w:rPr>
        <w:t>。</w:t>
      </w:r>
    </w:p>
    <w:p w14:paraId="1EF4307E">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5" w:name="_Toc20197"/>
      <w:bookmarkStart w:id="96" w:name="_Toc7216"/>
      <w:bookmarkStart w:id="97" w:name="_Toc12820"/>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27ECD777">
      <w:pPr>
        <w:pStyle w:val="6"/>
        <w:spacing w:line="360" w:lineRule="auto"/>
        <w:rPr>
          <w:rFonts w:hint="eastAsia" w:ascii="宋体" w:hAnsi="宋体" w:eastAsia="宋体" w:cs="宋体"/>
        </w:rPr>
      </w:pPr>
      <w:r>
        <w:rPr>
          <w:rFonts w:hint="eastAsia" w:ascii="宋体" w:hAnsi="宋体" w:eastAsia="宋体" w:cs="宋体"/>
        </w:rPr>
        <w:t>投标人应满足以下要求：</w:t>
      </w:r>
    </w:p>
    <w:p w14:paraId="17CA7173">
      <w:pPr>
        <w:pStyle w:val="6"/>
        <w:spacing w:line="360" w:lineRule="auto"/>
        <w:rPr>
          <w:rFonts w:hint="eastAsia" w:ascii="宋体" w:hAnsi="宋体" w:eastAsia="宋体" w:cs="宋体"/>
          <w:lang w:val="en-US" w:eastAsia="zh-CN"/>
        </w:rPr>
      </w:pPr>
      <w:r>
        <w:rPr>
          <w:rFonts w:hint="eastAsia" w:cs="宋体"/>
          <w:lang w:val="en-US" w:eastAsia="zh-CN"/>
        </w:rPr>
        <w:t>冷轧、热轧酸洗板、不锈钢冷板</w:t>
      </w:r>
      <w:r>
        <w:rPr>
          <w:rFonts w:hint="eastAsia" w:ascii="宋体" w:hAnsi="宋体" w:eastAsia="宋体" w:cs="宋体"/>
          <w:lang w:val="en-US" w:eastAsia="zh-CN"/>
        </w:rPr>
        <w:t>理化指标：</w:t>
      </w:r>
    </w:p>
    <w:p w14:paraId="0FD9E1B9">
      <w:pPr>
        <w:pStyle w:val="6"/>
        <w:numPr>
          <w:ilvl w:val="0"/>
          <w:numId w:val="0"/>
        </w:numPr>
        <w:kinsoku w:val="0"/>
        <w:autoSpaceDE w:val="0"/>
        <w:autoSpaceDN w:val="0"/>
        <w:adjustRightInd w:val="0"/>
        <w:snapToGrid w:val="0"/>
        <w:spacing w:line="360" w:lineRule="auto"/>
        <w:textAlignment w:val="baseline"/>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序号一：</w:t>
      </w:r>
    </w:p>
    <w:tbl>
      <w:tblPr>
        <w:tblStyle w:val="22"/>
        <w:tblpPr w:leftFromText="180" w:rightFromText="180" w:vertAnchor="text" w:horzAnchor="margin" w:tblpXSpec="center" w:tblpY="75"/>
        <w:tblOverlap w:val="never"/>
        <w:tblW w:w="87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1"/>
        <w:gridCol w:w="1066"/>
        <w:gridCol w:w="4"/>
        <w:gridCol w:w="846"/>
        <w:gridCol w:w="1333"/>
        <w:gridCol w:w="3434"/>
        <w:gridCol w:w="1410"/>
      </w:tblGrid>
      <w:tr w14:paraId="7A12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693" w:type="dxa"/>
            <w:noWrap w:val="0"/>
            <w:vAlign w:val="center"/>
          </w:tcPr>
          <w:p w14:paraId="02543E60">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067" w:type="dxa"/>
            <w:gridSpan w:val="2"/>
            <w:noWrap w:val="0"/>
            <w:vAlign w:val="center"/>
          </w:tcPr>
          <w:p w14:paraId="7BDCDB90">
            <w:pPr>
              <w:jc w:val="center"/>
              <w:rPr>
                <w:rFonts w:hint="eastAsia" w:ascii="宋体" w:hAnsi="宋体" w:eastAsia="宋体" w:cs="宋体"/>
                <w:b/>
                <w:bCs/>
                <w:sz w:val="24"/>
                <w:szCs w:val="24"/>
              </w:rPr>
            </w:pPr>
            <w:r>
              <w:rPr>
                <w:rFonts w:hint="eastAsia" w:ascii="宋体" w:hAnsi="宋体" w:eastAsia="宋体" w:cs="宋体"/>
                <w:b/>
                <w:bCs/>
                <w:sz w:val="24"/>
                <w:szCs w:val="24"/>
              </w:rPr>
              <w:t>原料名称</w:t>
            </w:r>
          </w:p>
        </w:tc>
        <w:tc>
          <w:tcPr>
            <w:tcW w:w="850" w:type="dxa"/>
            <w:gridSpan w:val="2"/>
            <w:tcBorders>
              <w:right w:val="single" w:color="auto" w:sz="4" w:space="0"/>
            </w:tcBorders>
            <w:noWrap w:val="0"/>
            <w:vAlign w:val="center"/>
          </w:tcPr>
          <w:p w14:paraId="06F14CA2">
            <w:pPr>
              <w:jc w:val="center"/>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材质</w:t>
            </w:r>
          </w:p>
        </w:tc>
        <w:tc>
          <w:tcPr>
            <w:tcW w:w="1333" w:type="dxa"/>
            <w:tcBorders>
              <w:left w:val="single" w:color="auto" w:sz="4" w:space="0"/>
              <w:right w:val="single" w:color="auto" w:sz="4" w:space="0"/>
            </w:tcBorders>
            <w:noWrap w:val="0"/>
            <w:vAlign w:val="center"/>
          </w:tcPr>
          <w:p w14:paraId="35AE3767">
            <w:pPr>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厚度mm</w:t>
            </w:r>
          </w:p>
        </w:tc>
        <w:tc>
          <w:tcPr>
            <w:tcW w:w="3434" w:type="dxa"/>
            <w:tcBorders>
              <w:left w:val="single" w:color="auto" w:sz="4" w:space="0"/>
            </w:tcBorders>
            <w:noWrap w:val="0"/>
            <w:vAlign w:val="center"/>
          </w:tcPr>
          <w:p w14:paraId="47D0754B">
            <w:pPr>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*性能指标</w:t>
            </w:r>
          </w:p>
        </w:tc>
        <w:tc>
          <w:tcPr>
            <w:tcW w:w="1410" w:type="dxa"/>
            <w:noWrap w:val="0"/>
            <w:vAlign w:val="center"/>
          </w:tcPr>
          <w:p w14:paraId="3A264A0D">
            <w:pPr>
              <w:jc w:val="center"/>
              <w:rPr>
                <w:rFonts w:hint="eastAsia" w:ascii="宋体" w:hAnsi="宋体" w:eastAsia="宋体" w:cs="宋体"/>
                <w:b/>
                <w:bCs/>
                <w:sz w:val="24"/>
                <w:szCs w:val="24"/>
                <w:lang w:val="en-US" w:eastAsia="zh-CN"/>
              </w:rPr>
            </w:pPr>
            <w:r>
              <w:rPr>
                <w:rFonts w:hint="eastAsia" w:ascii="仿宋" w:hAnsi="仿宋" w:eastAsia="仿宋" w:cs="仿宋"/>
                <w:b/>
                <w:bCs/>
                <w:kern w:val="0"/>
                <w:sz w:val="21"/>
                <w:szCs w:val="21"/>
                <w:lang w:val="en-US" w:eastAsia="zh-CN"/>
              </w:rPr>
              <w:t>备注</w:t>
            </w:r>
          </w:p>
        </w:tc>
      </w:tr>
      <w:tr w14:paraId="4F9F1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 w:hRule="atLeast"/>
          <w:jc w:val="center"/>
        </w:trPr>
        <w:tc>
          <w:tcPr>
            <w:tcW w:w="693" w:type="dxa"/>
            <w:vMerge w:val="restart"/>
            <w:noWrap w:val="0"/>
            <w:vAlign w:val="center"/>
          </w:tcPr>
          <w:p w14:paraId="11CD30C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067" w:type="dxa"/>
            <w:gridSpan w:val="2"/>
            <w:vMerge w:val="restart"/>
            <w:noWrap w:val="0"/>
            <w:vAlign w:val="center"/>
          </w:tcPr>
          <w:p w14:paraId="20FDC1A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冷轧板</w:t>
            </w:r>
          </w:p>
        </w:tc>
        <w:tc>
          <w:tcPr>
            <w:tcW w:w="850" w:type="dxa"/>
            <w:gridSpan w:val="2"/>
            <w:vMerge w:val="restart"/>
            <w:tcBorders>
              <w:right w:val="single" w:color="auto" w:sz="4" w:space="0"/>
            </w:tcBorders>
            <w:noWrap w:val="0"/>
            <w:vAlign w:val="center"/>
          </w:tcPr>
          <w:p w14:paraId="2628FDC4">
            <w:pPr>
              <w:keepNext w:val="0"/>
              <w:keepLines w:val="0"/>
              <w:widowControl/>
              <w:suppressLineNumbers w:val="0"/>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Q235</w:t>
            </w:r>
          </w:p>
          <w:p w14:paraId="12534046">
            <w:pPr>
              <w:keepNext w:val="0"/>
              <w:keepLines w:val="0"/>
              <w:widowControl/>
              <w:suppressLineNumbers w:val="0"/>
              <w:jc w:val="center"/>
              <w:textAlignment w:val="center"/>
              <w:rPr>
                <w:rFonts w:hint="default"/>
                <w:lang w:val="en-US" w:eastAsia="zh-CN"/>
              </w:rPr>
            </w:pPr>
          </w:p>
        </w:tc>
        <w:tc>
          <w:tcPr>
            <w:tcW w:w="1333" w:type="dxa"/>
            <w:tcBorders>
              <w:left w:val="single" w:color="auto" w:sz="4" w:space="0"/>
              <w:bottom w:val="single" w:color="auto" w:sz="4" w:space="0"/>
              <w:right w:val="single" w:color="auto" w:sz="4" w:space="0"/>
            </w:tcBorders>
            <w:noWrap w:val="0"/>
            <w:vAlign w:val="center"/>
          </w:tcPr>
          <w:p w14:paraId="2064209A">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≤0.5</w:t>
            </w:r>
          </w:p>
        </w:tc>
        <w:tc>
          <w:tcPr>
            <w:tcW w:w="3434" w:type="dxa"/>
            <w:vMerge w:val="restart"/>
            <w:tcBorders>
              <w:left w:val="single" w:color="auto" w:sz="4" w:space="0"/>
            </w:tcBorders>
            <w:noWrap w:val="0"/>
            <w:vAlign w:val="center"/>
          </w:tcPr>
          <w:p w14:paraId="67EB048C">
            <w:pPr>
              <w:jc w:val="center"/>
              <w:rPr>
                <w:rFonts w:hint="eastAsia" w:ascii="宋体" w:hAnsi="宋体" w:eastAsia="宋体" w:cs="宋体"/>
                <w:sz w:val="24"/>
                <w:szCs w:val="24"/>
                <w:lang w:val="en-US" w:eastAsia="zh-CN"/>
              </w:rPr>
            </w:pPr>
            <w:r>
              <w:rPr>
                <w:rFonts w:ascii="宋体" w:hAnsi="宋体" w:eastAsia="宋体" w:cs="宋体"/>
                <w:sz w:val="24"/>
                <w:szCs w:val="24"/>
              </w:rPr>
              <w:t>屈服强度</w:t>
            </w:r>
            <w:r>
              <w:rPr>
                <w:rFonts w:hint="eastAsia" w:ascii="宋体" w:hAnsi="宋体" w:eastAsia="宋体" w:cs="宋体"/>
                <w:sz w:val="24"/>
                <w:szCs w:val="24"/>
                <w:lang w:val="en-US" w:eastAsia="zh-CN"/>
              </w:rPr>
              <w:t>≥235</w:t>
            </w:r>
          </w:p>
          <w:p w14:paraId="537FC67F">
            <w:pPr>
              <w:jc w:val="center"/>
              <w:rPr>
                <w:rFonts w:hint="default" w:ascii="宋体" w:hAnsi="宋体" w:eastAsia="宋体" w:cs="宋体"/>
                <w:snapToGrid w:val="0"/>
                <w:color w:val="000000"/>
                <w:sz w:val="21"/>
                <w:szCs w:val="21"/>
                <w:lang w:val="en-US" w:eastAsia="zh-CN" w:bidi="ar-SA"/>
              </w:rPr>
            </w:pPr>
            <w:r>
              <w:rPr>
                <w:rFonts w:ascii="宋体" w:hAnsi="宋体" w:eastAsia="宋体" w:cs="宋体"/>
                <w:sz w:val="24"/>
                <w:szCs w:val="24"/>
              </w:rPr>
              <w:t>抗拉强度</w:t>
            </w:r>
            <w:r>
              <w:rPr>
                <w:rFonts w:hint="eastAsia" w:ascii="宋体" w:hAnsi="宋体" w:eastAsia="宋体" w:cs="宋体"/>
                <w:sz w:val="24"/>
                <w:szCs w:val="24"/>
                <w:lang w:val="en-US" w:eastAsia="zh-CN"/>
              </w:rPr>
              <w:t>370~500</w:t>
            </w:r>
            <w:r>
              <w:rPr>
                <w:rFonts w:hint="eastAsia" w:ascii="宋体" w:hAnsi="宋体" w:eastAsia="宋体" w:cs="宋体"/>
                <w:sz w:val="24"/>
                <w:szCs w:val="24"/>
                <w:lang w:val="en-US" w:eastAsia="zh-CN"/>
              </w:rPr>
              <w:br w:type="textWrapping"/>
            </w:r>
            <w:r>
              <w:rPr>
                <w:rFonts w:ascii="宋体" w:hAnsi="宋体" w:eastAsia="宋体" w:cs="宋体"/>
                <w:sz w:val="24"/>
                <w:szCs w:val="24"/>
              </w:rPr>
              <w:t>伸长率≥22</w:t>
            </w:r>
          </w:p>
        </w:tc>
        <w:tc>
          <w:tcPr>
            <w:tcW w:w="1410" w:type="dxa"/>
            <w:vMerge w:val="restart"/>
            <w:noWrap w:val="0"/>
            <w:vAlign w:val="center"/>
          </w:tcPr>
          <w:p w14:paraId="3C3D16F9">
            <w:pPr>
              <w:jc w:val="center"/>
              <w:rPr>
                <w:rFonts w:hint="default" w:ascii="宋体" w:hAnsi="宋体" w:eastAsia="宋体" w:cs="宋体"/>
                <w:sz w:val="24"/>
                <w:szCs w:val="24"/>
                <w:lang w:val="en-US" w:eastAsia="zh-CN"/>
              </w:rPr>
            </w:pPr>
          </w:p>
          <w:p w14:paraId="112925AC">
            <w:pPr>
              <w:jc w:val="center"/>
              <w:rPr>
                <w:rFonts w:hint="default" w:ascii="宋体" w:hAnsi="宋体" w:eastAsia="宋体" w:cs="宋体"/>
                <w:sz w:val="24"/>
                <w:szCs w:val="24"/>
                <w:lang w:val="en-US" w:eastAsia="zh-CN"/>
              </w:rPr>
            </w:pPr>
          </w:p>
        </w:tc>
      </w:tr>
      <w:tr w14:paraId="42B11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693" w:type="dxa"/>
            <w:vMerge w:val="continue"/>
            <w:noWrap w:val="0"/>
            <w:vAlign w:val="center"/>
          </w:tcPr>
          <w:p w14:paraId="6B5409AF">
            <w:pPr>
              <w:jc w:val="center"/>
              <w:rPr>
                <w:rFonts w:hint="eastAsia" w:ascii="宋体" w:hAnsi="宋体" w:eastAsia="宋体" w:cs="宋体"/>
                <w:sz w:val="24"/>
                <w:szCs w:val="24"/>
                <w:lang w:val="en-US" w:eastAsia="zh-CN"/>
              </w:rPr>
            </w:pPr>
          </w:p>
        </w:tc>
        <w:tc>
          <w:tcPr>
            <w:tcW w:w="1067" w:type="dxa"/>
            <w:gridSpan w:val="2"/>
            <w:vMerge w:val="continue"/>
            <w:noWrap w:val="0"/>
            <w:vAlign w:val="center"/>
          </w:tcPr>
          <w:p w14:paraId="23E657FE">
            <w:pPr>
              <w:jc w:val="center"/>
              <w:rPr>
                <w:rFonts w:hint="eastAsia" w:ascii="宋体" w:hAnsi="宋体" w:eastAsia="宋体" w:cs="宋体"/>
                <w:sz w:val="24"/>
                <w:szCs w:val="24"/>
                <w:lang w:val="en-US" w:eastAsia="zh-CN"/>
              </w:rPr>
            </w:pPr>
          </w:p>
        </w:tc>
        <w:tc>
          <w:tcPr>
            <w:tcW w:w="850" w:type="dxa"/>
            <w:gridSpan w:val="2"/>
            <w:vMerge w:val="continue"/>
            <w:tcBorders>
              <w:right w:val="single" w:color="auto" w:sz="4" w:space="0"/>
            </w:tcBorders>
            <w:noWrap w:val="0"/>
            <w:vAlign w:val="center"/>
          </w:tcPr>
          <w:p w14:paraId="36CE1507">
            <w:pPr>
              <w:keepNext w:val="0"/>
              <w:keepLines w:val="0"/>
              <w:widowControl/>
              <w:suppressLineNumbers w:val="0"/>
              <w:jc w:val="center"/>
              <w:textAlignment w:val="center"/>
              <w:rPr>
                <w:rFonts w:hint="eastAsia"/>
                <w:lang w:val="en-US" w:eastAsia="zh-CN"/>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4337C5FF">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＞0.5~1.0</w:t>
            </w:r>
          </w:p>
        </w:tc>
        <w:tc>
          <w:tcPr>
            <w:tcW w:w="3434" w:type="dxa"/>
            <w:vMerge w:val="continue"/>
            <w:tcBorders>
              <w:left w:val="single" w:color="auto" w:sz="4" w:space="0"/>
            </w:tcBorders>
            <w:noWrap w:val="0"/>
            <w:vAlign w:val="center"/>
          </w:tcPr>
          <w:p w14:paraId="5C59C40D">
            <w:pPr>
              <w:jc w:val="center"/>
              <w:rPr>
                <w:rFonts w:hint="eastAsia" w:ascii="宋体" w:hAnsi="宋体" w:eastAsia="宋体" w:cs="宋体"/>
                <w:snapToGrid w:val="0"/>
                <w:color w:val="000000"/>
                <w:sz w:val="21"/>
                <w:szCs w:val="21"/>
                <w:lang w:val="en-US" w:eastAsia="zh-CN" w:bidi="ar-SA"/>
              </w:rPr>
            </w:pPr>
          </w:p>
        </w:tc>
        <w:tc>
          <w:tcPr>
            <w:tcW w:w="1410" w:type="dxa"/>
            <w:vMerge w:val="continue"/>
            <w:noWrap w:val="0"/>
            <w:vAlign w:val="center"/>
          </w:tcPr>
          <w:p w14:paraId="654751A8">
            <w:pPr>
              <w:jc w:val="center"/>
              <w:rPr>
                <w:rFonts w:hint="eastAsia" w:ascii="宋体" w:hAnsi="宋体" w:eastAsia="宋体" w:cs="宋体"/>
                <w:sz w:val="24"/>
                <w:szCs w:val="24"/>
                <w:lang w:val="en-US" w:eastAsia="zh-CN"/>
              </w:rPr>
            </w:pPr>
          </w:p>
        </w:tc>
      </w:tr>
      <w:tr w14:paraId="5D49B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 w:hRule="atLeast"/>
          <w:jc w:val="center"/>
        </w:trPr>
        <w:tc>
          <w:tcPr>
            <w:tcW w:w="693" w:type="dxa"/>
            <w:vMerge w:val="continue"/>
            <w:noWrap w:val="0"/>
            <w:vAlign w:val="center"/>
          </w:tcPr>
          <w:p w14:paraId="618FD3A5">
            <w:pPr>
              <w:jc w:val="center"/>
              <w:rPr>
                <w:rFonts w:hint="eastAsia" w:ascii="宋体" w:hAnsi="宋体" w:eastAsia="宋体" w:cs="宋体"/>
                <w:sz w:val="24"/>
                <w:szCs w:val="24"/>
                <w:lang w:val="en-US" w:eastAsia="zh-CN"/>
              </w:rPr>
            </w:pPr>
          </w:p>
        </w:tc>
        <w:tc>
          <w:tcPr>
            <w:tcW w:w="1067" w:type="dxa"/>
            <w:gridSpan w:val="2"/>
            <w:vMerge w:val="continue"/>
            <w:noWrap w:val="0"/>
            <w:vAlign w:val="center"/>
          </w:tcPr>
          <w:p w14:paraId="09626E78">
            <w:pPr>
              <w:jc w:val="center"/>
              <w:rPr>
                <w:rFonts w:hint="eastAsia" w:ascii="宋体" w:hAnsi="宋体" w:eastAsia="宋体" w:cs="宋体"/>
                <w:sz w:val="24"/>
                <w:szCs w:val="24"/>
                <w:lang w:val="en-US" w:eastAsia="zh-CN"/>
              </w:rPr>
            </w:pPr>
          </w:p>
        </w:tc>
        <w:tc>
          <w:tcPr>
            <w:tcW w:w="850" w:type="dxa"/>
            <w:gridSpan w:val="2"/>
            <w:vMerge w:val="continue"/>
            <w:tcBorders>
              <w:right w:val="single" w:color="auto" w:sz="4" w:space="0"/>
            </w:tcBorders>
            <w:noWrap w:val="0"/>
            <w:vAlign w:val="center"/>
          </w:tcPr>
          <w:p w14:paraId="731BB17A">
            <w:pPr>
              <w:keepNext w:val="0"/>
              <w:keepLines w:val="0"/>
              <w:widowControl/>
              <w:suppressLineNumbers w:val="0"/>
              <w:jc w:val="center"/>
              <w:textAlignment w:val="center"/>
              <w:rPr>
                <w:rFonts w:hint="eastAsia"/>
                <w:lang w:val="en-US" w:eastAsia="zh-CN"/>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48ED977A">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＞1.0~3.0</w:t>
            </w:r>
          </w:p>
        </w:tc>
        <w:tc>
          <w:tcPr>
            <w:tcW w:w="3434" w:type="dxa"/>
            <w:vMerge w:val="continue"/>
            <w:tcBorders>
              <w:left w:val="single" w:color="auto" w:sz="4" w:space="0"/>
            </w:tcBorders>
            <w:noWrap w:val="0"/>
            <w:vAlign w:val="center"/>
          </w:tcPr>
          <w:p w14:paraId="4CB80732">
            <w:pPr>
              <w:jc w:val="center"/>
              <w:rPr>
                <w:rFonts w:hint="eastAsia" w:ascii="宋体" w:hAnsi="宋体" w:eastAsia="宋体" w:cs="宋体"/>
                <w:snapToGrid w:val="0"/>
                <w:color w:val="000000"/>
                <w:sz w:val="21"/>
                <w:szCs w:val="21"/>
                <w:lang w:val="en-US" w:eastAsia="zh-CN" w:bidi="ar-SA"/>
              </w:rPr>
            </w:pPr>
          </w:p>
        </w:tc>
        <w:tc>
          <w:tcPr>
            <w:tcW w:w="1410" w:type="dxa"/>
            <w:vMerge w:val="continue"/>
            <w:noWrap w:val="0"/>
            <w:vAlign w:val="center"/>
          </w:tcPr>
          <w:p w14:paraId="040C4AA2">
            <w:pPr>
              <w:jc w:val="center"/>
              <w:rPr>
                <w:rFonts w:hint="eastAsia" w:ascii="宋体" w:hAnsi="宋体" w:eastAsia="宋体" w:cs="宋体"/>
                <w:sz w:val="24"/>
                <w:szCs w:val="24"/>
                <w:lang w:val="en-US" w:eastAsia="zh-CN"/>
              </w:rPr>
            </w:pPr>
          </w:p>
        </w:tc>
      </w:tr>
      <w:tr w14:paraId="154F0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 w:hRule="atLeast"/>
          <w:jc w:val="center"/>
        </w:trPr>
        <w:tc>
          <w:tcPr>
            <w:tcW w:w="693" w:type="dxa"/>
            <w:vMerge w:val="continue"/>
            <w:noWrap w:val="0"/>
            <w:vAlign w:val="center"/>
          </w:tcPr>
          <w:p w14:paraId="0382BB80">
            <w:pPr>
              <w:jc w:val="center"/>
              <w:rPr>
                <w:rFonts w:hint="eastAsia" w:ascii="宋体" w:hAnsi="宋体" w:eastAsia="宋体" w:cs="宋体"/>
                <w:sz w:val="24"/>
                <w:szCs w:val="24"/>
                <w:lang w:val="en-US" w:eastAsia="zh-CN"/>
              </w:rPr>
            </w:pPr>
          </w:p>
        </w:tc>
        <w:tc>
          <w:tcPr>
            <w:tcW w:w="1067" w:type="dxa"/>
            <w:gridSpan w:val="2"/>
            <w:vMerge w:val="continue"/>
            <w:noWrap w:val="0"/>
            <w:vAlign w:val="center"/>
          </w:tcPr>
          <w:p w14:paraId="309C7264">
            <w:pPr>
              <w:jc w:val="center"/>
              <w:rPr>
                <w:rFonts w:hint="eastAsia" w:ascii="宋体" w:hAnsi="宋体" w:eastAsia="宋体" w:cs="宋体"/>
                <w:sz w:val="24"/>
                <w:szCs w:val="24"/>
                <w:lang w:val="en-US" w:eastAsia="zh-CN"/>
              </w:rPr>
            </w:pPr>
          </w:p>
        </w:tc>
        <w:tc>
          <w:tcPr>
            <w:tcW w:w="850" w:type="dxa"/>
            <w:gridSpan w:val="2"/>
            <w:vMerge w:val="continue"/>
            <w:tcBorders>
              <w:right w:val="single" w:color="auto" w:sz="4" w:space="0"/>
            </w:tcBorders>
            <w:noWrap w:val="0"/>
            <w:vAlign w:val="center"/>
          </w:tcPr>
          <w:p w14:paraId="190D707F">
            <w:pPr>
              <w:keepNext w:val="0"/>
              <w:keepLines w:val="0"/>
              <w:widowControl/>
              <w:suppressLineNumbers w:val="0"/>
              <w:jc w:val="center"/>
              <w:textAlignment w:val="center"/>
              <w:rPr>
                <w:rFonts w:hint="eastAsia"/>
                <w:lang w:val="en-US" w:eastAsia="zh-CN"/>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3809735C">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＞3.0</w:t>
            </w:r>
          </w:p>
        </w:tc>
        <w:tc>
          <w:tcPr>
            <w:tcW w:w="3434" w:type="dxa"/>
            <w:vMerge w:val="continue"/>
            <w:tcBorders>
              <w:left w:val="single" w:color="auto" w:sz="4" w:space="0"/>
              <w:bottom w:val="single" w:color="000000" w:sz="4" w:space="0"/>
            </w:tcBorders>
            <w:noWrap w:val="0"/>
            <w:vAlign w:val="center"/>
          </w:tcPr>
          <w:p w14:paraId="0566ED8F">
            <w:pPr>
              <w:jc w:val="center"/>
              <w:rPr>
                <w:rFonts w:hint="eastAsia" w:ascii="宋体" w:hAnsi="宋体" w:eastAsia="宋体" w:cs="宋体"/>
                <w:snapToGrid w:val="0"/>
                <w:color w:val="000000"/>
                <w:sz w:val="21"/>
                <w:szCs w:val="21"/>
                <w:lang w:val="en-US" w:eastAsia="zh-CN" w:bidi="ar-SA"/>
              </w:rPr>
            </w:pPr>
          </w:p>
        </w:tc>
        <w:tc>
          <w:tcPr>
            <w:tcW w:w="1410" w:type="dxa"/>
            <w:vMerge w:val="continue"/>
            <w:tcBorders>
              <w:bottom w:val="single" w:color="auto" w:sz="4" w:space="0"/>
            </w:tcBorders>
            <w:noWrap w:val="0"/>
            <w:vAlign w:val="center"/>
          </w:tcPr>
          <w:p w14:paraId="472DC88D">
            <w:pPr>
              <w:jc w:val="center"/>
              <w:rPr>
                <w:rFonts w:hint="eastAsia" w:ascii="宋体" w:hAnsi="宋体" w:eastAsia="宋体" w:cs="宋体"/>
                <w:sz w:val="24"/>
                <w:szCs w:val="24"/>
                <w:lang w:val="en-US" w:eastAsia="zh-CN"/>
              </w:rPr>
            </w:pPr>
          </w:p>
        </w:tc>
      </w:tr>
      <w:tr w14:paraId="61E98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 w:hRule="atLeast"/>
          <w:jc w:val="center"/>
        </w:trPr>
        <w:tc>
          <w:tcPr>
            <w:tcW w:w="693" w:type="dxa"/>
            <w:vMerge w:val="restart"/>
            <w:noWrap w:val="0"/>
            <w:vAlign w:val="center"/>
          </w:tcPr>
          <w:p w14:paraId="00DA96A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067" w:type="dxa"/>
            <w:gridSpan w:val="2"/>
            <w:vMerge w:val="restart"/>
            <w:noWrap w:val="0"/>
            <w:vAlign w:val="center"/>
          </w:tcPr>
          <w:p w14:paraId="7E666A5C">
            <w:pPr>
              <w:jc w:val="center"/>
              <w:rPr>
                <w:rFonts w:hint="eastAsia" w:ascii="宋体" w:hAnsi="宋体" w:eastAsia="宋体" w:cs="宋体"/>
                <w:sz w:val="24"/>
                <w:szCs w:val="24"/>
                <w:lang w:val="en-US" w:eastAsia="zh-CN"/>
              </w:rPr>
            </w:pPr>
            <w:r>
              <w:rPr>
                <w:rFonts w:hint="eastAsia" w:ascii="宋体" w:hAnsi="宋体" w:eastAsia="宋体" w:cs="宋体"/>
                <w:snapToGrid w:val="0"/>
                <w:color w:val="000000"/>
                <w:sz w:val="24"/>
                <w:szCs w:val="24"/>
                <w:lang w:val="en-US" w:eastAsia="zh-CN" w:bidi="ar-SA"/>
              </w:rPr>
              <w:t>热轧板</w:t>
            </w:r>
            <w:r>
              <w:rPr>
                <w:rFonts w:hint="eastAsia" w:ascii="宋体" w:hAnsi="宋体" w:eastAsia="宋体" w:cs="宋体"/>
                <w:sz w:val="24"/>
                <w:szCs w:val="24"/>
                <w:lang w:val="en-US" w:eastAsia="zh-CN"/>
              </w:rPr>
              <w:t>（酸洗）</w:t>
            </w:r>
          </w:p>
        </w:tc>
        <w:tc>
          <w:tcPr>
            <w:tcW w:w="850" w:type="dxa"/>
            <w:gridSpan w:val="2"/>
            <w:vMerge w:val="restart"/>
            <w:tcBorders>
              <w:right w:val="single" w:color="auto" w:sz="4" w:space="0"/>
            </w:tcBorders>
            <w:noWrap w:val="0"/>
            <w:vAlign w:val="center"/>
          </w:tcPr>
          <w:p w14:paraId="4CB208E7">
            <w:pPr>
              <w:keepNext w:val="0"/>
              <w:keepLines w:val="0"/>
              <w:widowControl/>
              <w:suppressLineNumbers w:val="0"/>
              <w:ind w:firstLine="210" w:firstLineChars="100"/>
              <w:jc w:val="both"/>
              <w:textAlignment w:val="center"/>
              <w:rPr>
                <w:rFonts w:hint="default"/>
                <w:lang w:val="en-US" w:eastAsia="zh-CN"/>
              </w:rPr>
            </w:pPr>
            <w:r>
              <w:rPr>
                <w:rFonts w:hint="eastAsia" w:ascii="宋体" w:hAnsi="宋体" w:eastAsia="宋体" w:cs="宋体"/>
                <w:sz w:val="21"/>
                <w:szCs w:val="21"/>
                <w:lang w:val="en-US" w:eastAsia="zh-CN"/>
              </w:rPr>
              <w:t>Q235</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2F7C578F">
            <w:pPr>
              <w:keepNext w:val="0"/>
              <w:keepLines w:val="0"/>
              <w:widowControl/>
              <w:suppressLineNumbers w:val="0"/>
              <w:jc w:val="center"/>
              <w:textAlignment w:val="center"/>
              <w:rPr>
                <w:rFonts w:hint="default"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2.0</w:t>
            </w:r>
          </w:p>
        </w:tc>
        <w:tc>
          <w:tcPr>
            <w:tcW w:w="3434" w:type="dxa"/>
            <w:vMerge w:val="restart"/>
            <w:tcBorders>
              <w:top w:val="single" w:color="000000" w:sz="4" w:space="0"/>
              <w:left w:val="single" w:color="auto" w:sz="4" w:space="0"/>
              <w:bottom w:val="single" w:color="000000" w:sz="4" w:space="0"/>
            </w:tcBorders>
            <w:noWrap w:val="0"/>
            <w:vAlign w:val="center"/>
          </w:tcPr>
          <w:p w14:paraId="6A940D16">
            <w:pPr>
              <w:jc w:val="center"/>
              <w:rPr>
                <w:rFonts w:hint="default" w:ascii="宋体" w:hAnsi="宋体" w:eastAsia="宋体" w:cs="宋体"/>
                <w:sz w:val="24"/>
                <w:szCs w:val="24"/>
                <w:lang w:val="en-US" w:eastAsia="zh-CN"/>
              </w:rPr>
            </w:pPr>
            <w:r>
              <w:rPr>
                <w:rFonts w:ascii="宋体" w:hAnsi="宋体" w:eastAsia="宋体" w:cs="宋体"/>
                <w:sz w:val="24"/>
                <w:szCs w:val="24"/>
              </w:rPr>
              <w:t>屈服强度</w:t>
            </w:r>
            <w:r>
              <w:rPr>
                <w:rFonts w:hint="eastAsia" w:ascii="宋体" w:hAnsi="宋体" w:eastAsia="宋体" w:cs="宋体"/>
                <w:sz w:val="24"/>
                <w:szCs w:val="24"/>
                <w:lang w:val="en-US" w:eastAsia="zh-CN"/>
              </w:rPr>
              <w:t>≥235</w:t>
            </w:r>
          </w:p>
          <w:p w14:paraId="6DEAC066">
            <w:pPr>
              <w:jc w:val="center"/>
              <w:rPr>
                <w:rFonts w:hint="default" w:ascii="宋体" w:hAnsi="宋体" w:eastAsia="宋体" w:cs="宋体"/>
                <w:snapToGrid w:val="0"/>
                <w:color w:val="000000"/>
                <w:sz w:val="21"/>
                <w:szCs w:val="21"/>
                <w:lang w:val="en-US" w:eastAsia="zh-CN" w:bidi="ar-SA"/>
              </w:rPr>
            </w:pPr>
            <w:r>
              <w:rPr>
                <w:rFonts w:ascii="宋体" w:hAnsi="宋体" w:eastAsia="宋体" w:cs="宋体"/>
                <w:sz w:val="24"/>
                <w:szCs w:val="24"/>
              </w:rPr>
              <w:t>抗拉强度</w:t>
            </w:r>
            <w:r>
              <w:rPr>
                <w:rFonts w:hint="eastAsia" w:ascii="宋体" w:hAnsi="宋体" w:eastAsia="宋体" w:cs="宋体"/>
                <w:sz w:val="24"/>
                <w:szCs w:val="24"/>
                <w:lang w:val="en-US" w:eastAsia="zh-CN"/>
              </w:rPr>
              <w:t>370~500</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伸长率≥26</w:t>
            </w:r>
          </w:p>
        </w:tc>
        <w:tc>
          <w:tcPr>
            <w:tcW w:w="1410" w:type="dxa"/>
            <w:vMerge w:val="restart"/>
            <w:tcBorders>
              <w:top w:val="single" w:color="auto" w:sz="4" w:space="0"/>
            </w:tcBorders>
            <w:noWrap w:val="0"/>
            <w:vAlign w:val="center"/>
          </w:tcPr>
          <w:p w14:paraId="0F40C5A9">
            <w:pPr>
              <w:jc w:val="center"/>
              <w:rPr>
                <w:rFonts w:hint="eastAsia" w:ascii="宋体" w:hAnsi="宋体" w:eastAsia="宋体" w:cs="宋体"/>
                <w:sz w:val="24"/>
                <w:szCs w:val="24"/>
                <w:lang w:val="en-US" w:eastAsia="zh-CN"/>
              </w:rPr>
            </w:pPr>
          </w:p>
        </w:tc>
      </w:tr>
      <w:tr w14:paraId="1936D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jc w:val="center"/>
        </w:trPr>
        <w:tc>
          <w:tcPr>
            <w:tcW w:w="693" w:type="dxa"/>
            <w:vMerge w:val="continue"/>
            <w:noWrap w:val="0"/>
            <w:vAlign w:val="center"/>
          </w:tcPr>
          <w:p w14:paraId="63BF4E4B">
            <w:pPr>
              <w:jc w:val="center"/>
              <w:rPr>
                <w:rFonts w:hint="eastAsia" w:ascii="宋体" w:hAnsi="宋体" w:eastAsia="宋体" w:cs="宋体"/>
                <w:sz w:val="24"/>
                <w:szCs w:val="24"/>
                <w:lang w:val="en-US" w:eastAsia="zh-CN"/>
              </w:rPr>
            </w:pPr>
          </w:p>
        </w:tc>
        <w:tc>
          <w:tcPr>
            <w:tcW w:w="1067" w:type="dxa"/>
            <w:gridSpan w:val="2"/>
            <w:vMerge w:val="continue"/>
            <w:noWrap w:val="0"/>
            <w:vAlign w:val="center"/>
          </w:tcPr>
          <w:p w14:paraId="3A763CEF">
            <w:pPr>
              <w:jc w:val="center"/>
              <w:rPr>
                <w:rFonts w:hint="eastAsia" w:ascii="宋体" w:hAnsi="宋体" w:eastAsia="宋体" w:cs="宋体"/>
                <w:sz w:val="24"/>
                <w:szCs w:val="24"/>
                <w:lang w:val="en-US" w:eastAsia="zh-CN"/>
              </w:rPr>
            </w:pPr>
          </w:p>
        </w:tc>
        <w:tc>
          <w:tcPr>
            <w:tcW w:w="850" w:type="dxa"/>
            <w:gridSpan w:val="2"/>
            <w:vMerge w:val="continue"/>
            <w:tcBorders>
              <w:right w:val="single" w:color="auto" w:sz="4" w:space="0"/>
            </w:tcBorders>
            <w:noWrap w:val="0"/>
            <w:vAlign w:val="center"/>
          </w:tcPr>
          <w:p w14:paraId="10A1B969">
            <w:pPr>
              <w:keepNext w:val="0"/>
              <w:keepLines w:val="0"/>
              <w:widowControl/>
              <w:suppressLineNumbers w:val="0"/>
              <w:jc w:val="center"/>
              <w:textAlignment w:val="center"/>
              <w:rPr>
                <w:rFonts w:hint="eastAsia"/>
                <w:lang w:val="en-US" w:eastAsia="zh-CN"/>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42ACC4C3">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2.5</w:t>
            </w:r>
          </w:p>
        </w:tc>
        <w:tc>
          <w:tcPr>
            <w:tcW w:w="3434" w:type="dxa"/>
            <w:vMerge w:val="continue"/>
            <w:tcBorders>
              <w:top w:val="single" w:color="000000" w:sz="4" w:space="0"/>
              <w:left w:val="single" w:color="auto" w:sz="4" w:space="0"/>
              <w:bottom w:val="single" w:color="000000" w:sz="4" w:space="0"/>
            </w:tcBorders>
            <w:noWrap w:val="0"/>
            <w:vAlign w:val="center"/>
          </w:tcPr>
          <w:p w14:paraId="0169DE56">
            <w:pPr>
              <w:jc w:val="center"/>
              <w:rPr>
                <w:rFonts w:hint="eastAsia" w:ascii="宋体" w:hAnsi="宋体" w:eastAsia="宋体" w:cs="宋体"/>
                <w:snapToGrid w:val="0"/>
                <w:color w:val="000000"/>
                <w:sz w:val="21"/>
                <w:szCs w:val="21"/>
                <w:lang w:val="en-US" w:eastAsia="zh-CN" w:bidi="ar-SA"/>
              </w:rPr>
            </w:pPr>
          </w:p>
        </w:tc>
        <w:tc>
          <w:tcPr>
            <w:tcW w:w="1410" w:type="dxa"/>
            <w:vMerge w:val="continue"/>
            <w:tcBorders>
              <w:top w:val="single" w:color="auto" w:sz="4" w:space="0"/>
              <w:bottom w:val="single" w:color="000000" w:sz="4" w:space="0"/>
            </w:tcBorders>
            <w:noWrap w:val="0"/>
            <w:vAlign w:val="center"/>
          </w:tcPr>
          <w:p w14:paraId="63EF1F2A">
            <w:pPr>
              <w:jc w:val="center"/>
              <w:rPr>
                <w:rFonts w:hint="eastAsia" w:ascii="宋体" w:hAnsi="宋体" w:eastAsia="宋体" w:cs="宋体"/>
                <w:sz w:val="24"/>
                <w:szCs w:val="24"/>
                <w:lang w:val="en-US" w:eastAsia="zh-CN"/>
              </w:rPr>
            </w:pPr>
          </w:p>
        </w:tc>
      </w:tr>
      <w:tr w14:paraId="5049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 w:hRule="atLeast"/>
          <w:jc w:val="center"/>
        </w:trPr>
        <w:tc>
          <w:tcPr>
            <w:tcW w:w="0" w:type="auto"/>
            <w:gridSpan w:val="2"/>
            <w:vMerge w:val="restart"/>
            <w:noWrap w:val="0"/>
            <w:vAlign w:val="center"/>
          </w:tcPr>
          <w:p w14:paraId="3EDB099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0" w:type="auto"/>
            <w:vMerge w:val="restart"/>
            <w:noWrap w:val="0"/>
            <w:vAlign w:val="center"/>
          </w:tcPr>
          <w:p w14:paraId="7733246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不锈钢冷板</w:t>
            </w:r>
          </w:p>
        </w:tc>
        <w:tc>
          <w:tcPr>
            <w:tcW w:w="850" w:type="dxa"/>
            <w:gridSpan w:val="2"/>
            <w:tcBorders>
              <w:right w:val="single" w:color="auto" w:sz="4" w:space="0"/>
            </w:tcBorders>
            <w:noWrap w:val="0"/>
            <w:vAlign w:val="center"/>
          </w:tcPr>
          <w:p w14:paraId="0448052E">
            <w:pPr>
              <w:jc w:val="center"/>
              <w:rPr>
                <w:rFonts w:hint="eastAsia"/>
                <w:lang w:val="en-US" w:eastAsia="zh-CN"/>
              </w:rPr>
            </w:pPr>
            <w:r>
              <w:rPr>
                <w:rFonts w:hint="eastAsia" w:ascii="宋体" w:hAnsi="宋体" w:eastAsia="宋体" w:cs="宋体"/>
                <w:sz w:val="21"/>
                <w:szCs w:val="21"/>
                <w:lang w:val="en-US" w:eastAsia="zh-CN"/>
              </w:rPr>
              <w:t>304</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0A0A8989">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sz w:val="21"/>
                <w:szCs w:val="21"/>
                <w:lang w:val="en-US" w:eastAsia="zh-CN"/>
              </w:rPr>
              <w:t>1.0</w:t>
            </w:r>
          </w:p>
        </w:tc>
        <w:tc>
          <w:tcPr>
            <w:tcW w:w="3434" w:type="dxa"/>
            <w:vMerge w:val="restart"/>
            <w:tcBorders>
              <w:top w:val="single" w:color="000000" w:sz="4" w:space="0"/>
              <w:left w:val="single" w:color="auto" w:sz="4" w:space="0"/>
              <w:bottom w:val="single" w:color="000000" w:sz="4" w:space="0"/>
            </w:tcBorders>
            <w:noWrap w:val="0"/>
            <w:vAlign w:val="center"/>
          </w:tcPr>
          <w:p w14:paraId="51876393">
            <w:pPr>
              <w:jc w:val="center"/>
              <w:rPr>
                <w:rFonts w:ascii="宋体" w:hAnsi="宋体" w:eastAsia="宋体" w:cs="宋体"/>
                <w:sz w:val="24"/>
                <w:szCs w:val="24"/>
              </w:rPr>
            </w:pPr>
            <w:r>
              <w:rPr>
                <w:rFonts w:ascii="宋体" w:hAnsi="宋体" w:eastAsia="宋体" w:cs="宋体"/>
                <w:sz w:val="24"/>
                <w:szCs w:val="24"/>
              </w:rPr>
              <w:t>屈服强度≥205</w:t>
            </w:r>
          </w:p>
          <w:p w14:paraId="75F34766">
            <w:pPr>
              <w:jc w:val="center"/>
              <w:rPr>
                <w:rFonts w:ascii="宋体" w:hAnsi="宋体" w:eastAsia="宋体" w:cs="宋体"/>
                <w:sz w:val="24"/>
                <w:szCs w:val="24"/>
              </w:rPr>
            </w:pPr>
            <w:r>
              <w:rPr>
                <w:rFonts w:ascii="宋体" w:hAnsi="宋体" w:eastAsia="宋体" w:cs="宋体"/>
                <w:sz w:val="24"/>
                <w:szCs w:val="24"/>
              </w:rPr>
              <w:t>抗拉强度≥515</w:t>
            </w:r>
          </w:p>
          <w:p w14:paraId="032D0F66">
            <w:pPr>
              <w:jc w:val="center"/>
              <w:rPr>
                <w:rFonts w:hint="eastAsia" w:ascii="宋体" w:hAnsi="宋体" w:eastAsia="宋体" w:cs="宋体"/>
                <w:snapToGrid w:val="0"/>
                <w:color w:val="000000"/>
                <w:sz w:val="21"/>
                <w:szCs w:val="21"/>
                <w:lang w:val="en-US" w:eastAsia="zh-CN" w:bidi="ar-SA"/>
              </w:rPr>
            </w:pPr>
            <w:r>
              <w:rPr>
                <w:rFonts w:ascii="宋体" w:hAnsi="宋体" w:eastAsia="宋体" w:cs="宋体"/>
                <w:sz w:val="24"/>
                <w:szCs w:val="24"/>
              </w:rPr>
              <w:t>伸长率≥40</w:t>
            </w:r>
          </w:p>
        </w:tc>
        <w:tc>
          <w:tcPr>
            <w:tcW w:w="1410" w:type="dxa"/>
            <w:vMerge w:val="restart"/>
            <w:tcBorders>
              <w:top w:val="single" w:color="000000" w:sz="4" w:space="0"/>
            </w:tcBorders>
            <w:noWrap w:val="0"/>
            <w:vAlign w:val="center"/>
          </w:tcPr>
          <w:p w14:paraId="7DA93B9E">
            <w:pPr>
              <w:jc w:val="center"/>
              <w:rPr>
                <w:rFonts w:hint="eastAsia" w:ascii="宋体" w:hAnsi="宋体" w:eastAsia="宋体" w:cs="宋体"/>
                <w:sz w:val="24"/>
                <w:szCs w:val="24"/>
                <w:lang w:val="en-US" w:eastAsia="zh-CN"/>
              </w:rPr>
            </w:pPr>
          </w:p>
        </w:tc>
      </w:tr>
      <w:tr w14:paraId="35FFD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 w:hRule="atLeast"/>
          <w:jc w:val="center"/>
        </w:trPr>
        <w:tc>
          <w:tcPr>
            <w:tcW w:w="0" w:type="auto"/>
            <w:gridSpan w:val="2"/>
            <w:vMerge w:val="continue"/>
            <w:noWrap w:val="0"/>
            <w:vAlign w:val="center"/>
          </w:tcPr>
          <w:p w14:paraId="32A1BDB9">
            <w:pPr>
              <w:jc w:val="center"/>
              <w:rPr>
                <w:rFonts w:hint="eastAsia" w:ascii="宋体" w:hAnsi="宋体" w:eastAsia="宋体" w:cs="宋体"/>
                <w:sz w:val="24"/>
                <w:szCs w:val="24"/>
                <w:lang w:val="en-US" w:eastAsia="zh-CN"/>
              </w:rPr>
            </w:pPr>
          </w:p>
        </w:tc>
        <w:tc>
          <w:tcPr>
            <w:tcW w:w="0" w:type="auto"/>
            <w:vMerge w:val="continue"/>
            <w:noWrap w:val="0"/>
            <w:vAlign w:val="center"/>
          </w:tcPr>
          <w:p w14:paraId="28A83E5E">
            <w:pPr>
              <w:jc w:val="center"/>
              <w:rPr>
                <w:rFonts w:hint="eastAsia" w:ascii="宋体" w:hAnsi="宋体" w:eastAsia="宋体" w:cs="宋体"/>
                <w:sz w:val="24"/>
                <w:szCs w:val="24"/>
                <w:lang w:val="en-US" w:eastAsia="zh-CN"/>
              </w:rPr>
            </w:pPr>
          </w:p>
        </w:tc>
        <w:tc>
          <w:tcPr>
            <w:tcW w:w="850" w:type="dxa"/>
            <w:gridSpan w:val="2"/>
            <w:tcBorders>
              <w:right w:val="single" w:color="auto" w:sz="4" w:space="0"/>
            </w:tcBorders>
            <w:noWrap w:val="0"/>
            <w:vAlign w:val="center"/>
          </w:tcPr>
          <w:p w14:paraId="0C71B941">
            <w:pPr>
              <w:jc w:val="center"/>
              <w:rPr>
                <w:rFonts w:hint="eastAsia"/>
                <w:lang w:val="en-US" w:eastAsia="zh-CN"/>
              </w:rPr>
            </w:pPr>
            <w:r>
              <w:rPr>
                <w:rFonts w:hint="eastAsia" w:ascii="宋体" w:hAnsi="宋体" w:eastAsia="宋体" w:cs="宋体"/>
                <w:sz w:val="21"/>
                <w:szCs w:val="21"/>
                <w:lang w:val="en-US" w:eastAsia="zh-CN"/>
              </w:rPr>
              <w:t>304</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0E5B4973">
            <w:pPr>
              <w:jc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w:t>
            </w:r>
            <w:r>
              <w:rPr>
                <w:rFonts w:hint="eastAsia" w:ascii="宋体" w:hAnsi="宋体" w:eastAsia="宋体" w:cs="宋体"/>
                <w:sz w:val="21"/>
                <w:szCs w:val="21"/>
                <w:lang w:val="en-US" w:eastAsia="zh-CN"/>
              </w:rPr>
              <w:t>1.0~3.0</w:t>
            </w:r>
          </w:p>
        </w:tc>
        <w:tc>
          <w:tcPr>
            <w:tcW w:w="3434" w:type="dxa"/>
            <w:vMerge w:val="continue"/>
            <w:tcBorders>
              <w:top w:val="single" w:color="000000" w:sz="4" w:space="0"/>
              <w:left w:val="single" w:color="auto" w:sz="4" w:space="0"/>
              <w:bottom w:val="single" w:color="000000" w:sz="4" w:space="0"/>
            </w:tcBorders>
            <w:noWrap w:val="0"/>
            <w:vAlign w:val="center"/>
          </w:tcPr>
          <w:p w14:paraId="3BC27A77">
            <w:pPr>
              <w:jc w:val="center"/>
              <w:rPr>
                <w:rFonts w:hint="eastAsia" w:ascii="宋体" w:hAnsi="宋体" w:eastAsia="宋体" w:cs="宋体"/>
                <w:snapToGrid w:val="0"/>
                <w:color w:val="000000"/>
                <w:sz w:val="21"/>
                <w:szCs w:val="21"/>
                <w:lang w:val="en-US" w:eastAsia="zh-CN" w:bidi="ar-SA"/>
              </w:rPr>
            </w:pPr>
          </w:p>
        </w:tc>
        <w:tc>
          <w:tcPr>
            <w:tcW w:w="1410" w:type="dxa"/>
            <w:vMerge w:val="continue"/>
            <w:tcBorders>
              <w:top w:val="single" w:color="000000" w:sz="4" w:space="0"/>
              <w:bottom w:val="single" w:color="000000" w:sz="4" w:space="0"/>
            </w:tcBorders>
            <w:noWrap w:val="0"/>
            <w:vAlign w:val="center"/>
          </w:tcPr>
          <w:p w14:paraId="1C03D1DF">
            <w:pPr>
              <w:jc w:val="center"/>
              <w:rPr>
                <w:rFonts w:hint="eastAsia" w:ascii="宋体" w:hAnsi="宋体" w:eastAsia="宋体" w:cs="宋体"/>
                <w:sz w:val="24"/>
                <w:szCs w:val="24"/>
                <w:lang w:val="en-US" w:eastAsia="zh-CN"/>
              </w:rPr>
            </w:pPr>
          </w:p>
        </w:tc>
      </w:tr>
      <w:tr w14:paraId="37390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 w:hRule="atLeast"/>
          <w:jc w:val="center"/>
        </w:trPr>
        <w:tc>
          <w:tcPr>
            <w:tcW w:w="694" w:type="dxa"/>
            <w:gridSpan w:val="2"/>
            <w:vMerge w:val="restart"/>
            <w:noWrap w:val="0"/>
            <w:vAlign w:val="center"/>
          </w:tcPr>
          <w:p w14:paraId="573FD94F">
            <w:pPr>
              <w:jc w:val="left"/>
              <w:rPr>
                <w:rFonts w:hint="eastAsia" w:asciiTheme="minorEastAsia" w:hAnsiTheme="minorEastAsia" w:eastAsiaTheme="minorEastAsia"/>
                <w:b/>
                <w:bCs/>
                <w:color w:val="FF0000"/>
                <w:sz w:val="21"/>
                <w:szCs w:val="21"/>
                <w:lang w:val="en-US" w:eastAsia="zh-CN"/>
              </w:rPr>
            </w:pPr>
          </w:p>
          <w:p w14:paraId="30E8E649">
            <w:pPr>
              <w:bidi w:val="0"/>
              <w:jc w:val="center"/>
              <w:rPr>
                <w:rFonts w:hint="eastAsia" w:ascii="宋体" w:hAnsi="宋体" w:eastAsia="宋体" w:cs="宋体"/>
                <w:sz w:val="24"/>
                <w:szCs w:val="24"/>
                <w:lang w:val="en-US" w:eastAsia="zh-CN"/>
              </w:rPr>
            </w:pPr>
            <w:r>
              <w:rPr>
                <w:rFonts w:hint="eastAsia" w:cs="Arial"/>
                <w:snapToGrid w:val="0"/>
                <w:color w:val="000000"/>
                <w:sz w:val="21"/>
                <w:szCs w:val="21"/>
                <w:lang w:val="en-US" w:eastAsia="zh-CN" w:bidi="ar-SA"/>
              </w:rPr>
              <w:t>4</w:t>
            </w:r>
          </w:p>
        </w:tc>
        <w:tc>
          <w:tcPr>
            <w:tcW w:w="1070" w:type="dxa"/>
            <w:gridSpan w:val="2"/>
            <w:vMerge w:val="restart"/>
            <w:noWrap w:val="0"/>
            <w:vAlign w:val="center"/>
          </w:tcPr>
          <w:p w14:paraId="3D597F91">
            <w:pPr>
              <w:jc w:val="center"/>
              <w:rPr>
                <w:rFonts w:hint="eastAsia" w:ascii="宋体" w:hAnsi="宋体" w:eastAsia="宋体" w:cs="宋体"/>
                <w:sz w:val="24"/>
                <w:szCs w:val="24"/>
                <w:lang w:val="en-US" w:eastAsia="zh-CN"/>
              </w:rPr>
            </w:pPr>
            <w:r>
              <w:rPr>
                <w:rFonts w:hint="eastAsia" w:asciiTheme="minorEastAsia" w:hAnsiTheme="minorEastAsia" w:eastAsiaTheme="minorEastAsia"/>
                <w:b w:val="0"/>
                <w:bCs w:val="0"/>
                <w:color w:val="auto"/>
                <w:sz w:val="22"/>
                <w:szCs w:val="22"/>
                <w:lang w:val="en-US" w:eastAsia="zh-CN"/>
              </w:rPr>
              <w:t>热轧板</w:t>
            </w:r>
          </w:p>
        </w:tc>
        <w:tc>
          <w:tcPr>
            <w:tcW w:w="846" w:type="dxa"/>
            <w:vMerge w:val="restart"/>
            <w:tcBorders>
              <w:right w:val="single" w:color="auto" w:sz="4" w:space="0"/>
            </w:tcBorders>
            <w:noWrap w:val="0"/>
            <w:vAlign w:val="center"/>
          </w:tcPr>
          <w:p w14:paraId="0AAF4499">
            <w:pPr>
              <w:jc w:val="center"/>
              <w:rPr>
                <w:rFonts w:hint="eastAsia"/>
                <w:lang w:val="en-US" w:eastAsia="zh-CN"/>
              </w:rPr>
            </w:pPr>
            <w:r>
              <w:rPr>
                <w:rFonts w:hint="eastAsia" w:asciiTheme="minorEastAsia" w:hAnsiTheme="minorEastAsia" w:eastAsiaTheme="minorEastAsia"/>
                <w:b w:val="0"/>
                <w:bCs w:val="0"/>
                <w:color w:val="auto"/>
                <w:sz w:val="21"/>
                <w:szCs w:val="21"/>
                <w:lang w:val="en-US" w:eastAsia="zh-CN"/>
              </w:rPr>
              <w:t>Q235</w:t>
            </w:r>
          </w:p>
        </w:tc>
        <w:tc>
          <w:tcPr>
            <w:tcW w:w="1333" w:type="dxa"/>
            <w:tcBorders>
              <w:top w:val="single" w:color="auto" w:sz="4" w:space="0"/>
              <w:left w:val="single" w:color="auto" w:sz="4" w:space="0"/>
              <w:bottom w:val="single" w:color="auto" w:sz="4" w:space="0"/>
              <w:right w:val="single" w:color="000000" w:sz="4" w:space="0"/>
            </w:tcBorders>
            <w:noWrap w:val="0"/>
            <w:vAlign w:val="center"/>
          </w:tcPr>
          <w:p w14:paraId="70B106F6">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snapToGrid w:val="0"/>
                <w:color w:val="000000"/>
                <w:sz w:val="21"/>
                <w:szCs w:val="21"/>
                <w:lang w:val="en-US" w:eastAsia="zh-CN" w:bidi="ar-SA"/>
              </w:rPr>
              <w:t>2.0</w:t>
            </w:r>
          </w:p>
        </w:tc>
        <w:tc>
          <w:tcPr>
            <w:tcW w:w="3434" w:type="dxa"/>
            <w:vMerge w:val="restart"/>
            <w:tcBorders>
              <w:top w:val="single" w:color="000000" w:sz="4" w:space="0"/>
              <w:left w:val="single" w:color="000000" w:sz="4" w:space="0"/>
              <w:bottom w:val="single" w:color="000000" w:sz="4" w:space="0"/>
              <w:right w:val="single" w:color="auto" w:sz="4" w:space="0"/>
            </w:tcBorders>
            <w:noWrap w:val="0"/>
            <w:vAlign w:val="center"/>
          </w:tcPr>
          <w:p w14:paraId="69D1768A">
            <w:pPr>
              <w:jc w:val="center"/>
              <w:rPr>
                <w:rFonts w:hint="eastAsia" w:ascii="宋体" w:hAnsi="宋体" w:eastAsia="宋体" w:cs="宋体"/>
                <w:sz w:val="24"/>
                <w:szCs w:val="24"/>
                <w:lang w:val="en-US" w:eastAsia="zh-CN"/>
              </w:rPr>
            </w:pPr>
            <w:r>
              <w:rPr>
                <w:rFonts w:ascii="宋体" w:hAnsi="宋体" w:eastAsia="宋体" w:cs="宋体"/>
                <w:sz w:val="24"/>
                <w:szCs w:val="24"/>
              </w:rPr>
              <w:t>屈服强度</w:t>
            </w:r>
            <w:r>
              <w:rPr>
                <w:rFonts w:hint="eastAsia" w:ascii="宋体" w:hAnsi="宋体" w:eastAsia="宋体" w:cs="宋体"/>
                <w:sz w:val="24"/>
                <w:szCs w:val="24"/>
                <w:lang w:val="en-US" w:eastAsia="zh-CN"/>
              </w:rPr>
              <w:t>≥235</w:t>
            </w:r>
          </w:p>
          <w:p w14:paraId="5C51A7F2">
            <w:pPr>
              <w:jc w:val="center"/>
              <w:rPr>
                <w:rFonts w:ascii="宋体" w:hAnsi="宋体" w:eastAsia="宋体" w:cs="宋体"/>
                <w:sz w:val="24"/>
                <w:szCs w:val="24"/>
              </w:rPr>
            </w:pPr>
            <w:r>
              <w:rPr>
                <w:rFonts w:ascii="宋体" w:hAnsi="宋体" w:eastAsia="宋体" w:cs="宋体"/>
                <w:sz w:val="24"/>
                <w:szCs w:val="24"/>
              </w:rPr>
              <w:t>抗拉强度</w:t>
            </w:r>
            <w:r>
              <w:rPr>
                <w:rFonts w:hint="eastAsia" w:ascii="宋体" w:hAnsi="宋体" w:eastAsia="宋体" w:cs="宋体"/>
                <w:sz w:val="24"/>
                <w:szCs w:val="24"/>
                <w:lang w:val="en-US" w:eastAsia="zh-CN"/>
              </w:rPr>
              <w:t>370~500</w:t>
            </w:r>
            <w:r>
              <w:rPr>
                <w:rFonts w:ascii="宋体" w:hAnsi="宋体" w:eastAsia="宋体" w:cs="宋体"/>
                <w:sz w:val="24"/>
                <w:szCs w:val="24"/>
              </w:rPr>
              <w:t xml:space="preserve"> </w:t>
            </w:r>
          </w:p>
          <w:p w14:paraId="2BAD25B2">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ascii="宋体" w:hAnsi="宋体" w:eastAsia="宋体" w:cs="宋体"/>
                <w:sz w:val="24"/>
                <w:szCs w:val="24"/>
              </w:rPr>
              <w:t>伸长率≥26</w:t>
            </w:r>
          </w:p>
        </w:tc>
        <w:tc>
          <w:tcPr>
            <w:tcW w:w="1410" w:type="dxa"/>
            <w:vMerge w:val="restart"/>
            <w:tcBorders>
              <w:top w:val="single" w:color="000000" w:sz="4" w:space="0"/>
            </w:tcBorders>
            <w:noWrap w:val="0"/>
            <w:vAlign w:val="center"/>
          </w:tcPr>
          <w:p w14:paraId="56768B36">
            <w:pPr>
              <w:jc w:val="center"/>
              <w:rPr>
                <w:rFonts w:hint="eastAsia" w:ascii="宋体" w:hAnsi="宋体" w:eastAsia="宋体" w:cs="宋体"/>
                <w:sz w:val="24"/>
                <w:szCs w:val="24"/>
                <w:lang w:val="en-US" w:eastAsia="zh-CN"/>
              </w:rPr>
            </w:pPr>
          </w:p>
        </w:tc>
      </w:tr>
      <w:tr w14:paraId="37C88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 w:hRule="atLeast"/>
          <w:jc w:val="center"/>
        </w:trPr>
        <w:tc>
          <w:tcPr>
            <w:tcW w:w="694" w:type="dxa"/>
            <w:gridSpan w:val="2"/>
            <w:vMerge w:val="continue"/>
            <w:noWrap w:val="0"/>
            <w:vAlign w:val="center"/>
          </w:tcPr>
          <w:p w14:paraId="05E686CB">
            <w:pPr>
              <w:jc w:val="left"/>
              <w:rPr>
                <w:rFonts w:hint="eastAsia" w:ascii="宋体" w:hAnsi="宋体" w:eastAsia="宋体" w:cs="宋体"/>
                <w:sz w:val="24"/>
                <w:szCs w:val="24"/>
                <w:lang w:val="en-US" w:eastAsia="zh-CN"/>
              </w:rPr>
            </w:pPr>
          </w:p>
        </w:tc>
        <w:tc>
          <w:tcPr>
            <w:tcW w:w="1070" w:type="dxa"/>
            <w:gridSpan w:val="2"/>
            <w:vMerge w:val="continue"/>
            <w:noWrap w:val="0"/>
            <w:vAlign w:val="center"/>
          </w:tcPr>
          <w:p w14:paraId="0700B397">
            <w:pPr>
              <w:jc w:val="left"/>
              <w:rPr>
                <w:rFonts w:hint="eastAsia" w:ascii="宋体" w:hAnsi="宋体" w:eastAsia="宋体" w:cs="宋体"/>
                <w:sz w:val="24"/>
                <w:szCs w:val="24"/>
                <w:lang w:val="en-US" w:eastAsia="zh-CN"/>
              </w:rPr>
            </w:pPr>
          </w:p>
        </w:tc>
        <w:tc>
          <w:tcPr>
            <w:tcW w:w="846" w:type="dxa"/>
            <w:vMerge w:val="continue"/>
            <w:tcBorders>
              <w:right w:val="single" w:color="auto" w:sz="4" w:space="0"/>
            </w:tcBorders>
            <w:noWrap w:val="0"/>
            <w:vAlign w:val="center"/>
          </w:tcPr>
          <w:p w14:paraId="4392A81D">
            <w:pPr>
              <w:jc w:val="left"/>
              <w:rPr>
                <w:rFonts w:hint="eastAsia"/>
                <w:lang w:val="en-US" w:eastAsia="zh-CN"/>
              </w:rPr>
            </w:pPr>
          </w:p>
        </w:tc>
        <w:tc>
          <w:tcPr>
            <w:tcW w:w="1333" w:type="dxa"/>
            <w:tcBorders>
              <w:top w:val="single" w:color="auto" w:sz="4" w:space="0"/>
              <w:left w:val="single" w:color="auto" w:sz="4" w:space="0"/>
              <w:bottom w:val="single" w:color="auto" w:sz="4" w:space="0"/>
              <w:right w:val="single" w:color="000000" w:sz="4" w:space="0"/>
            </w:tcBorders>
            <w:noWrap w:val="0"/>
            <w:vAlign w:val="center"/>
          </w:tcPr>
          <w:p w14:paraId="38E549DB">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2.5</w:t>
            </w:r>
          </w:p>
        </w:tc>
        <w:tc>
          <w:tcPr>
            <w:tcW w:w="3434" w:type="dxa"/>
            <w:vMerge w:val="continue"/>
            <w:tcBorders>
              <w:top w:val="single" w:color="000000" w:sz="4" w:space="0"/>
              <w:left w:val="single" w:color="000000" w:sz="4" w:space="0"/>
              <w:bottom w:val="single" w:color="000000" w:sz="4" w:space="0"/>
              <w:right w:val="single" w:color="auto" w:sz="4" w:space="0"/>
            </w:tcBorders>
            <w:noWrap w:val="0"/>
            <w:vAlign w:val="center"/>
          </w:tcPr>
          <w:p w14:paraId="1A4755B0">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410" w:type="dxa"/>
            <w:vMerge w:val="continue"/>
            <w:noWrap w:val="0"/>
            <w:vAlign w:val="center"/>
          </w:tcPr>
          <w:p w14:paraId="2C23F4D1">
            <w:pPr>
              <w:jc w:val="center"/>
              <w:rPr>
                <w:rFonts w:hint="eastAsia" w:ascii="宋体" w:hAnsi="宋体" w:eastAsia="宋体" w:cs="宋体"/>
                <w:sz w:val="24"/>
                <w:szCs w:val="24"/>
                <w:lang w:val="en-US" w:eastAsia="zh-CN"/>
              </w:rPr>
            </w:pPr>
          </w:p>
        </w:tc>
      </w:tr>
      <w:tr w14:paraId="68C63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 w:hRule="atLeast"/>
          <w:jc w:val="center"/>
        </w:trPr>
        <w:tc>
          <w:tcPr>
            <w:tcW w:w="694" w:type="dxa"/>
            <w:gridSpan w:val="2"/>
            <w:vMerge w:val="continue"/>
            <w:noWrap w:val="0"/>
            <w:vAlign w:val="center"/>
          </w:tcPr>
          <w:p w14:paraId="72BCD141">
            <w:pPr>
              <w:jc w:val="left"/>
              <w:rPr>
                <w:rFonts w:hint="eastAsia" w:ascii="宋体" w:hAnsi="宋体" w:eastAsia="宋体" w:cs="宋体"/>
                <w:sz w:val="24"/>
                <w:szCs w:val="24"/>
                <w:lang w:val="en-US" w:eastAsia="zh-CN"/>
              </w:rPr>
            </w:pPr>
          </w:p>
        </w:tc>
        <w:tc>
          <w:tcPr>
            <w:tcW w:w="1070" w:type="dxa"/>
            <w:gridSpan w:val="2"/>
            <w:vMerge w:val="continue"/>
            <w:noWrap w:val="0"/>
            <w:vAlign w:val="center"/>
          </w:tcPr>
          <w:p w14:paraId="5687807D">
            <w:pPr>
              <w:jc w:val="left"/>
              <w:rPr>
                <w:rFonts w:hint="eastAsia" w:ascii="宋体" w:hAnsi="宋体" w:eastAsia="宋体" w:cs="宋体"/>
                <w:sz w:val="24"/>
                <w:szCs w:val="24"/>
                <w:lang w:val="en-US" w:eastAsia="zh-CN"/>
              </w:rPr>
            </w:pPr>
          </w:p>
        </w:tc>
        <w:tc>
          <w:tcPr>
            <w:tcW w:w="846" w:type="dxa"/>
            <w:vMerge w:val="continue"/>
            <w:tcBorders>
              <w:right w:val="single" w:color="auto" w:sz="4" w:space="0"/>
            </w:tcBorders>
            <w:noWrap w:val="0"/>
            <w:vAlign w:val="center"/>
          </w:tcPr>
          <w:p w14:paraId="52C2C470">
            <w:pPr>
              <w:jc w:val="left"/>
              <w:rPr>
                <w:rFonts w:hint="eastAsia"/>
                <w:lang w:val="en-US" w:eastAsia="zh-CN"/>
              </w:rPr>
            </w:pPr>
          </w:p>
        </w:tc>
        <w:tc>
          <w:tcPr>
            <w:tcW w:w="1333" w:type="dxa"/>
            <w:tcBorders>
              <w:top w:val="single" w:color="auto" w:sz="4" w:space="0"/>
              <w:left w:val="single" w:color="auto" w:sz="4" w:space="0"/>
              <w:bottom w:val="single" w:color="auto" w:sz="4" w:space="0"/>
              <w:right w:val="single" w:color="000000" w:sz="4" w:space="0"/>
            </w:tcBorders>
            <w:noWrap w:val="0"/>
            <w:vAlign w:val="center"/>
          </w:tcPr>
          <w:p w14:paraId="61EFCEA9">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3.0~5.0</w:t>
            </w:r>
          </w:p>
        </w:tc>
        <w:tc>
          <w:tcPr>
            <w:tcW w:w="3434" w:type="dxa"/>
            <w:vMerge w:val="continue"/>
            <w:tcBorders>
              <w:top w:val="single" w:color="000000" w:sz="4" w:space="0"/>
              <w:left w:val="single" w:color="000000" w:sz="4" w:space="0"/>
              <w:bottom w:val="single" w:color="000000" w:sz="4" w:space="0"/>
              <w:right w:val="single" w:color="auto" w:sz="4" w:space="0"/>
            </w:tcBorders>
            <w:noWrap w:val="0"/>
            <w:vAlign w:val="center"/>
          </w:tcPr>
          <w:p w14:paraId="27DD872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410" w:type="dxa"/>
            <w:vMerge w:val="continue"/>
            <w:noWrap w:val="0"/>
            <w:vAlign w:val="center"/>
          </w:tcPr>
          <w:p w14:paraId="2827FE04">
            <w:pPr>
              <w:jc w:val="center"/>
              <w:rPr>
                <w:rFonts w:hint="eastAsia" w:ascii="宋体" w:hAnsi="宋体" w:eastAsia="宋体" w:cs="宋体"/>
                <w:sz w:val="24"/>
                <w:szCs w:val="24"/>
                <w:lang w:val="en-US" w:eastAsia="zh-CN"/>
              </w:rPr>
            </w:pPr>
          </w:p>
        </w:tc>
      </w:tr>
      <w:tr w14:paraId="78D47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 w:hRule="atLeast"/>
          <w:jc w:val="center"/>
        </w:trPr>
        <w:tc>
          <w:tcPr>
            <w:tcW w:w="694" w:type="dxa"/>
            <w:gridSpan w:val="2"/>
            <w:vMerge w:val="continue"/>
            <w:noWrap w:val="0"/>
            <w:vAlign w:val="center"/>
          </w:tcPr>
          <w:p w14:paraId="4944F894">
            <w:pPr>
              <w:jc w:val="left"/>
              <w:rPr>
                <w:rFonts w:hint="eastAsia" w:ascii="宋体" w:hAnsi="宋体" w:eastAsia="宋体" w:cs="宋体"/>
                <w:sz w:val="24"/>
                <w:szCs w:val="24"/>
                <w:lang w:val="en-US" w:eastAsia="zh-CN"/>
              </w:rPr>
            </w:pPr>
          </w:p>
        </w:tc>
        <w:tc>
          <w:tcPr>
            <w:tcW w:w="1070" w:type="dxa"/>
            <w:gridSpan w:val="2"/>
            <w:vMerge w:val="continue"/>
            <w:noWrap w:val="0"/>
            <w:vAlign w:val="center"/>
          </w:tcPr>
          <w:p w14:paraId="75906E5D">
            <w:pPr>
              <w:jc w:val="left"/>
              <w:rPr>
                <w:rFonts w:hint="eastAsia" w:ascii="宋体" w:hAnsi="宋体" w:eastAsia="宋体" w:cs="宋体"/>
                <w:sz w:val="24"/>
                <w:szCs w:val="24"/>
                <w:lang w:val="en-US" w:eastAsia="zh-CN"/>
              </w:rPr>
            </w:pPr>
          </w:p>
        </w:tc>
        <w:tc>
          <w:tcPr>
            <w:tcW w:w="846" w:type="dxa"/>
            <w:vMerge w:val="continue"/>
            <w:tcBorders>
              <w:right w:val="single" w:color="auto" w:sz="4" w:space="0"/>
            </w:tcBorders>
            <w:noWrap w:val="0"/>
            <w:vAlign w:val="center"/>
          </w:tcPr>
          <w:p w14:paraId="5B24AD7D">
            <w:pPr>
              <w:jc w:val="left"/>
              <w:rPr>
                <w:rFonts w:hint="eastAsia"/>
                <w:lang w:val="en-US" w:eastAsia="zh-CN"/>
              </w:rPr>
            </w:pPr>
          </w:p>
        </w:tc>
        <w:tc>
          <w:tcPr>
            <w:tcW w:w="1333" w:type="dxa"/>
            <w:tcBorders>
              <w:top w:val="single" w:color="auto" w:sz="4" w:space="0"/>
              <w:left w:val="single" w:color="auto" w:sz="4" w:space="0"/>
              <w:bottom w:val="single" w:color="auto" w:sz="4" w:space="0"/>
              <w:right w:val="single" w:color="000000" w:sz="4" w:space="0"/>
            </w:tcBorders>
            <w:noWrap w:val="0"/>
            <w:vAlign w:val="center"/>
          </w:tcPr>
          <w:p w14:paraId="59E02240">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5.0~8.0</w:t>
            </w:r>
          </w:p>
        </w:tc>
        <w:tc>
          <w:tcPr>
            <w:tcW w:w="3434" w:type="dxa"/>
            <w:vMerge w:val="continue"/>
            <w:tcBorders>
              <w:top w:val="single" w:color="000000" w:sz="4" w:space="0"/>
              <w:left w:val="single" w:color="000000" w:sz="4" w:space="0"/>
              <w:bottom w:val="single" w:color="000000" w:sz="4" w:space="0"/>
              <w:right w:val="single" w:color="auto" w:sz="4" w:space="0"/>
            </w:tcBorders>
            <w:noWrap w:val="0"/>
            <w:vAlign w:val="center"/>
          </w:tcPr>
          <w:p w14:paraId="64A09B0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410" w:type="dxa"/>
            <w:vMerge w:val="continue"/>
            <w:noWrap w:val="0"/>
            <w:vAlign w:val="center"/>
          </w:tcPr>
          <w:p w14:paraId="654AECF5">
            <w:pPr>
              <w:jc w:val="center"/>
              <w:rPr>
                <w:rFonts w:hint="eastAsia" w:ascii="宋体" w:hAnsi="宋体" w:eastAsia="宋体" w:cs="宋体"/>
                <w:sz w:val="24"/>
                <w:szCs w:val="24"/>
                <w:lang w:val="en-US" w:eastAsia="zh-CN"/>
              </w:rPr>
            </w:pPr>
          </w:p>
        </w:tc>
      </w:tr>
      <w:tr w14:paraId="2A9CA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 w:hRule="atLeast"/>
          <w:jc w:val="center"/>
        </w:trPr>
        <w:tc>
          <w:tcPr>
            <w:tcW w:w="694" w:type="dxa"/>
            <w:gridSpan w:val="2"/>
            <w:vMerge w:val="continue"/>
            <w:noWrap w:val="0"/>
            <w:vAlign w:val="center"/>
          </w:tcPr>
          <w:p w14:paraId="170771CD">
            <w:pPr>
              <w:jc w:val="left"/>
              <w:rPr>
                <w:rFonts w:hint="eastAsia" w:ascii="宋体" w:hAnsi="宋体" w:eastAsia="宋体" w:cs="宋体"/>
                <w:sz w:val="24"/>
                <w:szCs w:val="24"/>
                <w:lang w:val="en-US" w:eastAsia="zh-CN"/>
              </w:rPr>
            </w:pPr>
          </w:p>
        </w:tc>
        <w:tc>
          <w:tcPr>
            <w:tcW w:w="1070" w:type="dxa"/>
            <w:gridSpan w:val="2"/>
            <w:vMerge w:val="continue"/>
            <w:noWrap w:val="0"/>
            <w:vAlign w:val="center"/>
          </w:tcPr>
          <w:p w14:paraId="07C96A07">
            <w:pPr>
              <w:jc w:val="left"/>
              <w:rPr>
                <w:rFonts w:hint="eastAsia" w:ascii="宋体" w:hAnsi="宋体" w:eastAsia="宋体" w:cs="宋体"/>
                <w:sz w:val="24"/>
                <w:szCs w:val="24"/>
                <w:lang w:val="en-US" w:eastAsia="zh-CN"/>
              </w:rPr>
            </w:pPr>
          </w:p>
        </w:tc>
        <w:tc>
          <w:tcPr>
            <w:tcW w:w="846" w:type="dxa"/>
            <w:vMerge w:val="continue"/>
            <w:tcBorders>
              <w:right w:val="single" w:color="auto" w:sz="4" w:space="0"/>
            </w:tcBorders>
            <w:noWrap w:val="0"/>
            <w:vAlign w:val="center"/>
          </w:tcPr>
          <w:p w14:paraId="283971FC">
            <w:pPr>
              <w:jc w:val="left"/>
              <w:rPr>
                <w:rFonts w:hint="eastAsia"/>
                <w:lang w:val="en-US" w:eastAsia="zh-CN"/>
              </w:rPr>
            </w:pPr>
          </w:p>
        </w:tc>
        <w:tc>
          <w:tcPr>
            <w:tcW w:w="1333" w:type="dxa"/>
            <w:tcBorders>
              <w:top w:val="single" w:color="auto" w:sz="4" w:space="0"/>
              <w:left w:val="single" w:color="auto" w:sz="4" w:space="0"/>
              <w:bottom w:val="single" w:color="auto" w:sz="4" w:space="0"/>
              <w:right w:val="single" w:color="000000" w:sz="4" w:space="0"/>
            </w:tcBorders>
            <w:noWrap w:val="0"/>
            <w:vAlign w:val="center"/>
          </w:tcPr>
          <w:p w14:paraId="35DBE6C5">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8.0~15</w:t>
            </w:r>
          </w:p>
        </w:tc>
        <w:tc>
          <w:tcPr>
            <w:tcW w:w="3434" w:type="dxa"/>
            <w:vMerge w:val="continue"/>
            <w:tcBorders>
              <w:top w:val="single" w:color="000000" w:sz="4" w:space="0"/>
              <w:left w:val="single" w:color="000000" w:sz="4" w:space="0"/>
              <w:bottom w:val="single" w:color="000000" w:sz="4" w:space="0"/>
              <w:right w:val="single" w:color="auto" w:sz="4" w:space="0"/>
            </w:tcBorders>
            <w:noWrap w:val="0"/>
            <w:vAlign w:val="center"/>
          </w:tcPr>
          <w:p w14:paraId="44EE2B6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410" w:type="dxa"/>
            <w:vMerge w:val="continue"/>
            <w:noWrap w:val="0"/>
            <w:vAlign w:val="center"/>
          </w:tcPr>
          <w:p w14:paraId="226C5929">
            <w:pPr>
              <w:jc w:val="center"/>
              <w:rPr>
                <w:rFonts w:hint="eastAsia" w:ascii="宋体" w:hAnsi="宋体" w:eastAsia="宋体" w:cs="宋体"/>
                <w:sz w:val="24"/>
                <w:szCs w:val="24"/>
                <w:lang w:val="en-US" w:eastAsia="zh-CN"/>
              </w:rPr>
            </w:pPr>
          </w:p>
        </w:tc>
      </w:tr>
      <w:tr w14:paraId="3C24D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 w:hRule="atLeast"/>
          <w:jc w:val="center"/>
        </w:trPr>
        <w:tc>
          <w:tcPr>
            <w:tcW w:w="694" w:type="dxa"/>
            <w:gridSpan w:val="2"/>
            <w:vMerge w:val="continue"/>
            <w:noWrap w:val="0"/>
            <w:vAlign w:val="center"/>
          </w:tcPr>
          <w:p w14:paraId="2387185E">
            <w:pPr>
              <w:jc w:val="left"/>
              <w:rPr>
                <w:rFonts w:hint="eastAsia" w:ascii="宋体" w:hAnsi="宋体" w:eastAsia="宋体" w:cs="宋体"/>
                <w:sz w:val="24"/>
                <w:szCs w:val="24"/>
                <w:lang w:val="en-US" w:eastAsia="zh-CN"/>
              </w:rPr>
            </w:pPr>
          </w:p>
        </w:tc>
        <w:tc>
          <w:tcPr>
            <w:tcW w:w="1070" w:type="dxa"/>
            <w:gridSpan w:val="2"/>
            <w:vMerge w:val="continue"/>
            <w:noWrap w:val="0"/>
            <w:vAlign w:val="center"/>
          </w:tcPr>
          <w:p w14:paraId="245053A9">
            <w:pPr>
              <w:jc w:val="left"/>
              <w:rPr>
                <w:rFonts w:hint="eastAsia" w:ascii="宋体" w:hAnsi="宋体" w:eastAsia="宋体" w:cs="宋体"/>
                <w:sz w:val="24"/>
                <w:szCs w:val="24"/>
                <w:lang w:val="en-US" w:eastAsia="zh-CN"/>
              </w:rPr>
            </w:pPr>
          </w:p>
        </w:tc>
        <w:tc>
          <w:tcPr>
            <w:tcW w:w="846" w:type="dxa"/>
            <w:vMerge w:val="continue"/>
            <w:tcBorders>
              <w:right w:val="single" w:color="auto" w:sz="4" w:space="0"/>
            </w:tcBorders>
            <w:noWrap w:val="0"/>
            <w:vAlign w:val="center"/>
          </w:tcPr>
          <w:p w14:paraId="65E06A21">
            <w:pPr>
              <w:jc w:val="left"/>
              <w:rPr>
                <w:rFonts w:hint="eastAsia"/>
                <w:lang w:val="en-US" w:eastAsia="zh-CN"/>
              </w:rPr>
            </w:pPr>
          </w:p>
        </w:tc>
        <w:tc>
          <w:tcPr>
            <w:tcW w:w="1333" w:type="dxa"/>
            <w:tcBorders>
              <w:top w:val="single" w:color="auto" w:sz="4" w:space="0"/>
              <w:left w:val="single" w:color="auto" w:sz="4" w:space="0"/>
              <w:bottom w:val="single" w:color="auto" w:sz="4" w:space="0"/>
              <w:right w:val="single" w:color="000000" w:sz="4" w:space="0"/>
            </w:tcBorders>
            <w:noWrap w:val="0"/>
            <w:vAlign w:val="center"/>
          </w:tcPr>
          <w:p w14:paraId="4734BA57">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15~25</w:t>
            </w:r>
          </w:p>
        </w:tc>
        <w:tc>
          <w:tcPr>
            <w:tcW w:w="3434" w:type="dxa"/>
            <w:vMerge w:val="continue"/>
            <w:tcBorders>
              <w:top w:val="single" w:color="000000" w:sz="4" w:space="0"/>
              <w:left w:val="single" w:color="000000" w:sz="4" w:space="0"/>
              <w:bottom w:val="single" w:color="000000" w:sz="4" w:space="0"/>
              <w:right w:val="single" w:color="auto" w:sz="4" w:space="0"/>
            </w:tcBorders>
            <w:noWrap w:val="0"/>
            <w:vAlign w:val="center"/>
          </w:tcPr>
          <w:p w14:paraId="454E290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410" w:type="dxa"/>
            <w:vMerge w:val="continue"/>
            <w:noWrap w:val="0"/>
            <w:vAlign w:val="center"/>
          </w:tcPr>
          <w:p w14:paraId="7E38E497">
            <w:pPr>
              <w:jc w:val="center"/>
              <w:rPr>
                <w:rFonts w:hint="eastAsia" w:ascii="宋体" w:hAnsi="宋体" w:eastAsia="宋体" w:cs="宋体"/>
                <w:sz w:val="24"/>
                <w:szCs w:val="24"/>
                <w:lang w:val="en-US" w:eastAsia="zh-CN"/>
              </w:rPr>
            </w:pPr>
          </w:p>
        </w:tc>
      </w:tr>
      <w:tr w14:paraId="059BD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 w:hRule="atLeast"/>
          <w:jc w:val="center"/>
        </w:trPr>
        <w:tc>
          <w:tcPr>
            <w:tcW w:w="694" w:type="dxa"/>
            <w:gridSpan w:val="2"/>
            <w:vMerge w:val="continue"/>
            <w:noWrap w:val="0"/>
            <w:vAlign w:val="center"/>
          </w:tcPr>
          <w:p w14:paraId="4837D54C">
            <w:pPr>
              <w:jc w:val="left"/>
              <w:rPr>
                <w:rFonts w:hint="eastAsia" w:ascii="宋体" w:hAnsi="宋体" w:eastAsia="宋体" w:cs="宋体"/>
                <w:sz w:val="24"/>
                <w:szCs w:val="24"/>
                <w:lang w:val="en-US" w:eastAsia="zh-CN"/>
              </w:rPr>
            </w:pPr>
          </w:p>
        </w:tc>
        <w:tc>
          <w:tcPr>
            <w:tcW w:w="1070" w:type="dxa"/>
            <w:gridSpan w:val="2"/>
            <w:vMerge w:val="continue"/>
            <w:noWrap w:val="0"/>
            <w:vAlign w:val="center"/>
          </w:tcPr>
          <w:p w14:paraId="7693FF45">
            <w:pPr>
              <w:jc w:val="left"/>
              <w:rPr>
                <w:rFonts w:hint="eastAsia" w:ascii="宋体" w:hAnsi="宋体" w:eastAsia="宋体" w:cs="宋体"/>
                <w:sz w:val="24"/>
                <w:szCs w:val="24"/>
                <w:lang w:val="en-US" w:eastAsia="zh-CN"/>
              </w:rPr>
            </w:pPr>
          </w:p>
        </w:tc>
        <w:tc>
          <w:tcPr>
            <w:tcW w:w="846" w:type="dxa"/>
            <w:vMerge w:val="continue"/>
            <w:tcBorders>
              <w:right w:val="single" w:color="auto" w:sz="4" w:space="0"/>
            </w:tcBorders>
            <w:noWrap w:val="0"/>
            <w:vAlign w:val="center"/>
          </w:tcPr>
          <w:p w14:paraId="408E6A25">
            <w:pPr>
              <w:jc w:val="left"/>
              <w:rPr>
                <w:rFonts w:hint="eastAsia"/>
                <w:lang w:val="en-US" w:eastAsia="zh-CN"/>
              </w:rPr>
            </w:pPr>
          </w:p>
        </w:tc>
        <w:tc>
          <w:tcPr>
            <w:tcW w:w="1333" w:type="dxa"/>
            <w:tcBorders>
              <w:top w:val="single" w:color="auto" w:sz="4" w:space="0"/>
              <w:left w:val="single" w:color="auto" w:sz="4" w:space="0"/>
              <w:bottom w:val="single" w:color="auto" w:sz="4" w:space="0"/>
              <w:right w:val="single" w:color="000000" w:sz="4" w:space="0"/>
            </w:tcBorders>
            <w:noWrap w:val="0"/>
            <w:vAlign w:val="center"/>
          </w:tcPr>
          <w:p w14:paraId="37889EB4">
            <w:pPr>
              <w:keepNext w:val="0"/>
              <w:keepLines w:val="0"/>
              <w:widowControl/>
              <w:suppressLineNumbers w:val="0"/>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25~40</w:t>
            </w:r>
          </w:p>
        </w:tc>
        <w:tc>
          <w:tcPr>
            <w:tcW w:w="3434" w:type="dxa"/>
            <w:vMerge w:val="continue"/>
            <w:tcBorders>
              <w:top w:val="single" w:color="000000" w:sz="4" w:space="0"/>
              <w:left w:val="single" w:color="000000" w:sz="4" w:space="0"/>
              <w:bottom w:val="single" w:color="000000" w:sz="4" w:space="0"/>
              <w:right w:val="single" w:color="auto" w:sz="4" w:space="0"/>
            </w:tcBorders>
            <w:noWrap w:val="0"/>
            <w:vAlign w:val="center"/>
          </w:tcPr>
          <w:p w14:paraId="0BE49A86">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410" w:type="dxa"/>
            <w:vMerge w:val="continue"/>
            <w:tcBorders>
              <w:bottom w:val="single" w:color="auto" w:sz="4" w:space="0"/>
            </w:tcBorders>
            <w:noWrap w:val="0"/>
            <w:vAlign w:val="center"/>
          </w:tcPr>
          <w:p w14:paraId="66362618">
            <w:pPr>
              <w:jc w:val="center"/>
              <w:rPr>
                <w:rFonts w:hint="eastAsia" w:ascii="宋体" w:hAnsi="宋体" w:eastAsia="宋体" w:cs="宋体"/>
                <w:sz w:val="24"/>
                <w:szCs w:val="24"/>
                <w:lang w:val="en-US" w:eastAsia="zh-CN"/>
              </w:rPr>
            </w:pPr>
          </w:p>
        </w:tc>
      </w:tr>
      <w:tr w14:paraId="04E69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8787" w:type="dxa"/>
            <w:gridSpan w:val="8"/>
            <w:tcBorders>
              <w:right w:val="single" w:color="000000" w:sz="4" w:space="0"/>
            </w:tcBorders>
            <w:noWrap w:val="0"/>
            <w:vAlign w:val="center"/>
          </w:tcPr>
          <w:p w14:paraId="03826965">
            <w:pPr>
              <w:adjustRightInd w:val="0"/>
              <w:snapToGrid w:val="0"/>
              <w:jc w:val="center"/>
              <w:rPr>
                <w:rFonts w:hint="eastAsia" w:ascii="宋体" w:hAnsi="宋体" w:eastAsia="宋体" w:cs="宋体"/>
                <w:b/>
                <w:sz w:val="22"/>
                <w:szCs w:val="22"/>
              </w:rPr>
            </w:pPr>
            <w:r>
              <w:rPr>
                <w:rFonts w:hint="eastAsia" w:ascii="宋体" w:hAnsi="宋体" w:eastAsia="宋体" w:cs="宋体"/>
                <w:sz w:val="22"/>
                <w:szCs w:val="22"/>
              </w:rPr>
              <w:t>其他独特方案请自行罗列，行数不够可自行添加</w:t>
            </w:r>
          </w:p>
        </w:tc>
      </w:tr>
      <w:tr w14:paraId="57302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8787" w:type="dxa"/>
            <w:gridSpan w:val="8"/>
            <w:tcBorders>
              <w:right w:val="single" w:color="000000" w:sz="4" w:space="0"/>
            </w:tcBorders>
            <w:noWrap w:val="0"/>
            <w:vAlign w:val="center"/>
          </w:tcPr>
          <w:p w14:paraId="2B74AE50">
            <w:pPr>
              <w:adjustRightInd w:val="0"/>
              <w:snapToGrid w:val="0"/>
              <w:jc w:val="center"/>
              <w:rPr>
                <w:rFonts w:hint="eastAsia" w:ascii="宋体" w:hAnsi="宋体" w:eastAsia="宋体" w:cs="宋体"/>
                <w:b/>
                <w:sz w:val="22"/>
                <w:szCs w:val="22"/>
              </w:rPr>
            </w:pPr>
            <w:r>
              <w:rPr>
                <w:rFonts w:hint="eastAsia" w:ascii="宋体" w:hAnsi="宋体" w:eastAsia="宋体" w:cs="宋体"/>
                <w:b/>
                <w:sz w:val="22"/>
                <w:szCs w:val="22"/>
              </w:rPr>
              <w:t>以上所提供的参数必须真实，如实际运行过程中存在偏差，产生的费用将由投标方承担。</w:t>
            </w:r>
          </w:p>
        </w:tc>
      </w:tr>
    </w:tbl>
    <w:p w14:paraId="73DF5126">
      <w:pPr>
        <w:pStyle w:val="6"/>
        <w:numPr>
          <w:ilvl w:val="0"/>
          <w:numId w:val="0"/>
        </w:numPr>
        <w:kinsoku w:val="0"/>
        <w:autoSpaceDE w:val="0"/>
        <w:autoSpaceDN w:val="0"/>
        <w:adjustRightInd w:val="0"/>
        <w:snapToGrid w:val="0"/>
        <w:spacing w:line="360" w:lineRule="auto"/>
        <w:textAlignment w:val="baseline"/>
        <w:rPr>
          <w:rFonts w:hint="eastAsia" w:ascii="宋体" w:hAnsi="宋体" w:eastAsia="宋体" w:cs="宋体"/>
          <w:b/>
          <w:bCs/>
          <w:color w:val="auto"/>
          <w:lang w:val="en-US" w:eastAsia="zh-CN"/>
        </w:rPr>
      </w:pPr>
    </w:p>
    <w:p w14:paraId="00D82B61">
      <w:pPr>
        <w:pStyle w:val="6"/>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1C038623">
      <w:pPr>
        <w:pStyle w:val="6"/>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36C9EDB1">
      <w:pPr>
        <w:pStyle w:val="6"/>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3001C24E">
      <w:pPr>
        <w:pStyle w:val="6"/>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2FE43E24">
      <w:pPr>
        <w:pStyle w:val="6"/>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3749DA79">
      <w:pPr>
        <w:pStyle w:val="6"/>
        <w:spacing w:before="3" w:after="156" w:afterLines="50" w:line="360" w:lineRule="auto"/>
        <w:jc w:val="center"/>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Borders>
            <w:top w:val="none" w:sz="0" w:space="0"/>
            <w:left w:val="none" w:sz="0" w:space="0"/>
            <w:bottom w:val="none" w:sz="0" w:space="0"/>
            <w:right w:val="none" w:sz="0" w:space="0"/>
          </w:pgBorders>
          <w:pgNumType w:fmt="decimal"/>
          <w:cols w:space="0" w:num="1"/>
          <w:docGrid w:linePitch="312" w:charSpace="0"/>
        </w:sectPr>
      </w:pPr>
    </w:p>
    <w:p w14:paraId="0E03C4EA">
      <w:pPr>
        <w:spacing w:before="240" w:beforeLines="100" w:after="120" w:afterLines="50" w:line="360" w:lineRule="auto"/>
        <w:jc w:val="center"/>
        <w:outlineLvl w:val="0"/>
        <w:rPr>
          <w:rFonts w:ascii="仿宋" w:hAnsi="仿宋" w:eastAsia="仿宋" w:cs="仿宋"/>
          <w:b/>
          <w:bCs/>
          <w:sz w:val="40"/>
          <w:szCs w:val="40"/>
        </w:rPr>
      </w:pPr>
      <w:bookmarkStart w:id="98" w:name="_Toc30455"/>
      <w:bookmarkStart w:id="99" w:name="_Toc31981"/>
      <w:bookmarkStart w:id="100" w:name="_Toc1084"/>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8"/>
      <w:bookmarkEnd w:id="99"/>
      <w:bookmarkEnd w:id="100"/>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w:t>
      </w:r>
    </w:p>
    <w:p w14:paraId="793F2503">
      <w:pPr>
        <w:keepNext w:val="0"/>
        <w:keepLines w:val="0"/>
        <w:pageBreakBefore w:val="0"/>
        <w:widowControl w:val="0"/>
        <w:shd w:val="clear" w:color="auto" w:fill="FFFFFF"/>
        <w:kinsoku/>
        <w:wordWrap/>
        <w:overflowPunct/>
        <w:topLinePunct w:val="0"/>
        <w:autoSpaceDE w:val="0"/>
        <w:autoSpaceDN w:val="0"/>
        <w:bidi w:val="0"/>
        <w:adjustRightInd/>
        <w:snapToGrid/>
        <w:spacing w:line="240" w:lineRule="auto"/>
        <w:ind w:left="0" w:leftChars="0" w:right="0"/>
        <w:textAlignment w:val="auto"/>
        <w:rPr>
          <w:rFonts w:hint="eastAsia" w:ascii="仿宋" w:hAnsi="仿宋" w:eastAsia="仿宋" w:cs="仿宋"/>
          <w:b/>
          <w:bCs/>
          <w:sz w:val="24"/>
          <w:szCs w:val="24"/>
          <w:lang w:eastAsia="zh-CN"/>
        </w:rPr>
      </w:pPr>
      <w:r>
        <w:rPr>
          <w:rFonts w:hint="eastAsia" w:ascii="仿宋" w:hAnsi="仿宋" w:eastAsia="仿宋" w:cs="华文仿宋"/>
          <w:sz w:val="24"/>
        </w:rPr>
        <w:t xml:space="preserve">       </w:t>
      </w:r>
      <w:r>
        <w:rPr>
          <w:rFonts w:hint="eastAsia" w:ascii="仿宋" w:hAnsi="仿宋" w:eastAsia="仿宋" w:cs="华文仿宋"/>
          <w:b/>
          <w:bCs/>
          <w:sz w:val="24"/>
        </w:rPr>
        <w:t xml:space="preserve">                                       </w:t>
      </w:r>
      <w:r>
        <w:rPr>
          <w:rFonts w:hint="eastAsia" w:ascii="仿宋" w:hAnsi="仿宋" w:eastAsia="仿宋" w:cs="华文仿宋"/>
          <w:b/>
          <w:bCs/>
          <w:sz w:val="24"/>
          <w:szCs w:val="24"/>
        </w:rPr>
        <w:t xml:space="preserve"> </w:t>
      </w:r>
      <w:r>
        <w:rPr>
          <w:rFonts w:ascii="仿宋" w:hAnsi="仿宋" w:eastAsia="仿宋" w:cs="华文仿宋"/>
          <w:b/>
          <w:bCs/>
          <w:sz w:val="24"/>
          <w:szCs w:val="24"/>
        </w:rPr>
        <w:t xml:space="preserve"> </w:t>
      </w:r>
      <w:r>
        <w:rPr>
          <w:rFonts w:hint="eastAsia" w:ascii="仿宋" w:hAnsi="仿宋" w:eastAsia="仿宋" w:cs="仿宋"/>
          <w:sz w:val="24"/>
          <w:szCs w:val="24"/>
        </w:rPr>
        <w:t>合同编号：</w:t>
      </w:r>
      <w:r>
        <w:rPr>
          <w:rFonts w:hint="eastAsia" w:ascii="仿宋" w:hAnsi="仿宋" w:eastAsia="仿宋" w:cs="仿宋"/>
          <w:sz w:val="24"/>
          <w:szCs w:val="24"/>
          <w:highlight w:val="none"/>
        </w:rPr>
        <w:t xml:space="preserve">  </w:t>
      </w:r>
      <w:r>
        <w:rPr>
          <w:rFonts w:hint="eastAsia" w:ascii="仿宋" w:hAnsi="仿宋" w:eastAsia="仿宋" w:cs="仿宋"/>
          <w:sz w:val="24"/>
          <w:szCs w:val="24"/>
        </w:rPr>
        <w:t xml:space="preserve">         </w:t>
      </w:r>
    </w:p>
    <w:p w14:paraId="5E428CE2">
      <w:pPr>
        <w:keepNext w:val="0"/>
        <w:keepLines w:val="0"/>
        <w:pageBreakBefore w:val="0"/>
        <w:widowControl w:val="0"/>
        <w:kinsoku/>
        <w:wordWrap/>
        <w:overflowPunct/>
        <w:topLinePunct w:val="0"/>
        <w:autoSpaceDE w:val="0"/>
        <w:autoSpaceDN w:val="0"/>
        <w:bidi w:val="0"/>
        <w:adjustRightInd/>
        <w:snapToGrid/>
        <w:spacing w:line="240" w:lineRule="auto"/>
        <w:ind w:left="0" w:leftChars="0" w:right="0"/>
        <w:textAlignment w:val="auto"/>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eastAsia="zh-CN"/>
        </w:rPr>
        <w:t>甲方</w:t>
      </w:r>
      <w:r>
        <w:rPr>
          <w:rFonts w:hint="eastAsia" w:ascii="仿宋" w:hAnsi="仿宋" w:eastAsia="仿宋" w:cs="仿宋"/>
          <w:sz w:val="24"/>
          <w:szCs w:val="24"/>
        </w:rPr>
        <w:t xml:space="preserve">）：中国机械总院集团海西（福建）分院有限公司 </w:t>
      </w:r>
    </w:p>
    <w:p w14:paraId="6E95E20D">
      <w:pPr>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5760" w:firstLineChars="2400"/>
        <w:textAlignment w:val="auto"/>
        <w:rPr>
          <w:rFonts w:hint="eastAsia" w:ascii="仿宋" w:hAnsi="仿宋" w:eastAsia="仿宋" w:cs="仿宋"/>
          <w:color w:val="0000FF"/>
          <w:sz w:val="24"/>
          <w:szCs w:val="24"/>
        </w:rPr>
      </w:pPr>
      <w:r>
        <w:rPr>
          <w:rFonts w:hint="eastAsia" w:ascii="仿宋" w:hAnsi="仿宋" w:eastAsia="仿宋" w:cs="仿宋"/>
          <w:sz w:val="24"/>
          <w:szCs w:val="24"/>
        </w:rPr>
        <w:t>签订地点：</w:t>
      </w:r>
      <w:r>
        <w:rPr>
          <w:rFonts w:hint="eastAsia" w:ascii="仿宋" w:hAnsi="仿宋" w:eastAsia="仿宋" w:cs="仿宋"/>
          <w:sz w:val="24"/>
          <w:szCs w:val="24"/>
          <w:lang w:val="en-US" w:eastAsia="zh-CN"/>
        </w:rPr>
        <w:t>福建省三明市沙县区</w:t>
      </w:r>
      <w:r>
        <w:rPr>
          <w:rFonts w:hint="eastAsia" w:ascii="仿宋" w:hAnsi="仿宋" w:eastAsia="仿宋" w:cs="仿宋"/>
          <w:sz w:val="24"/>
          <w:szCs w:val="24"/>
          <w:shd w:val="clear" w:color="auto" w:fill="FFFFFF"/>
        </w:rPr>
        <w:t xml:space="preserve"> </w:t>
      </w:r>
    </w:p>
    <w:p w14:paraId="2FCF2036">
      <w:pPr>
        <w:keepNext w:val="0"/>
        <w:keepLines w:val="0"/>
        <w:pageBreakBefore w:val="0"/>
        <w:widowControl w:val="0"/>
        <w:kinsoku/>
        <w:wordWrap/>
        <w:overflowPunct/>
        <w:topLinePunct w:val="0"/>
        <w:autoSpaceDE w:val="0"/>
        <w:autoSpaceDN w:val="0"/>
        <w:bidi w:val="0"/>
        <w:adjustRightInd/>
        <w:snapToGrid/>
        <w:spacing w:line="240" w:lineRule="auto"/>
        <w:ind w:left="0" w:leftChars="0" w:right="0"/>
        <w:textAlignment w:val="auto"/>
        <w:rPr>
          <w:rFonts w:hint="eastAsia"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lang w:eastAsia="zh-CN"/>
        </w:rPr>
        <w:t>乙方</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签订日期：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    </w:t>
      </w:r>
    </w:p>
    <w:p w14:paraId="59C69155">
      <w:pPr>
        <w:pStyle w:val="32"/>
        <w:keepNext w:val="0"/>
        <w:keepLines w:val="0"/>
        <w:pageBreakBefore w:val="0"/>
        <w:widowControl w:val="0"/>
        <w:kinsoku/>
        <w:wordWrap/>
        <w:overflowPunct/>
        <w:topLinePunct w:val="0"/>
        <w:autoSpaceDE w:val="0"/>
        <w:autoSpaceDN w:val="0"/>
        <w:bidi w:val="0"/>
        <w:adjustRightInd/>
        <w:snapToGrid/>
        <w:spacing w:line="240" w:lineRule="auto"/>
        <w:ind w:left="0" w:leftChars="0" w:right="0"/>
        <w:textAlignment w:val="auto"/>
        <w:outlineLvl w:val="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根据</w:t>
      </w:r>
      <w:r>
        <w:rPr>
          <w:rFonts w:hint="eastAsia" w:ascii="仿宋" w:hAnsi="仿宋" w:eastAsia="仿宋" w:cs="仿宋"/>
          <w:sz w:val="24"/>
          <w:szCs w:val="24"/>
        </w:rPr>
        <w:t>《中华人民共和国民法典》，并经甲乙双方友好协商，就以下事项达成一致并签订本合同：</w:t>
      </w:r>
    </w:p>
    <w:p w14:paraId="51B5480E">
      <w:pPr>
        <w:keepNext w:val="0"/>
        <w:keepLines w:val="0"/>
        <w:pageBreakBefore w:val="0"/>
        <w:widowControl w:val="0"/>
        <w:shd w:val="clear" w:color="auto" w:fill="FFFFFF"/>
        <w:kinsoku/>
        <w:wordWrap/>
        <w:overflowPunct/>
        <w:topLinePunct w:val="0"/>
        <w:autoSpaceDE w:val="0"/>
        <w:autoSpaceDN w:val="0"/>
        <w:bidi w:val="0"/>
        <w:adjustRightInd/>
        <w:snapToGrid/>
        <w:spacing w:line="240" w:lineRule="auto"/>
        <w:ind w:left="0" w:leftChars="0" w:right="0"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一、品种、型号、数量</w:t>
      </w:r>
    </w:p>
    <w:p w14:paraId="33CD7596">
      <w:pPr>
        <w:keepNext w:val="0"/>
        <w:keepLines w:val="0"/>
        <w:pageBreakBefore w:val="0"/>
        <w:widowControl w:val="0"/>
        <w:shd w:val="clear" w:color="auto" w:fill="FFFFFF"/>
        <w:kinsoku/>
        <w:wordWrap/>
        <w:overflowPunct/>
        <w:topLinePunct w:val="0"/>
        <w:autoSpaceDE w:val="0"/>
        <w:autoSpaceDN w:val="0"/>
        <w:bidi w:val="0"/>
        <w:adjustRightInd/>
        <w:snapToGrid/>
        <w:spacing w:line="240" w:lineRule="auto"/>
        <w:ind w:left="0" w:leftChars="0" w:right="0"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 xml:space="preserve">1、该项目供应的材料按照设计预算规格、数量具体如下： </w:t>
      </w:r>
    </w:p>
    <w:tbl>
      <w:tblPr>
        <w:tblStyle w:val="16"/>
        <w:tblpPr w:leftFromText="180" w:rightFromText="180" w:vertAnchor="text" w:horzAnchor="page" w:tblpX="1480" w:tblpY="107"/>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2313"/>
        <w:gridCol w:w="742"/>
        <w:gridCol w:w="930"/>
        <w:gridCol w:w="1456"/>
        <w:gridCol w:w="1768"/>
      </w:tblGrid>
      <w:tr w14:paraId="6358B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19" w:type="dxa"/>
            <w:tcBorders>
              <w:top w:val="single" w:color="000000" w:sz="4" w:space="0"/>
              <w:left w:val="single" w:color="000000" w:sz="4" w:space="0"/>
              <w:bottom w:val="single" w:color="000000" w:sz="4" w:space="0"/>
              <w:right w:val="single" w:color="000000" w:sz="4" w:space="0"/>
            </w:tcBorders>
            <w:noWrap/>
            <w:vAlign w:val="center"/>
          </w:tcPr>
          <w:p w14:paraId="554FCADE">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313" w:type="dxa"/>
            <w:tcBorders>
              <w:top w:val="single" w:color="000000" w:sz="4" w:space="0"/>
              <w:left w:val="single" w:color="000000" w:sz="4" w:space="0"/>
              <w:bottom w:val="single" w:color="000000" w:sz="4" w:space="0"/>
              <w:right w:val="single" w:color="000000" w:sz="4" w:space="0"/>
            </w:tcBorders>
            <w:noWrap/>
            <w:vAlign w:val="center"/>
          </w:tcPr>
          <w:p w14:paraId="112F41AB">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5D01559">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D8A0EB3">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0A255C34">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41F7806F">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总价（元）</w:t>
            </w:r>
          </w:p>
        </w:tc>
      </w:tr>
      <w:tr w14:paraId="121F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14:paraId="5BE9B41D">
            <w:pPr>
              <w:jc w:val="center"/>
              <w:rPr>
                <w:rFonts w:hint="eastAsia" w:ascii="仿宋" w:hAnsi="仿宋" w:eastAsia="仿宋" w:cs="仿宋"/>
                <w:i w:val="0"/>
                <w:iCs w:val="0"/>
                <w:color w:val="000000"/>
                <w:sz w:val="24"/>
                <w:szCs w:val="24"/>
                <w:u w:val="none"/>
                <w:lang w:val="en-US"/>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1ACC335A">
            <w:pPr>
              <w:pStyle w:val="15"/>
              <w:ind w:left="0" w:leftChars="0" w:firstLine="0" w:firstLineChars="0"/>
              <w:jc w:val="center"/>
              <w:rPr>
                <w:rFonts w:hint="eastAsia" w:ascii="仿宋" w:hAnsi="仿宋" w:eastAsia="仿宋" w:cs="仿宋"/>
                <w:i w:val="0"/>
                <w:iCs w:val="0"/>
                <w:color w:val="000000"/>
                <w:sz w:val="24"/>
                <w:szCs w:val="24"/>
                <w:u w:val="none"/>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55C91AFB">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Kg</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74D15AA">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0A5D2D05">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6EBD5C19">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rPr>
            </w:pPr>
          </w:p>
        </w:tc>
      </w:tr>
      <w:tr w14:paraId="70A45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14:paraId="7A1F7773">
            <w:pPr>
              <w:jc w:val="center"/>
              <w:rPr>
                <w:rFonts w:hint="eastAsia" w:ascii="仿宋" w:hAnsi="仿宋" w:eastAsia="仿宋" w:cs="仿宋"/>
                <w:i w:val="0"/>
                <w:iCs w:val="0"/>
                <w:color w:val="000000"/>
                <w:kern w:val="0"/>
                <w:sz w:val="24"/>
                <w:szCs w:val="24"/>
                <w:u w:val="none"/>
                <w:lang w:val="en-US" w:eastAsia="zh-CN" w:bidi="ar"/>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46FEC224">
            <w:pPr>
              <w:pStyle w:val="15"/>
              <w:ind w:left="0" w:leftChars="0" w:firstLine="0" w:firstLineChars="0"/>
              <w:jc w:val="center"/>
              <w:rPr>
                <w:rFonts w:hint="eastAsia" w:ascii="仿宋" w:hAnsi="仿宋" w:eastAsia="仿宋" w:cs="仿宋"/>
                <w:i w:val="0"/>
                <w:iCs w:val="0"/>
                <w:color w:val="000000"/>
                <w:kern w:val="0"/>
                <w:sz w:val="24"/>
                <w:szCs w:val="24"/>
                <w:u w:val="none"/>
                <w:lang w:val="en-US" w:eastAsia="zh-CN" w:bidi="ar"/>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5B8665D2">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Kg</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1A7E485">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65A1A282">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36813B9B">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rPr>
            </w:pPr>
          </w:p>
        </w:tc>
      </w:tr>
      <w:tr w14:paraId="249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55C1C2C3">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小写金额：￥         .00</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3E42987D">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不含税金额：</w:t>
            </w:r>
            <w:r>
              <w:rPr>
                <w:rFonts w:hint="eastAsia" w:ascii="仿宋" w:hAnsi="仿宋" w:eastAsia="仿宋" w:cs="仿宋"/>
                <w:i w:val="0"/>
                <w:iCs w:val="0"/>
                <w:color w:val="000000"/>
                <w:kern w:val="0"/>
                <w:sz w:val="24"/>
                <w:szCs w:val="24"/>
                <w:u w:val="none"/>
                <w:lang w:val="en-US" w:eastAsia="zh-CN" w:bidi="ar"/>
              </w:rPr>
              <w:t>￥         .00</w:t>
            </w:r>
          </w:p>
        </w:tc>
      </w:tr>
      <w:tr w14:paraId="121C2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58540B31">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人民币大写：                元整</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0B2820AB">
            <w:pPr>
              <w:keepNext w:val="0"/>
              <w:keepLines w:val="0"/>
              <w:pageBreakBefore w:val="0"/>
              <w:widowControl/>
              <w:suppressLineNumbers w:val="0"/>
              <w:wordWrap/>
              <w:overflowPunct/>
              <w:topLinePunct w:val="0"/>
              <w:autoSpaceDE w:val="0"/>
              <w:autoSpaceDN w:val="0"/>
              <w:bidi w:val="0"/>
              <w:adjustRightInd/>
              <w:snapToGrid/>
              <w:spacing w:line="24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含13%增值税票</w:t>
            </w:r>
          </w:p>
        </w:tc>
      </w:tr>
    </w:tbl>
    <w:p w14:paraId="5F6B6E2E">
      <w:pPr>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以上货物价格为固定单价，采购货物的实际数量以</w:t>
      </w:r>
      <w:r>
        <w:rPr>
          <w:rFonts w:hint="eastAsia" w:ascii="仿宋" w:hAnsi="仿宋" w:eastAsia="仿宋" w:cs="华文仿宋"/>
          <w:color w:val="000000"/>
          <w:sz w:val="24"/>
          <w:lang w:val="en-US" w:eastAsia="zh-CN"/>
        </w:rPr>
        <w:t>最终以实际过磅重量结算。</w:t>
      </w:r>
      <w:r>
        <w:rPr>
          <w:rFonts w:hint="eastAsia" w:ascii="仿宋" w:hAnsi="仿宋" w:eastAsia="仿宋" w:cs="华文仿宋"/>
          <w:color w:val="000000"/>
          <w:sz w:val="24"/>
          <w:lang w:val="zh-CN"/>
        </w:rPr>
        <w:t>（</w:t>
      </w:r>
      <w:r>
        <w:rPr>
          <w:rFonts w:hint="eastAsia" w:ascii="仿宋" w:hAnsi="仿宋" w:eastAsia="仿宋" w:cs="华文仿宋"/>
          <w:color w:val="000000"/>
          <w:sz w:val="24"/>
        </w:rPr>
        <w:t>如采购总金额有超过5%-10％范围内需签订补充协议</w:t>
      </w:r>
      <w:r>
        <w:rPr>
          <w:rFonts w:hint="eastAsia" w:ascii="仿宋" w:hAnsi="仿宋" w:eastAsia="仿宋" w:cs="仿宋"/>
          <w:color w:val="000000"/>
          <w:kern w:val="0"/>
          <w:sz w:val="24"/>
        </w:rPr>
        <w:t>）</w:t>
      </w:r>
      <w:r>
        <w:rPr>
          <w:rFonts w:hint="eastAsia" w:ascii="仿宋" w:hAnsi="仿宋" w:eastAsia="仿宋" w:cs="仿宋"/>
          <w:color w:val="000000"/>
          <w:kern w:val="0"/>
          <w:sz w:val="24"/>
          <w:lang w:val="zh-CN"/>
        </w:rPr>
        <w:t>，货物价格包括产品制造、损耗、售后服务、税收｛</w:t>
      </w:r>
      <w:r>
        <w:rPr>
          <w:rFonts w:hint="eastAsia" w:ascii="仿宋" w:hAnsi="仿宋" w:eastAsia="仿宋" w:cs="仿宋"/>
          <w:color w:val="000000"/>
          <w:kern w:val="0"/>
          <w:sz w:val="24"/>
        </w:rPr>
        <w:t>乙方</w:t>
      </w:r>
      <w:r>
        <w:rPr>
          <w:rFonts w:hint="eastAsia" w:ascii="仿宋" w:hAnsi="仿宋" w:eastAsia="仿宋" w:cs="仿宋"/>
          <w:color w:val="000000"/>
          <w:kern w:val="0"/>
          <w:sz w:val="24"/>
          <w:lang w:val="zh-CN"/>
        </w:rPr>
        <w:t xml:space="preserve">提供13%的增值税专用发票（若国家政策法规另有规定的，按新规定执行, 价格调整以不含税价为基准）以及相关规定须交纳的其它费用等。 </w:t>
      </w:r>
      <w:r>
        <w:rPr>
          <w:rFonts w:ascii="仿宋" w:hAnsi="仿宋" w:eastAsia="仿宋" w:cs="仿宋"/>
          <w:color w:val="000000"/>
          <w:kern w:val="0"/>
          <w:sz w:val="24"/>
          <w:lang w:val="zh-CN"/>
        </w:rPr>
        <w:t xml:space="preserve"> </w:t>
      </w:r>
    </w:p>
    <w:p w14:paraId="3D0118D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二</w:t>
      </w:r>
      <w:r>
        <w:rPr>
          <w:rFonts w:hint="eastAsia" w:ascii="仿宋" w:hAnsi="仿宋" w:eastAsia="仿宋" w:cs="仿宋"/>
          <w:b w:val="0"/>
          <w:bCs w:val="0"/>
          <w:color w:val="000000"/>
          <w:sz w:val="24"/>
          <w:szCs w:val="24"/>
        </w:rPr>
        <w:t>、质量要求技术标准、供方对质量的条件和期限：</w:t>
      </w:r>
    </w:p>
    <w:p w14:paraId="3A2FCAE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1、按国家标准验收。</w:t>
      </w:r>
    </w:p>
    <w:p w14:paraId="087A4C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需方收货注意事项：（1）需方有化验设备的，请务必化验合格后才卸货。（2）需方若无化验设备的，请仓管和供方司机一起取样两包并双方签名封存，并在送货单上注明样板包编号并签名确认，各留一包作为产品检测的依据。若需方对产品质量有异议，应自留存样板之日起7天内向供方书面提出：否则，视为需方默认产品质量符合约定。若检测出质量问题，供方只负责按所销售产品的价值赔付，其余责任概不负责。（3）若需方既无化验又不留样，卸货后出现质量问题的，均由需方负责。</w:t>
      </w:r>
    </w:p>
    <w:p w14:paraId="28A009D3">
      <w:pPr>
        <w:keepNext w:val="0"/>
        <w:keepLines w:val="0"/>
        <w:pageBreakBefore w:val="0"/>
        <w:kinsoku/>
        <w:wordWrap/>
        <w:overflowPunct/>
        <w:topLinePunct w:val="0"/>
        <w:autoSpaceDE w:val="0"/>
        <w:autoSpaceDN w:val="0"/>
        <w:bidi w:val="0"/>
        <w:adjustRightInd w:val="0"/>
        <w:spacing w:line="420" w:lineRule="exact"/>
        <w:ind w:firstLine="480" w:firstLineChars="20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2、若产品</w:t>
      </w:r>
      <w:r>
        <w:rPr>
          <w:rFonts w:hint="eastAsia" w:ascii="仿宋" w:hAnsi="仿宋" w:eastAsia="仿宋" w:cs="仿宋"/>
          <w:color w:val="000000"/>
          <w:kern w:val="0"/>
          <w:sz w:val="24"/>
          <w:lang w:val="en-US" w:eastAsia="zh-CN"/>
        </w:rPr>
        <w:t>经检测未达到国家标准的优等品等</w:t>
      </w:r>
      <w:r>
        <w:rPr>
          <w:rFonts w:hint="eastAsia" w:ascii="仿宋" w:hAnsi="仿宋" w:eastAsia="仿宋" w:cs="仿宋"/>
          <w:color w:val="000000"/>
          <w:kern w:val="0"/>
          <w:sz w:val="24"/>
          <w:lang w:val="zh-CN"/>
        </w:rPr>
        <w:t>质量问题，</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方无条件退货，退货的往返运费、延误工期等损失均由</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方承担。</w:t>
      </w:r>
    </w:p>
    <w:p w14:paraId="663B719F">
      <w:pPr>
        <w:keepNext w:val="0"/>
        <w:keepLines w:val="0"/>
        <w:pageBreakBefore w:val="0"/>
        <w:kinsoku/>
        <w:wordWrap/>
        <w:overflowPunct/>
        <w:topLinePunct w:val="0"/>
        <w:autoSpaceDE w:val="0"/>
        <w:autoSpaceDN w:val="0"/>
        <w:bidi w:val="0"/>
        <w:adjustRightInd w:val="0"/>
        <w:spacing w:line="420" w:lineRule="exact"/>
        <w:ind w:left="479"/>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三、交货方式、交货地点、履行地点、接收单位：</w:t>
      </w:r>
    </w:p>
    <w:p w14:paraId="59160C60">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1、交货方式：由</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方代办托运至指定地点，运费、</w:t>
      </w:r>
      <w:r>
        <w:rPr>
          <w:rFonts w:hint="eastAsia" w:ascii="仿宋" w:hAnsi="仿宋" w:eastAsia="仿宋" w:cs="仿宋"/>
          <w:color w:val="000000"/>
          <w:kern w:val="0"/>
          <w:sz w:val="24"/>
          <w:lang w:val="en-US" w:eastAsia="zh-CN"/>
        </w:rPr>
        <w:t>过磅</w:t>
      </w:r>
      <w:r>
        <w:rPr>
          <w:rFonts w:hint="eastAsia" w:ascii="仿宋" w:hAnsi="仿宋" w:eastAsia="仿宋" w:cs="仿宋"/>
          <w:color w:val="000000"/>
          <w:kern w:val="0"/>
          <w:sz w:val="24"/>
          <w:lang w:val="zh-CN"/>
        </w:rPr>
        <w:t>费、和运输保险等费用由</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方承担。</w:t>
      </w:r>
    </w:p>
    <w:p w14:paraId="61397C19">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zh-CN"/>
        </w:rPr>
        <w:t>2、交货地点：福建省三明市沙县区金沙园</w:t>
      </w:r>
      <w:r>
        <w:rPr>
          <w:rFonts w:hint="eastAsia" w:ascii="仿宋" w:hAnsi="仿宋" w:eastAsia="仿宋" w:cs="仿宋"/>
          <w:color w:val="000000"/>
          <w:kern w:val="0"/>
          <w:sz w:val="24"/>
          <w:lang w:val="en-US" w:eastAsia="zh-CN"/>
        </w:rPr>
        <w:t>金富路189</w:t>
      </w:r>
      <w:r>
        <w:rPr>
          <w:rFonts w:hint="eastAsia" w:ascii="仿宋" w:hAnsi="仿宋" w:eastAsia="仿宋" w:cs="仿宋"/>
          <w:color w:val="000000"/>
          <w:kern w:val="0"/>
          <w:sz w:val="24"/>
          <w:lang w:val="zh-CN"/>
        </w:rPr>
        <w:t>号</w:t>
      </w:r>
      <w:r>
        <w:rPr>
          <w:rFonts w:hint="eastAsia" w:ascii="仿宋" w:hAnsi="仿宋" w:eastAsia="仿宋" w:cs="仿宋"/>
          <w:color w:val="000000"/>
          <w:kern w:val="0"/>
          <w:sz w:val="24"/>
          <w:lang w:val="en-US" w:eastAsia="zh-CN"/>
        </w:rPr>
        <w:t xml:space="preserve"> 。</w:t>
      </w:r>
    </w:p>
    <w:p w14:paraId="60508C62">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3、履行地点：</w:t>
      </w:r>
      <w:r>
        <w:rPr>
          <w:rFonts w:hint="eastAsia" w:ascii="仿宋" w:hAnsi="仿宋" w:eastAsia="仿宋" w:cs="仿宋"/>
          <w:color w:val="000000"/>
          <w:kern w:val="0"/>
          <w:sz w:val="24"/>
          <w:lang w:val="en-US" w:eastAsia="zh-CN"/>
        </w:rPr>
        <w:t xml:space="preserve">福建省三明市沙县区 </w:t>
      </w:r>
      <w:r>
        <w:rPr>
          <w:rFonts w:hint="eastAsia" w:ascii="仿宋" w:hAnsi="仿宋" w:eastAsia="仿宋" w:cs="仿宋"/>
          <w:color w:val="000000"/>
          <w:kern w:val="0"/>
          <w:sz w:val="24"/>
          <w:lang w:val="zh-CN"/>
        </w:rPr>
        <w:t xml:space="preserve"> </w:t>
      </w:r>
    </w:p>
    <w:p w14:paraId="5EAF2219">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000000"/>
          <w:kern w:val="0"/>
          <w:sz w:val="24"/>
          <w:lang w:val="zh-CN"/>
        </w:rPr>
      </w:pPr>
      <w:r>
        <w:rPr>
          <w:rFonts w:hint="eastAsia" w:ascii="仿宋" w:hAnsi="仿宋" w:eastAsia="仿宋" w:cs="仿宋"/>
          <w:color w:val="000000"/>
          <w:kern w:val="0"/>
          <w:sz w:val="24"/>
          <w:highlight w:val="none"/>
          <w:lang w:val="zh-CN"/>
        </w:rPr>
        <w:t>4.供货清单：</w:t>
      </w:r>
      <w:r>
        <w:rPr>
          <w:rFonts w:hint="eastAsia" w:ascii="仿宋" w:hAnsi="仿宋" w:eastAsia="仿宋" w:cs="仿宋"/>
          <w:color w:val="000000"/>
          <w:kern w:val="0"/>
          <w:sz w:val="24"/>
          <w:highlight w:val="none"/>
          <w:lang w:val="en-US" w:eastAsia="zh-CN"/>
        </w:rPr>
        <w:t>送货单、过磅单</w:t>
      </w:r>
      <w:r>
        <w:rPr>
          <w:rFonts w:hint="eastAsia" w:ascii="仿宋" w:hAnsi="仿宋" w:eastAsia="仿宋" w:cs="仿宋"/>
          <w:color w:val="000000"/>
          <w:kern w:val="0"/>
          <w:sz w:val="24"/>
          <w:lang w:val="zh-CN"/>
        </w:rPr>
        <w:t>。</w:t>
      </w:r>
    </w:p>
    <w:p w14:paraId="07D7280E">
      <w:pPr>
        <w:keepNext w:val="0"/>
        <w:keepLines w:val="0"/>
        <w:pageBreakBefore w:val="0"/>
        <w:kinsoku/>
        <w:wordWrap/>
        <w:overflowPunct/>
        <w:topLinePunct w:val="0"/>
        <w:autoSpaceDE w:val="0"/>
        <w:autoSpaceDN w:val="0"/>
        <w:bidi w:val="0"/>
        <w:adjustRightInd w:val="0"/>
        <w:spacing w:line="420" w:lineRule="exact"/>
        <w:ind w:firstLine="480"/>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zh-CN"/>
        </w:rPr>
        <w:t>四、交货日期：</w:t>
      </w:r>
      <w:r>
        <w:rPr>
          <w:rFonts w:hint="eastAsia" w:ascii="仿宋" w:hAnsi="仿宋" w:eastAsia="仿宋" w:cs="仿宋"/>
          <w:color w:val="000000"/>
          <w:kern w:val="0"/>
          <w:sz w:val="24"/>
          <w:lang w:val="en-US" w:eastAsia="zh-CN"/>
        </w:rPr>
        <w:t>合同签订后按甲方通知发货数量,2天内发出。</w:t>
      </w:r>
    </w:p>
    <w:p w14:paraId="2ED280D8">
      <w:pPr>
        <w:keepNext w:val="0"/>
        <w:keepLines w:val="0"/>
        <w:pageBreakBefore w:val="0"/>
        <w:kinsoku/>
        <w:wordWrap/>
        <w:overflowPunct/>
        <w:topLinePunct w:val="0"/>
        <w:autoSpaceDE w:val="0"/>
        <w:autoSpaceDN w:val="0"/>
        <w:bidi w:val="0"/>
        <w:adjustRightInd w:val="0"/>
        <w:spacing w:line="420" w:lineRule="exact"/>
        <w:ind w:left="479"/>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五、包装标准与回收方法：满足运输及甲方要求的包装方式，乙方负责包装并承担包装费用。</w:t>
      </w:r>
    </w:p>
    <w:p w14:paraId="3BA0F9E0">
      <w:pPr>
        <w:keepNext w:val="0"/>
        <w:keepLines w:val="0"/>
        <w:pageBreakBefore w:val="0"/>
        <w:tabs>
          <w:tab w:val="left" w:pos="120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六、验收标准及方法：产品按本合同第二条约定的质量标准进行验收，由甲方和乙方共同完成。乙方在验收前必须向甲方提供产品</w:t>
      </w:r>
      <w:r>
        <w:rPr>
          <w:rFonts w:hint="eastAsia" w:ascii="仿宋" w:hAnsi="仿宋" w:eastAsia="仿宋" w:cs="仿宋"/>
          <w:color w:val="000000"/>
          <w:kern w:val="0"/>
          <w:sz w:val="24"/>
          <w:lang w:val="en-US" w:eastAsia="zh-CN"/>
        </w:rPr>
        <w:t>送货单、过磅单</w:t>
      </w:r>
      <w:r>
        <w:rPr>
          <w:rFonts w:hint="eastAsia" w:ascii="仿宋" w:hAnsi="仿宋" w:eastAsia="仿宋" w:cs="仿宋"/>
          <w:color w:val="000000"/>
          <w:kern w:val="0"/>
          <w:sz w:val="24"/>
          <w:lang w:val="zh-CN"/>
        </w:rPr>
        <w:t>等资料。</w:t>
      </w:r>
    </w:p>
    <w:p w14:paraId="78F0E7D9">
      <w:pPr>
        <w:keepNext w:val="0"/>
        <w:keepLines w:val="0"/>
        <w:pageBreakBefore w:val="0"/>
        <w:kinsoku/>
        <w:wordWrap/>
        <w:overflowPunct/>
        <w:topLinePunct w:val="0"/>
        <w:autoSpaceDE w:val="0"/>
        <w:autoSpaceDN w:val="0"/>
        <w:bidi w:val="0"/>
        <w:adjustRightInd w:val="0"/>
        <w:spacing w:line="420" w:lineRule="exact"/>
        <w:ind w:left="54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验收规则</w:t>
      </w:r>
    </w:p>
    <w:p w14:paraId="604DB5BC">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1、验收标准：所有产品均按国家及行业标准的相关规定、本采购文件、谈判文件及投标样品相关内容进行验收。</w:t>
      </w:r>
    </w:p>
    <w:p w14:paraId="39C0F387">
      <w:pPr>
        <w:keepNext w:val="0"/>
        <w:keepLines w:val="0"/>
        <w:pageBreakBefore w:val="0"/>
        <w:tabs>
          <w:tab w:val="left" w:pos="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2、验收程序如下：</w:t>
      </w:r>
    </w:p>
    <w:p w14:paraId="1A5FA04A">
      <w:pPr>
        <w:keepNext w:val="0"/>
        <w:keepLines w:val="0"/>
        <w:pageBreakBefore w:val="0"/>
        <w:tabs>
          <w:tab w:val="left" w:pos="0"/>
        </w:tabs>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4106DC11">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(2）</w:t>
      </w:r>
      <w:r>
        <w:rPr>
          <w:rFonts w:hint="eastAsia" w:ascii="仿宋" w:hAnsi="仿宋" w:eastAsia="仿宋" w:cs="仿宋"/>
          <w:color w:val="000000"/>
          <w:kern w:val="0"/>
          <w:sz w:val="24"/>
        </w:rPr>
        <w:t>最终验收：</w:t>
      </w:r>
      <w:r>
        <w:rPr>
          <w:rFonts w:hint="eastAsia" w:ascii="仿宋" w:hAnsi="仿宋" w:eastAsia="仿宋" w:cs="仿宋"/>
          <w:color w:val="000000"/>
          <w:kern w:val="0"/>
          <w:sz w:val="24"/>
          <w:lang w:val="zh-CN"/>
        </w:rPr>
        <w:t>验收时，乙方所供到场货物与本合同约定的质量标准或样品（产品经双方确认后封样各自保存，出现偏差时以样品为准）不相符，甲方可要求退货，退货的往返运费均由乙方承担。</w:t>
      </w:r>
    </w:p>
    <w:p w14:paraId="63D913BF">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七、结算</w:t>
      </w:r>
      <w:r>
        <w:rPr>
          <w:rFonts w:hint="eastAsia" w:ascii="仿宋" w:hAnsi="仿宋" w:eastAsia="仿宋" w:cs="仿宋"/>
          <w:color w:val="000000"/>
          <w:kern w:val="0"/>
          <w:sz w:val="24"/>
        </w:rPr>
        <w:t>条件与</w:t>
      </w:r>
      <w:r>
        <w:rPr>
          <w:rFonts w:hint="eastAsia" w:ascii="仿宋" w:hAnsi="仿宋" w:eastAsia="仿宋" w:cs="仿宋"/>
          <w:color w:val="000000"/>
          <w:kern w:val="0"/>
          <w:sz w:val="24"/>
          <w:lang w:val="zh-CN"/>
        </w:rPr>
        <w:t>方式：</w:t>
      </w:r>
    </w:p>
    <w:p w14:paraId="02E0A9C5">
      <w:pPr>
        <w:pStyle w:val="15"/>
        <w:keepNext w:val="0"/>
        <w:keepLines w:val="0"/>
        <w:pageBreakBefore w:val="0"/>
        <w:kinsoku/>
        <w:wordWrap/>
        <w:overflowPunct/>
        <w:topLinePunct w:val="0"/>
        <w:bidi w:val="0"/>
        <w:spacing w:line="420" w:lineRule="exact"/>
        <w:ind w:firstLine="480"/>
        <w:rPr>
          <w:rFonts w:hint="eastAsia" w:ascii="仿宋" w:hAnsi="仿宋" w:eastAsia="仿宋" w:cs="仿宋"/>
          <w:color w:val="000000"/>
        </w:rPr>
      </w:pPr>
      <w:r>
        <w:rPr>
          <w:rFonts w:hint="eastAsia" w:ascii="仿宋" w:hAnsi="仿宋" w:eastAsia="仿宋" w:cs="仿宋"/>
          <w:color w:val="000000"/>
        </w:rPr>
        <w:t>1</w:t>
      </w:r>
      <w:r>
        <w:rPr>
          <w:rFonts w:hint="eastAsia" w:ascii="仿宋" w:hAnsi="仿宋" w:eastAsia="仿宋" w:cs="仿宋"/>
          <w:color w:val="000000"/>
          <w:lang w:eastAsia="zh-CN"/>
        </w:rPr>
        <w:t>、</w:t>
      </w:r>
      <w:r>
        <w:rPr>
          <w:rFonts w:hint="eastAsia" w:ascii="仿宋" w:hAnsi="仿宋" w:eastAsia="仿宋" w:cs="仿宋"/>
          <w:color w:val="000000"/>
        </w:rPr>
        <w:t>结算条件</w:t>
      </w:r>
    </w:p>
    <w:p w14:paraId="2FD76E5E">
      <w:pPr>
        <w:pStyle w:val="15"/>
        <w:keepNext w:val="0"/>
        <w:keepLines w:val="0"/>
        <w:pageBreakBefore w:val="0"/>
        <w:kinsoku/>
        <w:wordWrap/>
        <w:overflowPunct/>
        <w:topLinePunct w:val="0"/>
        <w:bidi w:val="0"/>
        <w:spacing w:line="420" w:lineRule="exact"/>
        <w:ind w:firstLine="480"/>
        <w:rPr>
          <w:rFonts w:hint="eastAsia" w:ascii="仿宋" w:hAnsi="仿宋" w:eastAsia="仿宋" w:cs="仿宋"/>
          <w:color w:val="000000"/>
        </w:rPr>
      </w:pPr>
      <w:r>
        <w:rPr>
          <w:rFonts w:hint="eastAsia" w:ascii="仿宋" w:hAnsi="仿宋" w:eastAsia="仿宋" w:cs="仿宋"/>
          <w:color w:val="000000"/>
        </w:rPr>
        <w:t xml:space="preserve"> </w:t>
      </w:r>
      <w:r>
        <w:rPr>
          <w:rFonts w:hint="eastAsia" w:ascii="仿宋" w:hAnsi="仿宋" w:eastAsia="仿宋" w:cs="仿宋"/>
          <w:color w:val="000000"/>
          <w:lang w:val="en-US" w:eastAsia="zh-CN"/>
        </w:rPr>
        <w:t>货到甲方指定工厂</w:t>
      </w:r>
      <w:r>
        <w:rPr>
          <w:rFonts w:hint="eastAsia" w:ascii="仿宋" w:hAnsi="仿宋" w:eastAsia="仿宋" w:cs="仿宋"/>
          <w:color w:val="000000"/>
        </w:rPr>
        <w:t>，要求</w:t>
      </w:r>
      <w:r>
        <w:rPr>
          <w:rFonts w:hint="eastAsia" w:ascii="仿宋" w:hAnsi="仿宋" w:eastAsia="仿宋" w:cs="仿宋"/>
          <w:color w:val="000000"/>
          <w:lang w:val="en-US" w:eastAsia="zh-CN"/>
        </w:rPr>
        <w:t>乙方提供</w:t>
      </w:r>
      <w:r>
        <w:rPr>
          <w:rFonts w:hint="eastAsia" w:ascii="仿宋" w:hAnsi="仿宋" w:eastAsia="仿宋" w:cs="仿宋"/>
          <w:color w:val="000000"/>
        </w:rPr>
        <w:t>提交下列单证和文件。</w:t>
      </w:r>
    </w:p>
    <w:p w14:paraId="39248A38">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a.乙方开具合同等额的正式发票。</w:t>
      </w:r>
    </w:p>
    <w:p w14:paraId="00F9B8A6">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rPr>
        <w:t>2</w:t>
      </w:r>
      <w:r>
        <w:rPr>
          <w:rFonts w:ascii="仿宋" w:hAnsi="仿宋" w:eastAsia="仿宋" w:cs="仿宋"/>
          <w:color w:val="000000"/>
          <w:sz w:val="24"/>
        </w:rPr>
        <w:t xml:space="preserve"> </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结算方式：</w:t>
      </w:r>
      <w:r>
        <w:rPr>
          <w:rFonts w:hint="eastAsia" w:ascii="仿宋" w:hAnsi="仿宋" w:eastAsia="仿宋" w:cs="仿宋"/>
          <w:color w:val="000000"/>
          <w:sz w:val="24"/>
          <w:highlight w:val="none"/>
          <w:lang w:val="en-US" w:eastAsia="zh-CN"/>
        </w:rPr>
        <w:t>货</w:t>
      </w:r>
      <w:r>
        <w:rPr>
          <w:rFonts w:hint="eastAsia" w:ascii="仿宋" w:hAnsi="仿宋" w:eastAsia="仿宋" w:cs="仿宋"/>
          <w:color w:val="000000"/>
          <w:sz w:val="24"/>
          <w:szCs w:val="24"/>
          <w:highlight w:val="none"/>
          <w:lang w:val="en-US" w:eastAsia="zh-CN"/>
        </w:rPr>
        <w:t>到票到付款。需方收到供方货物，验收合格后7日内，供方开具全额13%增值税专票，需方将相应合同货款转到供方指定账号。</w:t>
      </w:r>
    </w:p>
    <w:p w14:paraId="349635DA">
      <w:pPr>
        <w:keepNext w:val="0"/>
        <w:keepLines w:val="0"/>
        <w:pageBreakBefore w:val="0"/>
        <w:kinsoku/>
        <w:wordWrap/>
        <w:overflowPunct/>
        <w:topLinePunct w:val="0"/>
        <w:bidi w:val="0"/>
        <w:spacing w:line="42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、由于</w:t>
      </w:r>
      <w:r>
        <w:rPr>
          <w:rFonts w:hint="eastAsia" w:ascii="仿宋" w:hAnsi="仿宋" w:eastAsia="仿宋" w:cs="仿宋"/>
          <w:color w:val="000000"/>
          <w:sz w:val="24"/>
          <w:lang w:val="en-US" w:eastAsia="zh-CN"/>
        </w:rPr>
        <w:t>乙</w:t>
      </w:r>
      <w:r>
        <w:rPr>
          <w:rFonts w:hint="eastAsia" w:ascii="仿宋" w:hAnsi="仿宋" w:eastAsia="仿宋" w:cs="仿宋"/>
          <w:color w:val="000000"/>
          <w:sz w:val="24"/>
        </w:rPr>
        <w:t>方开具发票不真实、不合格而引起的一切责任（包括商业责任和法律责任)和损失，由</w:t>
      </w:r>
      <w:r>
        <w:rPr>
          <w:rFonts w:hint="eastAsia" w:ascii="仿宋" w:hAnsi="仿宋" w:eastAsia="仿宋" w:cs="仿宋"/>
          <w:color w:val="000000"/>
          <w:sz w:val="24"/>
          <w:lang w:val="en-US" w:eastAsia="zh-CN"/>
        </w:rPr>
        <w:t>乙</w:t>
      </w:r>
      <w:r>
        <w:rPr>
          <w:rFonts w:hint="eastAsia" w:ascii="仿宋" w:hAnsi="仿宋" w:eastAsia="仿宋" w:cs="仿宋"/>
          <w:color w:val="000000"/>
          <w:sz w:val="24"/>
        </w:rPr>
        <w:t>方承担。</w:t>
      </w:r>
    </w:p>
    <w:p w14:paraId="73156A27">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八、质量保证期：</w:t>
      </w:r>
    </w:p>
    <w:p w14:paraId="79541262">
      <w:pPr>
        <w:keepNext w:val="0"/>
        <w:keepLines w:val="0"/>
        <w:pageBreakBefore w:val="0"/>
        <w:widowControl/>
        <w:suppressLineNumbers w:val="0"/>
        <w:kinsoku/>
        <w:wordWrap/>
        <w:overflowPunct/>
        <w:topLinePunct w:val="0"/>
        <w:bidi w:val="0"/>
        <w:spacing w:line="420" w:lineRule="exact"/>
        <w:ind w:firstLine="480" w:firstLineChars="200"/>
        <w:jc w:val="left"/>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lang w:val="zh-CN"/>
        </w:rPr>
        <w:t>1、质量保证期为：</w:t>
      </w: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lang w:val="zh-CN"/>
        </w:rPr>
        <w:t>年，从全部材料进场经签收之日起计算，在质保期内出现问题，乙方必须免费予以退换。</w:t>
      </w:r>
    </w:p>
    <w:p w14:paraId="060ED77D">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九、产品交接：</w:t>
      </w:r>
    </w:p>
    <w:p w14:paraId="5CC64ECC">
      <w:pPr>
        <w:keepNext w:val="0"/>
        <w:keepLines w:val="0"/>
        <w:pageBreakBefore w:val="0"/>
        <w:widowControl/>
        <w:suppressLineNumbers w:val="0"/>
        <w:kinsoku/>
        <w:wordWrap/>
        <w:overflowPunct/>
        <w:topLinePunct w:val="0"/>
        <w:bidi w:val="0"/>
        <w:spacing w:line="420" w:lineRule="exact"/>
        <w:ind w:firstLine="480" w:firstLineChars="200"/>
        <w:jc w:val="left"/>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lang w:val="zh-CN"/>
        </w:rPr>
        <w:t>甲方根据产品交接清单清点数量，检查产品外观质量。数量清点当场验收，质量验收以检测结果为准，</w:t>
      </w:r>
      <w:r>
        <w:rPr>
          <w:rFonts w:hint="eastAsia" w:ascii="仿宋" w:hAnsi="仿宋" w:eastAsia="仿宋" w:cs="仿宋"/>
          <w:b w:val="0"/>
          <w:bCs w:val="0"/>
          <w:color w:val="000000"/>
          <w:kern w:val="0"/>
          <w:sz w:val="24"/>
          <w:szCs w:val="24"/>
          <w:lang w:val="en-US" w:eastAsia="zh-CN" w:bidi="ar"/>
        </w:rPr>
        <w:t>发现货物质量规格型号不符，应在交付之日起七日内通知乙方：若涉及产品试用的由双方另行约定；发现货物破损短缺的，应在货物交付时立即向承运人或仓库提出，或交付之日起三日内向乙方提供有关破损短缺的书面证据；甲方怠于通知或不能提供有关证据证明的，视为甲方已接受质量数量符合约定之货物。因货物固有属性引致的缺损应免除乙方责任。</w:t>
      </w:r>
    </w:p>
    <w:p w14:paraId="21F577AF">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zh-CN"/>
        </w:rPr>
        <w:t>十、违</w:t>
      </w:r>
      <w:r>
        <w:rPr>
          <w:rFonts w:hint="eastAsia" w:ascii="仿宋" w:hAnsi="仿宋" w:eastAsia="仿宋" w:cs="仿宋"/>
          <w:color w:val="000000"/>
          <w:kern w:val="0"/>
          <w:sz w:val="24"/>
        </w:rPr>
        <w:t>约责任：</w:t>
      </w:r>
    </w:p>
    <w:p w14:paraId="3B7C9AA1">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404479BF">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2.若乙方不能交货的（逾期15个工作日视为不能交货，因不可抗拒的因素除外）或交货不合格从而影响甲方正常使用的，乙方应向甲方偿付不能交货部分货款10%的违约金。违约金不足以补偿损失的，甲方有权要求乙方赔偿损失。</w:t>
      </w:r>
    </w:p>
    <w:p w14:paraId="41E9B40B">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3、如果乙方未能按照合同约定的时间提供服务的，每逾期1天的，乙方应按本合同总金额的1</w:t>
      </w:r>
      <w:r>
        <w:rPr>
          <w:rFonts w:ascii="仿宋" w:hAnsi="仿宋" w:eastAsia="仿宋" w:cs="仿宋"/>
          <w:color w:val="000000"/>
          <w:kern w:val="0"/>
          <w:sz w:val="24"/>
        </w:rPr>
        <w:t>%</w:t>
      </w:r>
      <w:r>
        <w:rPr>
          <w:rFonts w:hint="eastAsia" w:ascii="仿宋" w:hAnsi="仿宋" w:eastAsia="仿宋" w:cs="仿宋"/>
          <w:color w:val="000000"/>
          <w:kern w:val="0"/>
          <w:sz w:val="24"/>
        </w:rPr>
        <w:t>向甲方支付违约金，若因此给甲方造成损失的，乙方还应赔偿甲方所受的损失。</w:t>
      </w:r>
    </w:p>
    <w:p w14:paraId="3535DF6A">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十</w:t>
      </w:r>
      <w:r>
        <w:rPr>
          <w:rFonts w:hint="eastAsia" w:ascii="仿宋" w:hAnsi="仿宋" w:eastAsia="仿宋" w:cs="仿宋"/>
          <w:color w:val="000000"/>
          <w:kern w:val="0"/>
          <w:sz w:val="24"/>
          <w:lang w:eastAsia="zh-CN"/>
        </w:rPr>
        <w:t>一</w:t>
      </w:r>
      <w:r>
        <w:rPr>
          <w:rFonts w:hint="eastAsia" w:ascii="仿宋" w:hAnsi="仿宋" w:eastAsia="仿宋" w:cs="仿宋"/>
          <w:color w:val="000000"/>
          <w:kern w:val="0"/>
          <w:sz w:val="24"/>
        </w:rPr>
        <w:t>、违约终止合同</w:t>
      </w:r>
    </w:p>
    <w:p w14:paraId="7899C1C6">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4FAF034B">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如果乙方未能在合同规定的期限内或双方另行确定的延期交货时间内交付合同约定的货物。</w:t>
      </w:r>
    </w:p>
    <w:p w14:paraId="7D6623B4">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乙方未能履行合同项下的任何其它义务。</w:t>
      </w:r>
    </w:p>
    <w:p w14:paraId="7956E031">
      <w:pPr>
        <w:keepNext w:val="0"/>
        <w:keepLines w:val="0"/>
        <w:pageBreakBefore w:val="0"/>
        <w:kinsoku/>
        <w:wordWrap/>
        <w:overflowPunct/>
        <w:topLinePunct w:val="0"/>
        <w:autoSpaceDE w:val="0"/>
        <w:autoSpaceDN w:val="0"/>
        <w:bidi w:val="0"/>
        <w:adjustRightInd w:val="0"/>
        <w:spacing w:line="420" w:lineRule="exact"/>
        <w:ind w:firstLine="480"/>
        <w:rPr>
          <w:rFonts w:hint="eastAsia" w:eastAsia="仿宋"/>
          <w:color w:val="000000"/>
          <w:lang w:val="en-US" w:eastAsia="zh-CN"/>
        </w:rPr>
      </w:pPr>
      <w:r>
        <w:rPr>
          <w:rFonts w:hint="eastAsia" w:ascii="仿宋" w:hAnsi="仿宋" w:eastAsia="仿宋" w:cs="仿宋"/>
          <w:color w:val="000000"/>
          <w:kern w:val="0"/>
          <w:sz w:val="24"/>
          <w:lang w:val="en-US" w:eastAsia="zh-CN"/>
        </w:rPr>
        <w:t>4、</w:t>
      </w:r>
      <w:r>
        <w:rPr>
          <w:rFonts w:hint="eastAsia" w:ascii="仿宋" w:hAnsi="仿宋" w:eastAsia="仿宋" w:cs="仿宋"/>
          <w:color w:val="000000"/>
          <w:kern w:val="0"/>
          <w:sz w:val="24"/>
          <w:lang w:val="zh-CN"/>
        </w:rPr>
        <w:t>因上述原因造成的合同解除，因</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方责任时应全额退还</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lang w:val="zh-CN"/>
        </w:rPr>
        <w:t>方已付货款，并双倍返还合同预付款。当只能提供部分货物时，视为</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方违约，</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lang w:val="zh-CN"/>
        </w:rPr>
        <w:t>方可另购其余部分</w:t>
      </w:r>
      <w:r>
        <w:rPr>
          <w:rFonts w:hint="eastAsia" w:ascii="仿宋" w:hAnsi="仿宋" w:eastAsia="仿宋" w:cs="仿宋"/>
          <w:color w:val="000000"/>
          <w:kern w:val="0"/>
          <w:sz w:val="24"/>
          <w:lang w:val="en-US" w:eastAsia="zh-CN"/>
        </w:rPr>
        <w:t>材料</w:t>
      </w:r>
      <w:r>
        <w:rPr>
          <w:rFonts w:hint="eastAsia" w:ascii="仿宋" w:hAnsi="仿宋" w:eastAsia="仿宋" w:cs="仿宋"/>
          <w:color w:val="000000"/>
          <w:kern w:val="0"/>
          <w:sz w:val="24"/>
          <w:lang w:val="zh-CN"/>
        </w:rPr>
        <w:t>，</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方应承担购置费用和给</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lang w:val="zh-CN"/>
        </w:rPr>
        <w:t>方带来的相关经济损失并按照合同约定向</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lang w:val="zh-CN"/>
        </w:rPr>
        <w:t>方支付违约金。</w:t>
      </w:r>
    </w:p>
    <w:p w14:paraId="585531D9">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eastAsia="zh-CN"/>
        </w:rPr>
        <w:t>十二、</w:t>
      </w:r>
      <w:r>
        <w:rPr>
          <w:rFonts w:hint="eastAsia" w:ascii="仿宋" w:hAnsi="仿宋" w:eastAsia="仿宋" w:cs="仿宋"/>
          <w:color w:val="000000"/>
          <w:kern w:val="0"/>
          <w:sz w:val="24"/>
        </w:rPr>
        <w:t>不可抗力</w:t>
      </w:r>
    </w:p>
    <w:p w14:paraId="502D51E1">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0CD3102B">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rPr>
        <w:t>本合同中的不可抗力指不能预见、不能避免并不能克服的客观情况。包括但不限于：自然灾害如地震、台风、洪水、火灾；政府行为、法律规定或其适用的变化或者其他任何无法预见、避免或者控制的事件。</w:t>
      </w:r>
    </w:p>
    <w:p w14:paraId="363CBC91">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十三、</w:t>
      </w:r>
      <w:r>
        <w:rPr>
          <w:rFonts w:hint="eastAsia" w:ascii="仿宋" w:hAnsi="仿宋" w:eastAsia="仿宋" w:cs="仿宋"/>
          <w:color w:val="000000"/>
          <w:kern w:val="0"/>
          <w:sz w:val="24"/>
        </w:rPr>
        <w:t>权利义务转移和违法违规条款</w:t>
      </w:r>
    </w:p>
    <w:p w14:paraId="450ACBEB">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基于诚信原则，本合同项下未经</w:t>
      </w:r>
      <w:r>
        <w:rPr>
          <w:rFonts w:hint="eastAsia" w:ascii="仿宋" w:hAnsi="仿宋" w:eastAsia="仿宋" w:cs="仿宋"/>
          <w:color w:val="000000"/>
          <w:kern w:val="0"/>
          <w:sz w:val="24"/>
          <w:lang w:eastAsia="zh-CN"/>
        </w:rPr>
        <w:t>甲方</w:t>
      </w:r>
      <w:r>
        <w:rPr>
          <w:rFonts w:hint="eastAsia" w:ascii="仿宋" w:hAnsi="仿宋" w:eastAsia="仿宋" w:cs="仿宋"/>
          <w:color w:val="000000"/>
          <w:kern w:val="0"/>
          <w:sz w:val="24"/>
        </w:rPr>
        <w:t>书面同意，</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rPr>
        <w:t>方不得转让或者变相转让本合同的权利义务，否则向</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rPr>
        <w:t>方支付合同总金额30％的违约金。</w:t>
      </w:r>
    </w:p>
    <w:p w14:paraId="42F9FDFC">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在本合同项下如</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rPr>
        <w:t>方违法违规造成</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rPr>
        <w:t>方损失的，</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rPr>
        <w:t>方须全额赔偿，赔偿金额从</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rPr>
        <w:t>方货款或者履约保证金等款项中扣除，不足部分，</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rPr>
        <w:t>方依法享有向</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rPr>
        <w:t>方追索的权利。</w:t>
      </w:r>
    </w:p>
    <w:p w14:paraId="3A70D41A">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eastAsia="zh-CN"/>
        </w:rPr>
        <w:t>十四、</w:t>
      </w:r>
      <w:r>
        <w:rPr>
          <w:rFonts w:hint="eastAsia" w:ascii="仿宋" w:hAnsi="仿宋" w:eastAsia="仿宋" w:cs="仿宋"/>
          <w:color w:val="000000"/>
          <w:kern w:val="0"/>
          <w:sz w:val="24"/>
          <w:lang w:val="zh-CN"/>
        </w:rPr>
        <w:t>反商业贿赂条款</w:t>
      </w:r>
    </w:p>
    <w:p w14:paraId="3CDCB5B6">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为保障双方合法权益不受侵害，保持</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双方长久、良好的合作关系，根据《中华人民共和国反不正当竞争法》《关于禁止商业贿赂行为的暂行规定》及有关法律、法规的规定，</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双方约定如下：</w:t>
      </w:r>
    </w:p>
    <w:p w14:paraId="4B8F6AF0">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1、甲乙</w:t>
      </w:r>
      <w:r>
        <w:rPr>
          <w:rFonts w:hint="eastAsia" w:ascii="仿宋" w:hAnsi="仿宋" w:eastAsia="仿宋" w:cs="仿宋"/>
          <w:color w:val="000000"/>
          <w:kern w:val="0"/>
          <w:sz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双方均有义务拒绝对方员工的索贿、行贿行为。</w:t>
      </w:r>
    </w:p>
    <w:p w14:paraId="51D20166">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2、甲乙</w:t>
      </w:r>
      <w:r>
        <w:rPr>
          <w:rFonts w:hint="eastAsia" w:ascii="仿宋" w:hAnsi="仿宋" w:eastAsia="仿宋" w:cs="仿宋"/>
          <w:color w:val="000000"/>
          <w:kern w:val="0"/>
          <w:sz w:val="24"/>
          <w:lang w:val="zh-CN"/>
        </w:rPr>
        <w:t>双方员工按照商业惯例收取对方的礼品、纪念品，必须统一上交各自所在公司，由公司负责处理。双方互有义务将此事通知对方。</w:t>
      </w:r>
    </w:p>
    <w:p w14:paraId="22BE6367">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lang w:val="zh-CN"/>
        </w:rPr>
        <w:t>在合作过程中，如出现</w:t>
      </w:r>
      <w:r>
        <w:rPr>
          <w:rFonts w:hint="eastAsia" w:ascii="仿宋" w:hAnsi="仿宋" w:eastAsia="仿宋" w:cs="仿宋"/>
          <w:color w:val="000000"/>
          <w:kern w:val="0"/>
          <w:sz w:val="24"/>
          <w:lang w:val="en-US" w:eastAsia="zh-CN"/>
        </w:rPr>
        <w:t>甲方</w:t>
      </w:r>
      <w:r>
        <w:rPr>
          <w:rFonts w:hint="eastAsia" w:ascii="仿宋" w:hAnsi="仿宋" w:eastAsia="仿宋" w:cs="仿宋"/>
          <w:color w:val="000000"/>
          <w:kern w:val="0"/>
          <w:sz w:val="24"/>
          <w:lang w:val="zh-CN"/>
        </w:rPr>
        <w:t>员工索贿、接受贿赂的现象，</w:t>
      </w:r>
      <w:r>
        <w:rPr>
          <w:rFonts w:hint="eastAsia" w:ascii="仿宋" w:hAnsi="仿宋" w:eastAsia="仿宋" w:cs="仿宋"/>
          <w:color w:val="000000"/>
          <w:kern w:val="0"/>
          <w:sz w:val="24"/>
          <w:lang w:val="en-US" w:eastAsia="zh-CN"/>
        </w:rPr>
        <w:t>乙</w:t>
      </w:r>
      <w:r>
        <w:rPr>
          <w:rFonts w:hint="eastAsia" w:ascii="仿宋" w:hAnsi="仿宋" w:eastAsia="仿宋" w:cs="仿宋"/>
          <w:color w:val="000000"/>
          <w:kern w:val="0"/>
          <w:sz w:val="24"/>
          <w:lang w:val="zh-CN"/>
        </w:rPr>
        <w:t>方应及时向</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lang w:val="zh-CN"/>
        </w:rPr>
        <w:t>方进行举报。</w:t>
      </w:r>
    </w:p>
    <w:p w14:paraId="6F4BBBAC">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4、甲乙</w:t>
      </w:r>
      <w:r>
        <w:rPr>
          <w:rFonts w:hint="eastAsia" w:ascii="仿宋" w:hAnsi="仿宋" w:eastAsia="仿宋" w:cs="仿宋"/>
          <w:color w:val="000000"/>
          <w:kern w:val="0"/>
          <w:sz w:val="24"/>
          <w:lang w:val="zh-CN"/>
        </w:rPr>
        <w:t>双方承诺愿意配合对其员工索取、接受贿赂的行为进行调查。</w:t>
      </w:r>
    </w:p>
    <w:p w14:paraId="28519CF7">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5、</w:t>
      </w:r>
      <w:r>
        <w:rPr>
          <w:rFonts w:hint="eastAsia" w:ascii="仿宋" w:hAnsi="仿宋" w:eastAsia="仿宋" w:cs="仿宋"/>
          <w:color w:val="000000"/>
          <w:kern w:val="0"/>
          <w:sz w:val="24"/>
          <w:lang w:val="zh-CN"/>
        </w:rPr>
        <w:t>如</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双方为谋取商业利益给对方员工贿赂或者不拒绝对方员工索取贿赂的，违约方承担相关法律责任。</w:t>
      </w:r>
    </w:p>
    <w:p w14:paraId="117CC76F">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lang w:val="zh-CN"/>
        </w:rPr>
        <w:t>如</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双方违反本条约定，任何一方有权单方解除合同或协议，并不承担任何违约责任及赔偿责任，但提出解除合同方应向对方出具司法机关出具的证据。</w:t>
      </w:r>
    </w:p>
    <w:p w14:paraId="193C6508">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en-US" w:eastAsia="zh-CN"/>
        </w:rPr>
        <w:t>7、甲乙</w:t>
      </w:r>
      <w:r>
        <w:rPr>
          <w:rFonts w:hint="eastAsia" w:ascii="仿宋" w:hAnsi="仿宋" w:eastAsia="仿宋" w:cs="仿宋"/>
          <w:color w:val="000000"/>
          <w:kern w:val="0"/>
          <w:sz w:val="24"/>
          <w:lang w:val="zh-CN"/>
        </w:rPr>
        <w:t>双方积极全面履行协议，并能向对方举报其员工索取、收受贿赂事实的，</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双方将优先与其发展合作关系，给予在同等条件下优先采购及优惠条件；如果举报与事实不符，</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lang w:val="zh-CN"/>
        </w:rPr>
        <w:t>双方有权终止与其商业合作关系，并承担法律责任。</w:t>
      </w:r>
    </w:p>
    <w:p w14:paraId="4662AF5C">
      <w:pPr>
        <w:keepNext w:val="0"/>
        <w:keepLines w:val="0"/>
        <w:pageBreakBefore w:val="0"/>
        <w:kinsoku/>
        <w:wordWrap/>
        <w:overflowPunct/>
        <w:topLinePunct w:val="0"/>
        <w:autoSpaceDE w:val="0"/>
        <w:autoSpaceDN w:val="0"/>
        <w:bidi w:val="0"/>
        <w:adjustRightInd w:val="0"/>
        <w:spacing w:line="420" w:lineRule="exact"/>
        <w:ind w:firstLine="480"/>
        <w:rPr>
          <w:rFonts w:hint="eastAsia" w:eastAsia="仿宋"/>
          <w:color w:val="000000"/>
          <w:lang w:val="en-US" w:eastAsia="zh-CN"/>
        </w:rPr>
      </w:pPr>
      <w:r>
        <w:rPr>
          <w:rFonts w:hint="eastAsia" w:ascii="仿宋" w:hAnsi="仿宋" w:eastAsia="仿宋" w:cs="仿宋"/>
          <w:color w:val="000000"/>
          <w:kern w:val="0"/>
          <w:sz w:val="24"/>
          <w:lang w:val="en-US" w:eastAsia="zh-CN"/>
        </w:rPr>
        <w:t>8、甲乙</w:t>
      </w:r>
      <w:r>
        <w:rPr>
          <w:rFonts w:hint="eastAsia" w:ascii="仿宋" w:hAnsi="仿宋" w:eastAsia="仿宋" w:cs="仿宋"/>
          <w:color w:val="000000"/>
          <w:kern w:val="0"/>
          <w:sz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20196C8B">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十五、本合同的任何变更，均应以书面形式提出，并由双方授权人等协商一致后书面达成协议方有效。</w:t>
      </w:r>
    </w:p>
    <w:p w14:paraId="2259C756">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十六、甲乙双方应对在本合同谈判期间、履行期间从另一方获得或收到的价格、资料、信息及其它商业秘密进行保密，未经对方书面事先同意不得向任何第三方以任何方式披露。</w:t>
      </w:r>
    </w:p>
    <w:p w14:paraId="12CDF4F1">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十七、</w:t>
      </w:r>
      <w:r>
        <w:rPr>
          <w:rFonts w:hint="eastAsia" w:ascii="仿宋" w:hAnsi="仿宋" w:eastAsia="仿宋" w:cs="仿宋"/>
          <w:color w:val="000000"/>
          <w:kern w:val="0"/>
          <w:sz w:val="24"/>
        </w:rPr>
        <w:t>本合同适用中华人民共和国法律，并据其进行解释。</w:t>
      </w:r>
    </w:p>
    <w:p w14:paraId="1CA72634">
      <w:pPr>
        <w:keepNext w:val="0"/>
        <w:keepLines w:val="0"/>
        <w:pageBreakBefore w:val="0"/>
        <w:kinsoku/>
        <w:wordWrap/>
        <w:overflowPunct/>
        <w:topLinePunct w:val="0"/>
        <w:autoSpaceDE w:val="0"/>
        <w:autoSpaceDN w:val="0"/>
        <w:bidi w:val="0"/>
        <w:adjustRightInd w:val="0"/>
        <w:spacing w:line="420" w:lineRule="exact"/>
        <w:ind w:firstLine="480"/>
        <w:rPr>
          <w:rFonts w:hint="eastAsia" w:eastAsia="仿宋"/>
          <w:color w:val="000000"/>
          <w:lang w:val="en-US" w:eastAsia="zh-CN"/>
        </w:rPr>
      </w:pPr>
      <w:r>
        <w:rPr>
          <w:rFonts w:hint="eastAsia" w:ascii="仿宋" w:hAnsi="仿宋" w:eastAsia="仿宋" w:cs="仿宋"/>
          <w:color w:val="000000"/>
          <w:kern w:val="0"/>
          <w:sz w:val="24"/>
        </w:rPr>
        <w:t>合同履行过程中，若发生争议，双方应协商解决；如协商不成均由</w:t>
      </w:r>
      <w:r>
        <w:rPr>
          <w:rFonts w:hint="eastAsia" w:ascii="仿宋" w:hAnsi="仿宋" w:eastAsia="仿宋" w:cs="仿宋"/>
          <w:color w:val="000000"/>
          <w:kern w:val="0"/>
          <w:sz w:val="24"/>
          <w:lang w:val="en-US" w:eastAsia="zh-CN"/>
        </w:rPr>
        <w:t>三明市沙县区</w:t>
      </w:r>
      <w:r>
        <w:rPr>
          <w:rFonts w:hint="eastAsia" w:ascii="仿宋" w:hAnsi="仿宋" w:eastAsia="仿宋" w:cs="仿宋"/>
          <w:color w:val="000000"/>
          <w:kern w:val="0"/>
          <w:sz w:val="24"/>
        </w:rPr>
        <w:t>人民法院</w:t>
      </w:r>
      <w:r>
        <w:rPr>
          <w:rFonts w:hint="eastAsia" w:ascii="仿宋" w:hAnsi="仿宋" w:eastAsia="仿宋" w:cs="仿宋"/>
          <w:color w:val="000000"/>
          <w:kern w:val="0"/>
          <w:sz w:val="24"/>
          <w:lang w:val="en-US" w:eastAsia="zh-CN"/>
        </w:rPr>
        <w:t>管辖</w:t>
      </w:r>
      <w:r>
        <w:rPr>
          <w:rFonts w:hint="eastAsia" w:ascii="仿宋" w:hAnsi="仿宋" w:eastAsia="仿宋" w:cs="仿宋"/>
          <w:color w:val="000000"/>
          <w:kern w:val="0"/>
          <w:sz w:val="24"/>
        </w:rPr>
        <w:t>。</w:t>
      </w:r>
    </w:p>
    <w:p w14:paraId="38C74224">
      <w:pPr>
        <w:keepNext w:val="0"/>
        <w:keepLines w:val="0"/>
        <w:pageBreakBefore w:val="0"/>
        <w:kinsoku/>
        <w:wordWrap/>
        <w:overflowPunct/>
        <w:topLinePunct w:val="0"/>
        <w:autoSpaceDE w:val="0"/>
        <w:autoSpaceDN w:val="0"/>
        <w:bidi w:val="0"/>
        <w:adjustRightInd w:val="0"/>
        <w:spacing w:line="420" w:lineRule="exact"/>
        <w:ind w:firstLine="480"/>
        <w:rPr>
          <w:rFonts w:hint="eastAsia" w:ascii="仿宋" w:hAnsi="仿宋" w:eastAsia="仿宋" w:cs="仿宋"/>
          <w:color w:val="000000"/>
          <w:kern w:val="0"/>
          <w:sz w:val="24"/>
        </w:rPr>
      </w:pPr>
      <w:r>
        <w:rPr>
          <w:rFonts w:hint="eastAsia" w:ascii="仿宋" w:hAnsi="仿宋" w:eastAsia="仿宋" w:cs="仿宋"/>
          <w:color w:val="000000"/>
          <w:kern w:val="0"/>
          <w:sz w:val="24"/>
          <w:lang w:val="zh-CN"/>
        </w:rPr>
        <w:t>十八、</w:t>
      </w:r>
      <w:r>
        <w:rPr>
          <w:rFonts w:hint="eastAsia" w:ascii="仿宋" w:hAnsi="仿宋" w:eastAsia="仿宋" w:cs="仿宋"/>
          <w:color w:val="000000"/>
          <w:kern w:val="0"/>
          <w:sz w:val="24"/>
        </w:rPr>
        <w:t>其他</w:t>
      </w:r>
    </w:p>
    <w:p w14:paraId="7EDC5F86">
      <w:pPr>
        <w:keepNext w:val="0"/>
        <w:keepLines w:val="0"/>
        <w:pageBreakBefore w:val="0"/>
        <w:kinsoku/>
        <w:wordWrap/>
        <w:overflowPunct/>
        <w:topLinePunct w:val="0"/>
        <w:autoSpaceDE w:val="0"/>
        <w:autoSpaceDN w:val="0"/>
        <w:bidi w:val="0"/>
        <w:adjustRightInd w:val="0"/>
        <w:spacing w:line="42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rPr>
        <w:t>合同附件为本合同不可分割的一部分，与本合同具有同等的法律效力，补充协议与本协议有冲突的，以补充协议为准。</w:t>
      </w:r>
    </w:p>
    <w:p w14:paraId="3E32130A">
      <w:pPr>
        <w:keepNext w:val="0"/>
        <w:keepLines w:val="0"/>
        <w:pageBreakBefore w:val="0"/>
        <w:kinsoku/>
        <w:wordWrap/>
        <w:overflowPunct/>
        <w:topLinePunct w:val="0"/>
        <w:autoSpaceDE w:val="0"/>
        <w:autoSpaceDN w:val="0"/>
        <w:bidi w:val="0"/>
        <w:adjustRightInd w:val="0"/>
        <w:spacing w:line="42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本合同一经生效，非经</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rPr>
        <w:t>双方签署书面补充协议同意，任何一方以其他方式对合同条款的增减及其他变更均无约束力。</w:t>
      </w:r>
    </w:p>
    <w:p w14:paraId="21BB7942">
      <w:pPr>
        <w:keepNext w:val="0"/>
        <w:keepLines w:val="0"/>
        <w:pageBreakBefore w:val="0"/>
        <w:kinsoku/>
        <w:wordWrap/>
        <w:overflowPunct/>
        <w:topLinePunct w:val="0"/>
        <w:autoSpaceDE w:val="0"/>
        <w:autoSpaceDN w:val="0"/>
        <w:bidi w:val="0"/>
        <w:adjustRightInd w:val="0"/>
        <w:spacing w:line="42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本合同的内容及其有关的附件是</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rPr>
        <w:t>双方关于此次合作所最终确定的全部内容，双方均承认其已审阅、理解本合同及相关附件的内容，并同意取代</w:t>
      </w:r>
      <w:r>
        <w:rPr>
          <w:rFonts w:hint="eastAsia" w:ascii="仿宋" w:hAnsi="仿宋" w:eastAsia="仿宋" w:cs="仿宋"/>
          <w:color w:val="000000"/>
          <w:kern w:val="0"/>
          <w:sz w:val="24"/>
          <w:lang w:val="en-US" w:eastAsia="zh-CN"/>
        </w:rPr>
        <w:t>甲乙</w:t>
      </w:r>
      <w:r>
        <w:rPr>
          <w:rFonts w:hint="eastAsia" w:ascii="仿宋" w:hAnsi="仿宋" w:eastAsia="仿宋" w:cs="仿宋"/>
          <w:color w:val="000000"/>
          <w:kern w:val="0"/>
          <w:sz w:val="24"/>
        </w:rPr>
        <w:t>双方之间此前关于此次合作所做出的任何口头或书面的承诺。</w:t>
      </w:r>
    </w:p>
    <w:p w14:paraId="2DA5D8AA">
      <w:pPr>
        <w:keepNext w:val="0"/>
        <w:keepLines w:val="0"/>
        <w:pageBreakBefore w:val="0"/>
        <w:kinsoku/>
        <w:wordWrap/>
        <w:overflowPunct/>
        <w:topLinePunct w:val="0"/>
        <w:autoSpaceDE w:val="0"/>
        <w:autoSpaceDN w:val="0"/>
        <w:bidi w:val="0"/>
        <w:adjustRightInd w:val="0"/>
        <w:spacing w:line="42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4、</w:t>
      </w:r>
      <w:r>
        <w:rPr>
          <w:rFonts w:hint="eastAsia" w:ascii="仿宋" w:hAnsi="仿宋" w:eastAsia="仿宋" w:cs="仿宋"/>
          <w:color w:val="000000"/>
          <w:kern w:val="0"/>
          <w:sz w:val="24"/>
        </w:rPr>
        <w:t>本合同自双方加盖公章或合同专用章后生效，合同约定所有义务履行完毕后自行终止。合同的终止并不影响保密义务的继续履行。</w:t>
      </w:r>
    </w:p>
    <w:p w14:paraId="0E500856">
      <w:pPr>
        <w:keepNext w:val="0"/>
        <w:keepLines w:val="0"/>
        <w:pageBreakBefore w:val="0"/>
        <w:shd w:val="clear" w:color="auto" w:fill="FFFFFF"/>
        <w:kinsoku/>
        <w:wordWrap/>
        <w:overflowPunct/>
        <w:topLinePunct w:val="0"/>
        <w:bidi w:val="0"/>
        <w:adjustRightInd w:val="0"/>
        <w:snapToGrid w:val="0"/>
        <w:spacing w:line="42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5、</w:t>
      </w:r>
      <w:r>
        <w:rPr>
          <w:rFonts w:hint="eastAsia" w:ascii="仿宋" w:hAnsi="仿宋" w:eastAsia="仿宋" w:cs="仿宋"/>
          <w:color w:val="000000"/>
          <w:kern w:val="0"/>
          <w:sz w:val="24"/>
        </w:rPr>
        <w:t>本合同及附件一式</w:t>
      </w:r>
      <w:r>
        <w:rPr>
          <w:rFonts w:hint="eastAsia" w:ascii="仿宋" w:hAnsi="仿宋" w:eastAsia="仿宋" w:cs="仿宋"/>
          <w:color w:val="000000"/>
          <w:kern w:val="0"/>
          <w:sz w:val="24"/>
          <w:lang w:val="en-US" w:eastAsia="zh-CN"/>
        </w:rPr>
        <w:t>肆</w:t>
      </w:r>
      <w:r>
        <w:rPr>
          <w:rFonts w:hint="eastAsia" w:ascii="仿宋" w:hAnsi="仿宋" w:eastAsia="仿宋" w:cs="仿宋"/>
          <w:color w:val="000000"/>
          <w:kern w:val="0"/>
          <w:sz w:val="24"/>
        </w:rPr>
        <w:t>份，</w:t>
      </w:r>
      <w:r>
        <w:rPr>
          <w:rFonts w:hint="eastAsia" w:ascii="仿宋" w:hAnsi="仿宋" w:eastAsia="仿宋" w:cs="仿宋"/>
          <w:color w:val="000000"/>
          <w:kern w:val="0"/>
          <w:sz w:val="24"/>
          <w:lang w:val="en-US" w:eastAsia="zh-CN"/>
        </w:rPr>
        <w:t>甲</w:t>
      </w:r>
      <w:r>
        <w:rPr>
          <w:rFonts w:hint="eastAsia" w:ascii="仿宋" w:hAnsi="仿宋" w:eastAsia="仿宋" w:cs="仿宋"/>
          <w:color w:val="000000"/>
          <w:kern w:val="0"/>
          <w:sz w:val="24"/>
        </w:rPr>
        <w:t>方</w:t>
      </w:r>
      <w:r>
        <w:rPr>
          <w:rFonts w:hint="eastAsia" w:ascii="仿宋" w:hAnsi="仿宋" w:eastAsia="仿宋" w:cs="仿宋"/>
          <w:color w:val="000000"/>
          <w:kern w:val="0"/>
          <w:sz w:val="24"/>
          <w:lang w:val="en-US" w:eastAsia="zh-CN"/>
        </w:rPr>
        <w:t>叁</w:t>
      </w:r>
      <w:r>
        <w:rPr>
          <w:rFonts w:hint="eastAsia" w:ascii="仿宋" w:hAnsi="仿宋" w:eastAsia="仿宋" w:cs="仿宋"/>
          <w:color w:val="000000"/>
          <w:kern w:val="0"/>
          <w:sz w:val="24"/>
        </w:rPr>
        <w:t>份，</w:t>
      </w:r>
      <w:r>
        <w:rPr>
          <w:rFonts w:hint="eastAsia" w:ascii="仿宋" w:hAnsi="仿宋" w:eastAsia="仿宋" w:cs="仿宋"/>
          <w:color w:val="000000"/>
          <w:kern w:val="0"/>
          <w:sz w:val="24"/>
          <w:lang w:val="en-US" w:eastAsia="zh-CN"/>
        </w:rPr>
        <w:t>乙方壹</w:t>
      </w:r>
      <w:r>
        <w:rPr>
          <w:rFonts w:hint="eastAsia" w:ascii="仿宋" w:hAnsi="仿宋" w:eastAsia="仿宋" w:cs="仿宋"/>
          <w:color w:val="000000"/>
          <w:kern w:val="0"/>
          <w:sz w:val="24"/>
        </w:rPr>
        <w:t>份，每份具有同等的法律效力。</w:t>
      </w:r>
    </w:p>
    <w:p w14:paraId="6A167AE6">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b w:val="0"/>
          <w:bCs w:val="0"/>
          <w:color w:val="000000"/>
          <w:sz w:val="24"/>
          <w:szCs w:val="24"/>
          <w:highlight w:val="none"/>
          <w:vertAlign w:val="baseline"/>
          <w:lang w:val="en-US" w:eastAsia="zh-CN"/>
        </w:rPr>
      </w:pPr>
    </w:p>
    <w:p w14:paraId="3713B97A">
      <w:pPr>
        <w:keepNext w:val="0"/>
        <w:keepLines w:val="0"/>
        <w:pageBreakBefore w:val="0"/>
        <w:widowControl w:val="0"/>
        <w:kinsoku/>
        <w:wordWrap/>
        <w:overflowPunct/>
        <w:topLinePunct w:val="0"/>
        <w:autoSpaceDE w:val="0"/>
        <w:autoSpaceDN w:val="0"/>
        <w:bidi w:val="0"/>
        <w:adjustRightInd w:val="0"/>
        <w:spacing w:line="240" w:lineRule="auto"/>
        <w:ind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（以下无正文）</w:t>
      </w:r>
    </w:p>
    <w:p w14:paraId="5406D9A3">
      <w:pPr>
        <w:pStyle w:val="15"/>
        <w:spacing w:line="240" w:lineRule="auto"/>
        <w:ind w:firstLine="480"/>
        <w:rPr>
          <w:rFonts w:hint="eastAsia" w:ascii="仿宋" w:hAnsi="仿宋" w:eastAsia="仿宋" w:cs="仿宋"/>
          <w:sz w:val="24"/>
          <w:szCs w:val="24"/>
          <w:lang w:val="zh-CN"/>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5156"/>
      </w:tblGrid>
      <w:tr w14:paraId="0457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jc w:val="center"/>
        </w:trPr>
        <w:tc>
          <w:tcPr>
            <w:tcW w:w="4801" w:type="dxa"/>
            <w:tcBorders>
              <w:top w:val="single" w:color="auto" w:sz="4" w:space="0"/>
              <w:left w:val="single" w:color="auto" w:sz="4" w:space="0"/>
              <w:bottom w:val="single" w:color="auto" w:sz="4" w:space="0"/>
              <w:right w:val="single" w:color="auto" w:sz="4" w:space="0"/>
            </w:tcBorders>
            <w:noWrap w:val="0"/>
            <w:vAlign w:val="top"/>
          </w:tcPr>
          <w:p w14:paraId="409CEBDC">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甲  方</w:t>
            </w:r>
          </w:p>
          <w:p w14:paraId="2314C3DF">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 xml:space="preserve">名称（公章）：中国机械总院集团海西（福建）分院有限公司 </w:t>
            </w:r>
          </w:p>
          <w:p w14:paraId="750275AB">
            <w:pPr>
              <w:keepNext w:val="0"/>
              <w:keepLines w:val="0"/>
              <w:pageBreakBefore w:val="0"/>
              <w:widowControl/>
              <w:kinsoku w:val="0"/>
              <w:wordWrap/>
              <w:overflowPunct/>
              <w:topLinePunct w:val="0"/>
              <w:autoSpaceDE w:val="0"/>
              <w:autoSpaceDN w:val="0"/>
              <w:bidi w:val="0"/>
              <w:adjustRightInd/>
              <w:snapToGrid/>
              <w:spacing w:line="240" w:lineRule="auto"/>
              <w:ind w:left="600" w:leftChars="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 xml:space="preserve">地址：福建省三明市沙县区金沙园开发区创新东路413号 </w:t>
            </w:r>
          </w:p>
          <w:p w14:paraId="394105AC">
            <w:pPr>
              <w:keepNext w:val="0"/>
              <w:keepLines w:val="0"/>
              <w:pageBreakBefore w:val="0"/>
              <w:widowControl/>
              <w:tabs>
                <w:tab w:val="left" w:pos="180"/>
              </w:tabs>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 xml:space="preserve">法定代表人：薛松海 </w:t>
            </w:r>
          </w:p>
          <w:p w14:paraId="56BABC09">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委托代理人：</w:t>
            </w:r>
          </w:p>
          <w:p w14:paraId="60B1F10E">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 xml:space="preserve">电话：0598-8863008  </w:t>
            </w:r>
          </w:p>
          <w:p w14:paraId="243539C2">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传真：</w:t>
            </w:r>
          </w:p>
          <w:p w14:paraId="1BC03EDD">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 xml:space="preserve">开户银行：中国农业银行沙县支行 </w:t>
            </w:r>
          </w:p>
          <w:p w14:paraId="25FC5F77">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 xml:space="preserve">银行帐号：13840101040017600  </w:t>
            </w:r>
          </w:p>
          <w:p w14:paraId="5EAF6179">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 xml:space="preserve">税号：913504270603757361 </w:t>
            </w:r>
          </w:p>
        </w:tc>
        <w:tc>
          <w:tcPr>
            <w:tcW w:w="5156" w:type="dxa"/>
            <w:tcBorders>
              <w:top w:val="single" w:color="auto" w:sz="4" w:space="0"/>
              <w:left w:val="single" w:color="auto" w:sz="4" w:space="0"/>
              <w:bottom w:val="single" w:color="auto" w:sz="4" w:space="0"/>
              <w:right w:val="single" w:color="auto" w:sz="4" w:space="0"/>
            </w:tcBorders>
            <w:noWrap w:val="0"/>
            <w:vAlign w:val="top"/>
          </w:tcPr>
          <w:p w14:paraId="0779D4F8">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乙  方</w:t>
            </w:r>
          </w:p>
          <w:p w14:paraId="316A1EB3">
            <w:pPr>
              <w:keepNext w:val="0"/>
              <w:keepLines w:val="0"/>
              <w:pageBreakBefore w:val="0"/>
              <w:widowControl/>
              <w:kinsoku w:val="0"/>
              <w:wordWrap/>
              <w:overflowPunct/>
              <w:topLinePunct w:val="0"/>
              <w:autoSpaceDE w:val="0"/>
              <w:autoSpaceDN w:val="0"/>
              <w:bidi w:val="0"/>
              <w:adjustRightInd/>
              <w:snapToGrid/>
              <w:spacing w:line="240" w:lineRule="auto"/>
              <w:ind w:left="600" w:leftChars="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名称（公章）：</w:t>
            </w:r>
          </w:p>
          <w:p w14:paraId="76107CFB">
            <w:pPr>
              <w:keepNext w:val="0"/>
              <w:keepLines w:val="0"/>
              <w:pageBreakBefore w:val="0"/>
              <w:widowControl/>
              <w:kinsoku w:val="0"/>
              <w:wordWrap/>
              <w:overflowPunct/>
              <w:topLinePunct w:val="0"/>
              <w:autoSpaceDE w:val="0"/>
              <w:autoSpaceDN w:val="0"/>
              <w:bidi w:val="0"/>
              <w:adjustRightInd/>
              <w:snapToGrid/>
              <w:spacing w:line="240" w:lineRule="auto"/>
              <w:ind w:left="600" w:leftChars="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地址：</w:t>
            </w:r>
          </w:p>
          <w:p w14:paraId="04B664A5">
            <w:pPr>
              <w:keepNext w:val="0"/>
              <w:keepLines w:val="0"/>
              <w:pageBreakBefore w:val="0"/>
              <w:widowControl/>
              <w:tabs>
                <w:tab w:val="left" w:pos="180"/>
              </w:tabs>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法定代表人：</w:t>
            </w:r>
          </w:p>
          <w:p w14:paraId="5CF8D4F0">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委托代理人：</w:t>
            </w:r>
          </w:p>
          <w:p w14:paraId="57BD3D23">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电话：</w:t>
            </w:r>
          </w:p>
          <w:p w14:paraId="1780DBED">
            <w:pPr>
              <w:pStyle w:val="7"/>
              <w:keepNext w:val="0"/>
              <w:keepLines w:val="0"/>
              <w:pageBreakBefore w:val="0"/>
              <w:widowControl/>
              <w:tabs>
                <w:tab w:val="left" w:pos="180"/>
              </w:tabs>
              <w:kinsoku w:val="0"/>
              <w:wordWrap/>
              <w:overflowPunct/>
              <w:topLinePunct w:val="0"/>
              <w:autoSpaceDE w:val="0"/>
              <w:autoSpaceDN w:val="0"/>
              <w:bidi w:val="0"/>
              <w:adjustRightInd/>
              <w:snapToGrid/>
              <w:spacing w:after="0" w:line="240" w:lineRule="auto"/>
              <w:ind w:left="0" w:leftChars="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传真：</w:t>
            </w:r>
          </w:p>
          <w:p w14:paraId="46DC901E">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开户银行：</w:t>
            </w:r>
          </w:p>
          <w:p w14:paraId="74C35AE3">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银行帐号：</w:t>
            </w:r>
          </w:p>
          <w:p w14:paraId="38E7F798">
            <w:pPr>
              <w:keepNext w:val="0"/>
              <w:keepLines w:val="0"/>
              <w:pageBreakBefore w:val="0"/>
              <w:widowControl/>
              <w:kinsoku w:val="0"/>
              <w:wordWrap/>
              <w:overflowPunct/>
              <w:topLinePunct w:val="0"/>
              <w:autoSpaceDE w:val="0"/>
              <w:autoSpaceDN w:val="0"/>
              <w:bidi w:val="0"/>
              <w:adjustRightInd/>
              <w:snapToGrid/>
              <w:spacing w:line="24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税号：</w:t>
            </w:r>
          </w:p>
        </w:tc>
      </w:tr>
    </w:tbl>
    <w:p w14:paraId="3C6E426B">
      <w:pPr>
        <w:shd w:val="clear" w:color="auto" w:fill="FFFFFF"/>
        <w:adjustRightInd w:val="0"/>
        <w:snapToGrid w:val="0"/>
        <w:spacing w:line="240" w:lineRule="auto"/>
        <w:rPr>
          <w:rFonts w:ascii="仿宋" w:hAnsi="仿宋" w:eastAsia="仿宋"/>
          <w:sz w:val="24"/>
          <w:szCs w:val="24"/>
        </w:rPr>
      </w:pPr>
    </w:p>
    <w:p w14:paraId="07617F81">
      <w:pPr>
        <w:keepNext w:val="0"/>
        <w:keepLines w:val="0"/>
        <w:pageBreakBefore w:val="0"/>
        <w:wordWrap/>
        <w:overflowPunct/>
        <w:topLinePunct w:val="0"/>
        <w:autoSpaceDE w:val="0"/>
        <w:autoSpaceDN w:val="0"/>
        <w:bidi w:val="0"/>
        <w:adjustRightInd w:val="0"/>
        <w:spacing w:line="300" w:lineRule="auto"/>
        <w:rPr>
          <w:rFonts w:hint="eastAsia" w:ascii="宋体" w:hAnsi="宋体" w:eastAsia="宋体" w:cs="宋体"/>
        </w:rPr>
      </w:pPr>
    </w:p>
    <w:sectPr>
      <w:pgSz w:w="11905" w:h="16838"/>
      <w:pgMar w:top="1440" w:right="1080" w:bottom="1440" w:left="1080" w:header="851" w:footer="1020" w:gutter="0"/>
      <w:pgBorders>
        <w:top w:val="none" w:sz="0" w:space="0"/>
        <w:left w:val="none" w:sz="0" w:space="0"/>
        <w:bottom w:val="none" w:sz="0" w:space="0"/>
        <w:right w:val="none" w:sz="0" w:space="0"/>
      </w:pgBorders>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5ACE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DB145">
                          <w:pPr>
                            <w:pStyle w:val="10"/>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80DB145">
                    <w:pPr>
                      <w:pStyle w:val="10"/>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426D0">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27AE1">
                          <w:pPr>
                            <w:pStyle w:val="10"/>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9327AE1">
                    <w:pPr>
                      <w:pStyle w:val="10"/>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6FC3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9CF2C">
                          <w:pPr>
                            <w:pStyle w:val="10"/>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119CF2C">
                    <w:pPr>
                      <w:pStyle w:val="10"/>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1A79">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789930" cy="671830"/>
          <wp:effectExtent l="0" t="0" r="1270" b="13970"/>
          <wp:docPr id="2" name="图片 2"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海西常用LOGO=中英文版"/>
                  <pic:cNvPicPr>
                    <a:picLocks noChangeAspect="1"/>
                  </pic:cNvPicPr>
                </pic:nvPicPr>
                <pic:blipFill>
                  <a:blip r:embed="rId1"/>
                  <a:stretch>
                    <a:fillRect/>
                  </a:stretch>
                </pic:blipFill>
                <pic:spPr>
                  <a:xfrm>
                    <a:off x="0" y="0"/>
                    <a:ext cx="5789930" cy="6718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8D194">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F0874">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6">
    <w:nsid w:val="7370642E"/>
    <w:multiLevelType w:val="multilevel"/>
    <w:tmpl w:val="7370642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iNGI2MzhjZDk2YTMxYzBkZDI0OTRmYTEyZDAyYjM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DE5DA6"/>
    <w:rsid w:val="031A62F1"/>
    <w:rsid w:val="063D2047"/>
    <w:rsid w:val="06555C4C"/>
    <w:rsid w:val="06BF6017"/>
    <w:rsid w:val="06DF3FC3"/>
    <w:rsid w:val="082216E1"/>
    <w:rsid w:val="087052F4"/>
    <w:rsid w:val="08E31B8A"/>
    <w:rsid w:val="09CD44CE"/>
    <w:rsid w:val="09D04BEB"/>
    <w:rsid w:val="0B3D3052"/>
    <w:rsid w:val="0BD75BB1"/>
    <w:rsid w:val="0C97306B"/>
    <w:rsid w:val="0C9E047D"/>
    <w:rsid w:val="0D3C1DC3"/>
    <w:rsid w:val="0D6016F8"/>
    <w:rsid w:val="0E0137ED"/>
    <w:rsid w:val="0F184516"/>
    <w:rsid w:val="0F250043"/>
    <w:rsid w:val="0F66217A"/>
    <w:rsid w:val="10F82212"/>
    <w:rsid w:val="12E6250F"/>
    <w:rsid w:val="13C95DDF"/>
    <w:rsid w:val="13DD4624"/>
    <w:rsid w:val="143516C6"/>
    <w:rsid w:val="1441006B"/>
    <w:rsid w:val="144D10FA"/>
    <w:rsid w:val="14B608C1"/>
    <w:rsid w:val="15142E72"/>
    <w:rsid w:val="15BE749A"/>
    <w:rsid w:val="187A6CED"/>
    <w:rsid w:val="19416EE3"/>
    <w:rsid w:val="19E54C84"/>
    <w:rsid w:val="1A2B2E16"/>
    <w:rsid w:val="1A584361"/>
    <w:rsid w:val="1CA53035"/>
    <w:rsid w:val="1CB72E06"/>
    <w:rsid w:val="1CF21C06"/>
    <w:rsid w:val="1D406077"/>
    <w:rsid w:val="1F9B0ADF"/>
    <w:rsid w:val="1F9C44B8"/>
    <w:rsid w:val="1FC00470"/>
    <w:rsid w:val="213B2D65"/>
    <w:rsid w:val="21B93A0F"/>
    <w:rsid w:val="21B97B04"/>
    <w:rsid w:val="22161631"/>
    <w:rsid w:val="22345F2D"/>
    <w:rsid w:val="223760ED"/>
    <w:rsid w:val="229A5157"/>
    <w:rsid w:val="22F1792F"/>
    <w:rsid w:val="23C06ACA"/>
    <w:rsid w:val="23C16AD3"/>
    <w:rsid w:val="23DF21DE"/>
    <w:rsid w:val="24087AE2"/>
    <w:rsid w:val="25AA61E8"/>
    <w:rsid w:val="27906EE4"/>
    <w:rsid w:val="27982C85"/>
    <w:rsid w:val="28413868"/>
    <w:rsid w:val="28845678"/>
    <w:rsid w:val="28872C4F"/>
    <w:rsid w:val="28AB7D51"/>
    <w:rsid w:val="29156767"/>
    <w:rsid w:val="29BA649E"/>
    <w:rsid w:val="29DE5491"/>
    <w:rsid w:val="2A071D31"/>
    <w:rsid w:val="2A267F2C"/>
    <w:rsid w:val="2C01798C"/>
    <w:rsid w:val="2C4404C1"/>
    <w:rsid w:val="2C7C594D"/>
    <w:rsid w:val="2CD14227"/>
    <w:rsid w:val="2EA636D0"/>
    <w:rsid w:val="2F8512FC"/>
    <w:rsid w:val="302A1EA4"/>
    <w:rsid w:val="30943860"/>
    <w:rsid w:val="374B4BD9"/>
    <w:rsid w:val="38557A9F"/>
    <w:rsid w:val="38970585"/>
    <w:rsid w:val="3A4A73CA"/>
    <w:rsid w:val="3C440F6E"/>
    <w:rsid w:val="3DCC7449"/>
    <w:rsid w:val="3DE83A67"/>
    <w:rsid w:val="42BD2F8E"/>
    <w:rsid w:val="435B1499"/>
    <w:rsid w:val="440A6827"/>
    <w:rsid w:val="45976840"/>
    <w:rsid w:val="47100713"/>
    <w:rsid w:val="474C1085"/>
    <w:rsid w:val="474C1DDB"/>
    <w:rsid w:val="47CF038E"/>
    <w:rsid w:val="48B325A9"/>
    <w:rsid w:val="49203109"/>
    <w:rsid w:val="4A7A55DF"/>
    <w:rsid w:val="4ABB39CC"/>
    <w:rsid w:val="4B5E45B8"/>
    <w:rsid w:val="4BF71DFE"/>
    <w:rsid w:val="4C0E5B77"/>
    <w:rsid w:val="4C25253E"/>
    <w:rsid w:val="4CF0110C"/>
    <w:rsid w:val="4D5452E5"/>
    <w:rsid w:val="4DC57782"/>
    <w:rsid w:val="4DF810AC"/>
    <w:rsid w:val="4E772300"/>
    <w:rsid w:val="4FC652ED"/>
    <w:rsid w:val="4FF456D9"/>
    <w:rsid w:val="50054BB6"/>
    <w:rsid w:val="500951DA"/>
    <w:rsid w:val="50390222"/>
    <w:rsid w:val="52E76F40"/>
    <w:rsid w:val="53DA53DB"/>
    <w:rsid w:val="543A1E06"/>
    <w:rsid w:val="55CA11C1"/>
    <w:rsid w:val="5621082A"/>
    <w:rsid w:val="56625644"/>
    <w:rsid w:val="56B90D23"/>
    <w:rsid w:val="58324C4B"/>
    <w:rsid w:val="589F2DDF"/>
    <w:rsid w:val="5A13454B"/>
    <w:rsid w:val="5D2574A1"/>
    <w:rsid w:val="5D294756"/>
    <w:rsid w:val="5DC2080A"/>
    <w:rsid w:val="5F6B1E45"/>
    <w:rsid w:val="5FC078B7"/>
    <w:rsid w:val="5FC357B3"/>
    <w:rsid w:val="62951F99"/>
    <w:rsid w:val="64032E7A"/>
    <w:rsid w:val="646451EA"/>
    <w:rsid w:val="65B23EF2"/>
    <w:rsid w:val="65D57105"/>
    <w:rsid w:val="67FF3F88"/>
    <w:rsid w:val="6905258B"/>
    <w:rsid w:val="696A45A4"/>
    <w:rsid w:val="69AB353C"/>
    <w:rsid w:val="69DF74C2"/>
    <w:rsid w:val="6A6D4009"/>
    <w:rsid w:val="6B9F29DB"/>
    <w:rsid w:val="6C242CBC"/>
    <w:rsid w:val="6C2947E2"/>
    <w:rsid w:val="6C4A4810"/>
    <w:rsid w:val="6CAD0BB5"/>
    <w:rsid w:val="6D9B34BE"/>
    <w:rsid w:val="6DD6696E"/>
    <w:rsid w:val="6E6B7E58"/>
    <w:rsid w:val="70DE50A1"/>
    <w:rsid w:val="70E231B1"/>
    <w:rsid w:val="714F5BD7"/>
    <w:rsid w:val="72A44989"/>
    <w:rsid w:val="72C92B1D"/>
    <w:rsid w:val="72D07765"/>
    <w:rsid w:val="73830C7C"/>
    <w:rsid w:val="738642C8"/>
    <w:rsid w:val="73DA76D3"/>
    <w:rsid w:val="7435205E"/>
    <w:rsid w:val="749C0456"/>
    <w:rsid w:val="750A0CFF"/>
    <w:rsid w:val="77687477"/>
    <w:rsid w:val="778D3071"/>
    <w:rsid w:val="77BA6C36"/>
    <w:rsid w:val="78E77DBC"/>
    <w:rsid w:val="78EE6CAC"/>
    <w:rsid w:val="796E7CD8"/>
    <w:rsid w:val="79D42231"/>
    <w:rsid w:val="79F214BE"/>
    <w:rsid w:val="7A7953A0"/>
    <w:rsid w:val="7AED01B2"/>
    <w:rsid w:val="7B2C1BF9"/>
    <w:rsid w:val="7C603C27"/>
    <w:rsid w:val="7D691CDB"/>
    <w:rsid w:val="7D7D6E7C"/>
    <w:rsid w:val="7EBD3628"/>
    <w:rsid w:val="7F030EC6"/>
    <w:rsid w:val="7FB328E9"/>
    <w:rsid w:val="7FD142C1"/>
    <w:rsid w:val="7FFE3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6"/>
    <w:autoRedefine/>
    <w:qFormat/>
    <w:uiPriority w:val="0"/>
  </w:style>
  <w:style w:type="paragraph" w:styleId="5">
    <w:name w:val="Salutation"/>
    <w:basedOn w:val="1"/>
    <w:next w:val="1"/>
    <w:qFormat/>
    <w:uiPriority w:val="0"/>
    <w:rPr>
      <w:rFonts w:ascii="仿宋_GB2312;仿宋" w:hAnsi="仿宋_GB2312;仿宋" w:eastAsia="仿宋_GB2312;仿宋" w:cs="宋体;SimSun"/>
      <w:sz w:val="24"/>
      <w:lang w:val="zh-CN"/>
    </w:rPr>
  </w:style>
  <w:style w:type="paragraph" w:styleId="6">
    <w:name w:val="Body Text"/>
    <w:basedOn w:val="1"/>
    <w:autoRedefine/>
    <w:qFormat/>
    <w:uiPriority w:val="1"/>
    <w:rPr>
      <w:rFonts w:ascii="宋体" w:hAnsi="宋体" w:eastAsia="宋体" w:cs="宋体"/>
      <w:sz w:val="24"/>
      <w:szCs w:val="24"/>
      <w:lang w:val="zh-CN" w:bidi="zh-CN"/>
    </w:rPr>
  </w:style>
  <w:style w:type="paragraph" w:styleId="7">
    <w:name w:val="Body Text Indent"/>
    <w:basedOn w:val="1"/>
    <w:autoRedefine/>
    <w:qFormat/>
    <w:uiPriority w:val="0"/>
    <w:pPr>
      <w:spacing w:after="120"/>
      <w:ind w:left="420" w:leftChars="200"/>
    </w:pPr>
  </w:style>
  <w:style w:type="paragraph" w:styleId="8">
    <w:name w:val="toc 3"/>
    <w:basedOn w:val="1"/>
    <w:next w:val="1"/>
    <w:autoRedefine/>
    <w:qFormat/>
    <w:uiPriority w:val="39"/>
    <w:pPr>
      <w:ind w:left="840" w:leftChars="400"/>
    </w:pPr>
  </w:style>
  <w:style w:type="paragraph" w:styleId="9">
    <w:name w:val="Body Text Indent 2"/>
    <w:basedOn w:val="1"/>
    <w:qFormat/>
    <w:uiPriority w:val="0"/>
    <w:pPr>
      <w:spacing w:after="120" w:line="480" w:lineRule="auto"/>
      <w:ind w:left="420" w:leftChars="200"/>
    </w:pPr>
  </w:style>
  <w:style w:type="paragraph" w:styleId="10">
    <w:name w:val="footer"/>
    <w:basedOn w:val="1"/>
    <w:autoRedefine/>
    <w:qFormat/>
    <w:uiPriority w:val="0"/>
    <w:pPr>
      <w:tabs>
        <w:tab w:val="center" w:pos="4153"/>
        <w:tab w:val="right" w:pos="8306"/>
      </w:tabs>
    </w:pPr>
    <w:rPr>
      <w:sz w:val="18"/>
    </w:rPr>
  </w:style>
  <w:style w:type="paragraph" w:styleId="11">
    <w:name w:val="header"/>
    <w:basedOn w:val="1"/>
    <w:link w:val="31"/>
    <w:autoRedefine/>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style>
  <w:style w:type="paragraph" w:styleId="13">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4">
    <w:name w:val="annotation subject"/>
    <w:basedOn w:val="4"/>
    <w:next w:val="4"/>
    <w:link w:val="27"/>
    <w:autoRedefine/>
    <w:qFormat/>
    <w:uiPriority w:val="0"/>
    <w:rPr>
      <w:b/>
      <w:bCs/>
    </w:rPr>
  </w:style>
  <w:style w:type="paragraph" w:styleId="15">
    <w:name w:val="Body Text First Indent 2"/>
    <w:basedOn w:val="7"/>
    <w:autoRedefine/>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22"/>
    <w:rPr>
      <w:b/>
      <w:bCs/>
    </w:rPr>
  </w:style>
  <w:style w:type="character" w:styleId="20">
    <w:name w:val="Hyperlink"/>
    <w:basedOn w:val="18"/>
    <w:autoRedefine/>
    <w:unhideWhenUsed/>
    <w:qFormat/>
    <w:uiPriority w:val="99"/>
    <w:rPr>
      <w:color w:val="0563C1" w:themeColor="hyperlink"/>
      <w:u w:val="single"/>
      <w14:textFill>
        <w14:solidFill>
          <w14:schemeClr w14:val="hlink"/>
        </w14:solidFill>
      </w14:textFill>
    </w:rPr>
  </w:style>
  <w:style w:type="character" w:styleId="21">
    <w:name w:val="annotation reference"/>
    <w:basedOn w:val="18"/>
    <w:autoRedefine/>
    <w:qFormat/>
    <w:uiPriority w:val="0"/>
    <w:rPr>
      <w:sz w:val="21"/>
      <w:szCs w:val="21"/>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character" w:customStyle="1" w:styleId="23">
    <w:name w:val="font01"/>
    <w:basedOn w:val="18"/>
    <w:autoRedefine/>
    <w:qFormat/>
    <w:uiPriority w:val="0"/>
    <w:rPr>
      <w:rFonts w:hint="eastAsia" w:ascii="宋体" w:hAnsi="宋体" w:eastAsia="宋体" w:cs="宋体"/>
      <w:color w:val="000000"/>
      <w:sz w:val="24"/>
      <w:szCs w:val="24"/>
      <w:u w:val="none"/>
      <w:vertAlign w:val="superscript"/>
    </w:rPr>
  </w:style>
  <w:style w:type="paragraph" w:customStyle="1" w:styleId="24">
    <w:name w:val="报告正文"/>
    <w:basedOn w:val="1"/>
    <w:autoRedefine/>
    <w:qFormat/>
    <w:uiPriority w:val="99"/>
    <w:pPr>
      <w:spacing w:line="360" w:lineRule="auto"/>
      <w:ind w:firstLine="560" w:firstLineChars="200"/>
    </w:pPr>
    <w:rPr>
      <w:sz w:val="28"/>
      <w:szCs w:val="28"/>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character" w:customStyle="1" w:styleId="26">
    <w:name w:val="批注文字 字符"/>
    <w:basedOn w:val="18"/>
    <w:link w:val="4"/>
    <w:autoRedefine/>
    <w:qFormat/>
    <w:uiPriority w:val="0"/>
    <w:rPr>
      <w:rFonts w:ascii="Arial" w:hAnsi="Arial" w:eastAsia="Arial" w:cs="Arial"/>
      <w:snapToGrid w:val="0"/>
      <w:color w:val="000000"/>
      <w:sz w:val="21"/>
      <w:szCs w:val="21"/>
    </w:rPr>
  </w:style>
  <w:style w:type="character" w:customStyle="1" w:styleId="27">
    <w:name w:val="批注主题 字符"/>
    <w:basedOn w:val="26"/>
    <w:link w:val="14"/>
    <w:autoRedefine/>
    <w:qFormat/>
    <w:uiPriority w:val="0"/>
    <w:rPr>
      <w:rFonts w:ascii="Arial" w:hAnsi="Arial" w:eastAsia="Arial" w:cs="Arial"/>
      <w:b/>
      <w:bCs/>
      <w:snapToGrid w:val="0"/>
      <w:color w:val="000000"/>
      <w:sz w:val="21"/>
      <w:szCs w:val="21"/>
    </w:rPr>
  </w:style>
  <w:style w:type="paragraph" w:styleId="28">
    <w:name w:val="List Paragraph"/>
    <w:basedOn w:val="1"/>
    <w:autoRedefine/>
    <w:qFormat/>
    <w:uiPriority w:val="99"/>
    <w:pPr>
      <w:ind w:firstLine="420" w:firstLineChars="200"/>
    </w:pPr>
  </w:style>
  <w:style w:type="character" w:customStyle="1" w:styleId="29">
    <w:name w:val="标题 1 字符"/>
    <w:basedOn w:val="18"/>
    <w:link w:val="2"/>
    <w:autoRedefine/>
    <w:qFormat/>
    <w:uiPriority w:val="0"/>
    <w:rPr>
      <w:rFonts w:ascii="Arial" w:hAnsi="Arial" w:eastAsia="Arial" w:cs="Arial"/>
      <w:b/>
      <w:bCs/>
      <w:snapToGrid w:val="0"/>
      <w:color w:val="000000"/>
      <w:kern w:val="44"/>
      <w:sz w:val="44"/>
      <w:szCs w:val="44"/>
    </w:rPr>
  </w:style>
  <w:style w:type="paragraph" w:customStyle="1" w:styleId="30">
    <w:name w:val="TOC 标题1"/>
    <w:basedOn w:val="2"/>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1">
    <w:name w:val="页眉 字符"/>
    <w:basedOn w:val="18"/>
    <w:link w:val="11"/>
    <w:autoRedefine/>
    <w:qFormat/>
    <w:uiPriority w:val="0"/>
    <w:rPr>
      <w:rFonts w:ascii="Arial" w:hAnsi="Arial" w:eastAsia="Arial" w:cs="Arial"/>
      <w:snapToGrid w:val="0"/>
      <w:color w:val="000000"/>
      <w:sz w:val="18"/>
      <w:szCs w:val="18"/>
    </w:rPr>
  </w:style>
  <w:style w:type="paragraph" w:customStyle="1" w:styleId="3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标题A"/>
    <w:basedOn w:val="28"/>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8456</Words>
  <Characters>8942</Characters>
  <Lines>28</Lines>
  <Paragraphs>7</Paragraphs>
  <TotalTime>23</TotalTime>
  <ScaleCrop>false</ScaleCrop>
  <LinksUpToDate>false</LinksUpToDate>
  <CharactersWithSpaces>9181</CharactersWithSpaces>
  <Application>WPS Office_12.1.0.19768_F1E327BC-269C-435d-A152-05C5408002CA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WPS_1602149345</cp:lastModifiedBy>
  <cp:lastPrinted>2024-09-09T08:00:00Z</cp:lastPrinted>
  <dcterms:modified xsi:type="dcterms:W3CDTF">2025-01-23T07:44:43Z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2052-12.1.0.19768</vt:lpwstr>
  </property>
  <property fmtid="{D5CDD505-2E9C-101B-9397-08002B2CF9AE}" pid="3" name="ICV">
    <vt:lpwstr>37705626F08648AEAF10B6C53D37669E_13</vt:lpwstr>
  </property>
  <property fmtid="{D5CDD505-2E9C-101B-9397-08002B2CF9AE}" pid="4" name="KSOTemplateDocerSaveRecord">
    <vt:lpwstr>eyJoZGlkIjoiYWNiNGI2MzhjZDk2YTMxYzBkZDI0OTRmYTEyZDAyYjMiLCJ1c2VySWQiOiI2MTQ5NjUzNzQifQ==</vt:lpwstr>
  </property>
</Properties>
</file>