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hint="eastAsia" w:ascii="宋体" w:hAnsi="宋体" w:eastAsia="宋体" w:cs="宋体"/>
        </w:rPr>
      </w:pPr>
      <w:bookmarkStart w:id="0" w:name="_Toc14049"/>
      <w:bookmarkStart w:id="1" w:name="_Toc27807"/>
    </w:p>
    <w:p>
      <w:pPr>
        <w:spacing w:line="278" w:lineRule="auto"/>
        <w:rPr>
          <w:rFonts w:hint="eastAsia" w:ascii="宋体" w:hAnsi="宋体" w:eastAsia="宋体" w:cs="宋体"/>
        </w:rPr>
      </w:pPr>
    </w:p>
    <w:p>
      <w:pPr>
        <w:tabs>
          <w:tab w:val="left" w:pos="5882"/>
        </w:tabs>
        <w:spacing w:before="169" w:line="185" w:lineRule="auto"/>
        <w:ind w:firstLine="1040"/>
        <w:jc w:val="center"/>
        <w:outlineLvl w:val="0"/>
        <w:rPr>
          <w:rFonts w:hint="eastAsia" w:ascii="宋体" w:hAnsi="宋体" w:eastAsia="宋体" w:cs="宋体"/>
          <w:spacing w:val="-3"/>
          <w:sz w:val="52"/>
          <w:szCs w:val="52"/>
        </w:rPr>
      </w:pPr>
      <w:bookmarkStart w:id="2" w:name="_Toc11471"/>
      <w:bookmarkStart w:id="3" w:name="_Toc16784"/>
      <w:r>
        <w:rPr>
          <w:rFonts w:hint="eastAsia" w:ascii="宋体" w:hAnsi="宋体" w:eastAsia="宋体" w:cs="宋体"/>
          <w:color w:val="auto"/>
          <w:sz w:val="52"/>
          <w:szCs w:val="52"/>
          <w:u w:val="single"/>
          <w:lang w:val="en-US" w:eastAsia="zh-CN"/>
        </w:rPr>
        <w:t>员工生日蛋糕券</w:t>
      </w:r>
      <w:r>
        <w:rPr>
          <w:rFonts w:hint="eastAsia" w:ascii="宋体" w:hAnsi="宋体" w:eastAsia="宋体" w:cs="宋体"/>
          <w:spacing w:val="-3"/>
          <w:sz w:val="52"/>
          <w:szCs w:val="52"/>
        </w:rPr>
        <w:t>采购项目</w:t>
      </w:r>
      <w:bookmarkEnd w:id="2"/>
      <w:bookmarkEnd w:id="3"/>
    </w:p>
    <w:p>
      <w:pPr>
        <w:tabs>
          <w:tab w:val="left" w:pos="5882"/>
        </w:tabs>
        <w:spacing w:before="169" w:line="185" w:lineRule="auto"/>
        <w:ind w:firstLine="1040"/>
        <w:jc w:val="center"/>
        <w:outlineLvl w:val="0"/>
        <w:rPr>
          <w:rFonts w:hint="eastAsia" w:ascii="宋体" w:hAnsi="宋体" w:eastAsia="宋体" w:cs="宋体"/>
          <w:spacing w:val="-3"/>
          <w:sz w:val="52"/>
          <w:szCs w:val="52"/>
        </w:rPr>
      </w:pPr>
    </w:p>
    <w:p>
      <w:pPr>
        <w:spacing w:line="248" w:lineRule="auto"/>
        <w:rPr>
          <w:rFonts w:hint="eastAsia" w:ascii="宋体" w:hAnsi="宋体" w:eastAsia="宋体" w:cs="宋体"/>
        </w:rPr>
      </w:pPr>
    </w:p>
    <w:p>
      <w:pPr>
        <w:spacing w:line="248" w:lineRule="auto"/>
        <w:rPr>
          <w:rFonts w:hint="eastAsia" w:ascii="宋体" w:hAnsi="宋体" w:eastAsia="宋体" w:cs="宋体"/>
        </w:rPr>
      </w:pPr>
    </w:p>
    <w:p>
      <w:pPr>
        <w:spacing w:line="248" w:lineRule="auto"/>
        <w:jc w:val="center"/>
        <w:rPr>
          <w:rFonts w:hint="eastAsia" w:ascii="宋体" w:hAnsi="宋体" w:eastAsia="宋体" w:cs="宋体"/>
          <w:lang w:eastAsia="zh-CN"/>
        </w:rPr>
      </w:pPr>
      <w:bookmarkStart w:id="4" w:name="_Toc5886"/>
      <w:r>
        <w:rPr>
          <w:rFonts w:hint="eastAsia" w:ascii="宋体" w:hAnsi="宋体" w:eastAsia="宋体" w:cs="宋体"/>
          <w:spacing w:val="-2"/>
          <w:sz w:val="52"/>
          <w:szCs w:val="52"/>
          <w14:textOutline w14:w="5092" w14:cap="flat" w14:cmpd="sng" w14:algn="ctr">
            <w14:solidFill>
              <w14:srgbClr w14:val="000000"/>
            </w14:solidFill>
            <w14:prstDash w14:val="solid"/>
            <w14:miter w14:val="0"/>
          </w14:textOutline>
        </w:rPr>
        <w:t>招标文件编号</w:t>
      </w:r>
      <w:r>
        <w:rPr>
          <w:rFonts w:hint="eastAsia" w:ascii="宋体" w:hAnsi="宋体" w:eastAsia="宋体" w:cs="宋体"/>
          <w:spacing w:val="-2"/>
          <w:sz w:val="52"/>
          <w:szCs w:val="52"/>
        </w:rPr>
        <w:t>：</w:t>
      </w:r>
      <w:bookmarkEnd w:id="4"/>
      <w:r>
        <w:rPr>
          <w:rFonts w:hint="eastAsia" w:ascii="宋体" w:hAnsi="宋体" w:eastAsia="宋体" w:cs="宋体"/>
          <w:b w:val="0"/>
          <w:bCs w:val="0"/>
          <w:sz w:val="52"/>
          <w:szCs w:val="52"/>
          <w:highlight w:val="none"/>
          <w:lang w:eastAsia="zh-CN"/>
        </w:rPr>
        <w:t>HXZB202</w:t>
      </w:r>
      <w:r>
        <w:rPr>
          <w:rFonts w:hint="eastAsia" w:ascii="宋体" w:hAnsi="宋体" w:eastAsia="宋体" w:cs="宋体"/>
          <w:b w:val="0"/>
          <w:bCs w:val="0"/>
          <w:sz w:val="52"/>
          <w:szCs w:val="52"/>
          <w:highlight w:val="none"/>
          <w:lang w:val="en-US" w:eastAsia="zh-CN"/>
        </w:rPr>
        <w:t>4110101</w:t>
      </w:r>
    </w:p>
    <w:p>
      <w:pPr>
        <w:spacing w:line="248" w:lineRule="auto"/>
        <w:rPr>
          <w:rFonts w:hint="eastAsia" w:ascii="宋体" w:hAnsi="宋体" w:eastAsia="宋体" w:cs="宋体"/>
        </w:rPr>
      </w:pPr>
    </w:p>
    <w:p>
      <w:pPr>
        <w:spacing w:line="248" w:lineRule="auto"/>
        <w:rPr>
          <w:rFonts w:hint="eastAsia" w:ascii="宋体" w:hAnsi="宋体" w:eastAsia="宋体" w:cs="宋体"/>
        </w:rPr>
      </w:pPr>
    </w:p>
    <w:p>
      <w:pPr>
        <w:spacing w:line="249" w:lineRule="auto"/>
        <w:rPr>
          <w:rFonts w:hint="eastAsia" w:ascii="宋体" w:hAnsi="宋体" w:eastAsia="宋体" w:cs="宋体"/>
        </w:rPr>
      </w:pPr>
    </w:p>
    <w:p>
      <w:pPr>
        <w:spacing w:line="249" w:lineRule="auto"/>
        <w:rPr>
          <w:rFonts w:hint="eastAsia" w:ascii="宋体" w:hAnsi="宋体" w:eastAsia="宋体" w:cs="宋体"/>
        </w:rPr>
      </w:pPr>
    </w:p>
    <w:p>
      <w:pPr>
        <w:spacing w:before="274" w:line="185" w:lineRule="auto"/>
        <w:ind w:firstLine="1646"/>
        <w:outlineLvl w:val="0"/>
        <w:rPr>
          <w:rFonts w:hint="eastAsia" w:ascii="宋体" w:hAnsi="宋体" w:eastAsia="宋体" w:cs="宋体"/>
          <w:sz w:val="84"/>
          <w:szCs w:val="84"/>
        </w:rPr>
      </w:pPr>
      <w:bookmarkStart w:id="5" w:name="_Toc7773"/>
      <w:bookmarkStart w:id="6" w:name="_Toc13557"/>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招</w:t>
      </w:r>
      <w:r>
        <w:rPr>
          <w:rFonts w:hint="eastAsia" w:ascii="宋体" w:hAnsi="宋体" w:eastAsia="宋体" w:cs="宋体"/>
          <w:spacing w:val="21"/>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标</w:t>
      </w:r>
      <w:r>
        <w:rPr>
          <w:rFonts w:hint="eastAsia" w:ascii="宋体" w:hAnsi="宋体" w:eastAsia="宋体" w:cs="宋体"/>
          <w:spacing w:val="24"/>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文</w:t>
      </w:r>
      <w:r>
        <w:rPr>
          <w:rFonts w:hint="eastAsia" w:ascii="宋体" w:hAnsi="宋体" w:eastAsia="宋体" w:cs="宋体"/>
          <w:spacing w:val="18"/>
          <w:sz w:val="84"/>
          <w:szCs w:val="84"/>
        </w:rPr>
        <w:t xml:space="preserve">  </w:t>
      </w:r>
      <w:r>
        <w:rPr>
          <w:rFonts w:hint="eastAsia" w:ascii="宋体" w:hAnsi="宋体" w:eastAsia="宋体" w:cs="宋体"/>
          <w:spacing w:val="-28"/>
          <w:sz w:val="84"/>
          <w:szCs w:val="84"/>
          <w14:textOutline w14:w="15240" w14:cap="flat" w14:cmpd="sng" w14:algn="ctr">
            <w14:solidFill>
              <w14:srgbClr w14:val="000000"/>
            </w14:solidFill>
            <w14:prstDash w14:val="solid"/>
            <w14:miter w14:val="0"/>
          </w14:textOutline>
        </w:rPr>
        <w:t>件</w:t>
      </w:r>
      <w:bookmarkEnd w:id="5"/>
      <w:bookmarkEnd w:id="6"/>
    </w:p>
    <w:p>
      <w:pPr>
        <w:spacing w:line="252" w:lineRule="auto"/>
        <w:rPr>
          <w:rFonts w:hint="eastAsia" w:ascii="宋体" w:hAnsi="宋体" w:eastAsia="宋体" w:cs="宋体"/>
        </w:rPr>
      </w:pPr>
    </w:p>
    <w:p>
      <w:pPr>
        <w:spacing w:line="252" w:lineRule="auto"/>
        <w:rPr>
          <w:rFonts w:hint="eastAsia" w:ascii="宋体" w:hAnsi="宋体" w:eastAsia="宋体" w:cs="宋体"/>
        </w:rPr>
      </w:pPr>
    </w:p>
    <w:p>
      <w:pPr>
        <w:spacing w:line="252" w:lineRule="auto"/>
        <w:rPr>
          <w:rFonts w:hint="eastAsia" w:ascii="宋体" w:hAnsi="宋体" w:eastAsia="宋体" w:cs="宋体"/>
        </w:rPr>
      </w:pPr>
    </w:p>
    <w:p>
      <w:pPr>
        <w:spacing w:line="252" w:lineRule="auto"/>
        <w:rPr>
          <w:rFonts w:hint="eastAsia" w:ascii="宋体" w:hAnsi="宋体" w:eastAsia="宋体" w:cs="宋体"/>
        </w:rPr>
      </w:pPr>
    </w:p>
    <w:p>
      <w:pPr>
        <w:spacing w:line="253" w:lineRule="auto"/>
        <w:rPr>
          <w:rFonts w:hint="eastAsia" w:ascii="宋体" w:hAnsi="宋体" w:eastAsia="宋体" w:cs="宋体"/>
        </w:rPr>
      </w:pPr>
    </w:p>
    <w:p>
      <w:pPr>
        <w:spacing w:line="253" w:lineRule="auto"/>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pStyle w:val="2"/>
        <w:rPr>
          <w:rFonts w:hint="eastAsia" w:ascii="宋体" w:hAnsi="宋体" w:eastAsia="宋体" w:cs="宋体"/>
        </w:rPr>
      </w:pPr>
    </w:p>
    <w:p>
      <w:pPr>
        <w:spacing w:line="253" w:lineRule="auto"/>
        <w:rPr>
          <w:rFonts w:hint="eastAsia" w:ascii="宋体" w:hAnsi="宋体" w:eastAsia="宋体" w:cs="宋体"/>
        </w:rPr>
      </w:pPr>
    </w:p>
    <w:p>
      <w:pPr>
        <w:spacing w:line="253" w:lineRule="auto"/>
        <w:rPr>
          <w:rFonts w:hint="eastAsia" w:ascii="宋体" w:hAnsi="宋体" w:eastAsia="宋体" w:cs="宋体"/>
        </w:rPr>
      </w:pPr>
    </w:p>
    <w:p>
      <w:pPr>
        <w:spacing w:before="104" w:line="188" w:lineRule="auto"/>
        <w:rPr>
          <w:rFonts w:hint="eastAsia" w:ascii="宋体" w:hAnsi="宋体" w:eastAsia="宋体" w:cs="宋体"/>
          <w:spacing w:val="-18"/>
          <w:sz w:val="32"/>
          <w:szCs w:val="32"/>
        </w:rPr>
      </w:pPr>
    </w:p>
    <w:p>
      <w:pPr>
        <w:spacing w:before="104" w:line="188" w:lineRule="auto"/>
        <w:jc w:val="center"/>
        <w:outlineLvl w:val="0"/>
        <w:rPr>
          <w:rFonts w:hint="eastAsia" w:ascii="宋体" w:hAnsi="宋体" w:eastAsia="宋体" w:cs="宋体"/>
          <w:sz w:val="32"/>
          <w:szCs w:val="32"/>
        </w:rPr>
      </w:pPr>
      <w:bookmarkStart w:id="7" w:name="_Toc28706"/>
      <w:bookmarkStart w:id="8" w:name="_Toc12968"/>
      <w:r>
        <w:rPr>
          <w:rFonts w:hint="eastAsia" w:ascii="宋体" w:hAnsi="宋体" w:eastAsia="宋体" w:cs="宋体"/>
          <w:sz w:val="32"/>
          <w:szCs w:val="32"/>
        </w:rPr>
        <w:t>招标人：中国机械总院集团海西（福建）分院有限公司</w:t>
      </w:r>
      <w:bookmarkEnd w:id="7"/>
      <w:bookmarkEnd w:id="8"/>
    </w:p>
    <w:p>
      <w:pPr>
        <w:spacing w:line="409" w:lineRule="auto"/>
        <w:rPr>
          <w:rFonts w:hint="eastAsia" w:ascii="宋体" w:hAnsi="宋体" w:eastAsia="宋体" w:cs="宋体"/>
        </w:rPr>
      </w:pPr>
    </w:p>
    <w:p>
      <w:pPr>
        <w:spacing w:before="104" w:line="188" w:lineRule="auto"/>
        <w:jc w:val="center"/>
        <w:outlineLvl w:val="0"/>
        <w:rPr>
          <w:rFonts w:hint="default" w:ascii="宋体" w:hAnsi="宋体" w:eastAsia="宋体" w:cs="宋体"/>
          <w:sz w:val="24"/>
          <w:szCs w:val="24"/>
          <w:lang w:val="en-US"/>
        </w:rPr>
        <w:sectPr>
          <w:headerReference r:id="rId3" w:type="default"/>
          <w:footerReference r:id="rId4" w:type="default"/>
          <w:pgSz w:w="11907" w:h="16839"/>
          <w:pgMar w:top="1432" w:right="1389" w:bottom="1201" w:left="1389" w:header="852" w:footer="1021" w:gutter="0"/>
          <w:pgNumType w:fmt="decimal"/>
          <w:cols w:space="720" w:num="1"/>
        </w:sectPr>
      </w:pPr>
      <w:bookmarkStart w:id="9" w:name="_Toc24157"/>
      <w:bookmarkStart w:id="10" w:name="_Toc18293"/>
      <w:r>
        <w:rPr>
          <w:rFonts w:hint="eastAsia" w:ascii="宋体" w:hAnsi="宋体" w:eastAsia="宋体" w:cs="宋体"/>
          <w:color w:val="auto"/>
          <w:sz w:val="32"/>
          <w:szCs w:val="32"/>
          <w:lang w:val="en-US" w:eastAsia="zh-CN"/>
        </w:rPr>
        <w:t>2024</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11</w:t>
      </w:r>
      <w:r>
        <w:rPr>
          <w:rFonts w:hint="eastAsia" w:ascii="宋体" w:hAnsi="宋体" w:eastAsia="宋体" w:cs="宋体"/>
          <w:color w:val="auto"/>
          <w:sz w:val="32"/>
          <w:szCs w:val="32"/>
        </w:rPr>
        <w:t>月</w:t>
      </w:r>
      <w:bookmarkEnd w:id="9"/>
      <w:r>
        <w:rPr>
          <w:rFonts w:hint="eastAsia" w:ascii="宋体" w:hAnsi="宋体" w:eastAsia="宋体" w:cs="宋体"/>
          <w:color w:val="auto"/>
          <w:sz w:val="32"/>
          <w:szCs w:val="32"/>
          <w:lang w:val="en-US" w:eastAsia="zh-CN"/>
        </w:rPr>
        <w:t>01日</w:t>
      </w:r>
      <w:bookmarkEnd w:id="10"/>
    </w:p>
    <w:sdt>
      <w:sdtPr>
        <w:rPr>
          <w:rFonts w:hint="eastAsia" w:ascii="宋体" w:hAnsi="宋体" w:eastAsia="宋体" w:cs="宋体"/>
          <w:b/>
          <w:bCs/>
          <w:snapToGrid w:val="0"/>
          <w:color w:val="000000"/>
          <w:sz w:val="28"/>
          <w:szCs w:val="28"/>
          <w:lang w:val="en-US" w:eastAsia="zh-CN" w:bidi="ar-SA"/>
        </w:rPr>
        <w:id w:val="147455576"/>
        <w15:color w:val="DBDBDB"/>
        <w:docPartObj>
          <w:docPartGallery w:val="Table of Contents"/>
          <w:docPartUnique/>
        </w:docPartObj>
      </w:sdtPr>
      <w:sdtEndPr>
        <w:rPr>
          <w:rFonts w:hint="eastAsia" w:ascii="宋体" w:hAnsi="宋体" w:eastAsia="宋体" w:cs="宋体"/>
          <w:b/>
          <w:bCs/>
          <w:snapToGrid w:val="0"/>
          <w:color w:val="000000"/>
          <w:sz w:val="28"/>
          <w:szCs w:val="2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sz w:val="28"/>
              <w:szCs w:val="28"/>
            </w:rPr>
          </w:pPr>
          <w:r>
            <w:rPr>
              <w:rFonts w:hint="eastAsia" w:ascii="宋体" w:hAnsi="宋体" w:eastAsia="宋体" w:cs="宋体"/>
              <w:b/>
              <w:bCs/>
              <w:sz w:val="28"/>
              <w:szCs w:val="28"/>
            </w:rPr>
            <w:t>目录</w:t>
          </w:r>
        </w:p>
        <w:p>
          <w:pPr>
            <w:pStyle w:val="13"/>
            <w:tabs>
              <w:tab w:val="right" w:leader="dot" w:pos="9183"/>
            </w:tabs>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TOC \o "1-1" \h \u </w:instrText>
          </w:r>
          <w:r>
            <w:rPr>
              <w:rFonts w:hint="eastAsia" w:ascii="宋体" w:hAnsi="宋体" w:eastAsia="宋体" w:cs="宋体"/>
              <w:sz w:val="28"/>
              <w:szCs w:val="28"/>
            </w:rPr>
            <w:fldChar w:fldCharType="separate"/>
          </w:r>
        </w:p>
        <w:p>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_Toc23495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_Toc23495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_Toc25726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24"/>
              <w:szCs w:val="24"/>
              <w14:textOutline w14:w="6527" w14:cap="flat" w14:cmpd="sng" w14:algn="ctr">
                <w14:solidFill>
                  <w14:srgbClr w14:val="000000"/>
                </w14:solidFill>
                <w14:prstDash w14:val="solid"/>
                <w14:miter w14:val="0"/>
              </w14:textOutline>
            </w:rPr>
            <w:t>投标人须知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_Toc25726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_Toc14207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三、评标办法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_Toc14207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_Toc14784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四、综合评标评分标准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_Toc14784 \h </w:instrText>
          </w:r>
          <w:r>
            <w:rPr>
              <w:rFonts w:hint="eastAsia" w:ascii="宋体" w:hAnsi="宋体" w:eastAsia="宋体" w:cs="宋体"/>
              <w:sz w:val="24"/>
              <w:szCs w:val="24"/>
            </w:rPr>
            <w:fldChar w:fldCharType="separate"/>
          </w:r>
          <w:r>
            <w:rPr>
              <w:rFonts w:hint="eastAsia" w:ascii="宋体" w:hAnsi="宋体" w:eastAsia="宋体" w:cs="宋体"/>
              <w:sz w:val="24"/>
              <w:szCs w:val="24"/>
            </w:rPr>
            <w:t>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183"/>
            </w:tabs>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_Toc7216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五、技术要求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_Toc7216 \h </w:instrText>
          </w:r>
          <w:r>
            <w:rPr>
              <w:rFonts w:hint="eastAsia" w:ascii="宋体" w:hAnsi="宋体" w:eastAsia="宋体" w:cs="宋体"/>
              <w:sz w:val="24"/>
              <w:szCs w:val="24"/>
            </w:rPr>
            <w:fldChar w:fldCharType="separate"/>
          </w:r>
          <w:r>
            <w:rPr>
              <w:rFonts w:hint="eastAsia" w:ascii="宋体" w:hAnsi="宋体" w:eastAsia="宋体" w:cs="宋体"/>
              <w:sz w:val="24"/>
              <w:szCs w:val="24"/>
            </w:rPr>
            <w:t>10</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pStyle w:val="13"/>
            <w:tabs>
              <w:tab w:val="right" w:leader="dot" w:pos="9183"/>
            </w:tabs>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_Toc30455 </w:instrText>
          </w:r>
          <w:r>
            <w:rPr>
              <w:rFonts w:hint="eastAsia" w:ascii="宋体" w:hAnsi="宋体" w:eastAsia="宋体" w:cs="宋体"/>
              <w:sz w:val="24"/>
              <w:szCs w:val="24"/>
            </w:rPr>
            <w:fldChar w:fldCharType="separate"/>
          </w:r>
          <w:r>
            <w:rPr>
              <w:rFonts w:hint="eastAsia" w:ascii="宋体" w:hAnsi="宋体" w:eastAsia="宋体" w:cs="宋体"/>
              <w:spacing w:val="-3"/>
              <w:sz w:val="24"/>
              <w:szCs w:val="24"/>
              <w:lang w:val="en-US" w:eastAsia="zh-CN"/>
              <w14:textOutline w14:w="6527" w14:cap="flat" w14:cmpd="sng" w14:algn="ctr">
                <w14:solidFill>
                  <w14:srgbClr w14:val="000000"/>
                </w14:solidFill>
                <w14:prstDash w14:val="solid"/>
                <w14:miter w14:val="0"/>
              </w14:textOutline>
            </w:rPr>
            <w:t>六、采购合同（模版）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_Toc30455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pPr>
            <w:spacing w:before="240" w:beforeLines="100" w:after="120" w:afterLines="50" w:line="360" w:lineRule="auto"/>
            <w:jc w:val="both"/>
            <w:outlineLvl w:val="0"/>
            <w:rPr>
              <w:rFonts w:hint="eastAsia" w:ascii="宋体" w:hAnsi="宋体" w:eastAsia="宋体" w:cs="宋体"/>
              <w:b/>
              <w:bCs/>
              <w:snapToGrid w:val="0"/>
              <w:color w:val="000000"/>
              <w:sz w:val="28"/>
              <w:szCs w:val="28"/>
              <w:lang w:val="en-US" w:eastAsia="zh-CN" w:bidi="ar-SA"/>
            </w:rPr>
          </w:pPr>
          <w:r>
            <w:rPr>
              <w:rFonts w:hint="eastAsia" w:ascii="宋体" w:hAnsi="宋体" w:eastAsia="宋体" w:cs="宋体"/>
              <w:szCs w:val="28"/>
            </w:rPr>
            <w:fldChar w:fldCharType="end"/>
          </w:r>
        </w:p>
      </w:sdtContent>
    </w:sdt>
    <w:p>
      <w:pPr>
        <w:pStyle w:val="2"/>
        <w:rPr>
          <w:rFonts w:hint="eastAsia"/>
          <w:lang w:val="en-US" w:eastAsia="zh-CN"/>
        </w:rPr>
        <w:sectPr>
          <w:headerReference r:id="rId5" w:type="default"/>
          <w:footerReference r:id="rId6" w:type="default"/>
          <w:pgSz w:w="11907" w:h="16839"/>
          <w:pgMar w:top="1432" w:right="1335" w:bottom="1201" w:left="1389" w:header="852" w:footer="1021" w:gutter="0"/>
          <w:pgNumType w:fmt="decimal"/>
          <w:cols w:space="720" w:num="1"/>
        </w:sectPr>
      </w:pPr>
    </w:p>
    <w:p>
      <w:pPr>
        <w:spacing w:before="240" w:beforeLines="100" w:after="120" w:afterLines="50" w:line="360" w:lineRule="auto"/>
        <w:jc w:val="center"/>
        <w:outlineLvl w:val="0"/>
        <w:rPr>
          <w:rFonts w:hint="eastAsia" w:ascii="宋体" w:hAnsi="宋体" w:eastAsia="宋体" w:cs="宋体"/>
          <w:sz w:val="36"/>
          <w:szCs w:val="36"/>
        </w:rPr>
      </w:pPr>
      <w:bookmarkStart w:id="11" w:name="_Toc23495"/>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一、</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投标邀请书</w:t>
      </w:r>
      <w:bookmarkEnd w:id="0"/>
      <w:bookmarkEnd w:id="1"/>
      <w:bookmarkEnd w:id="11"/>
    </w:p>
    <w:p>
      <w:pPr>
        <w:tabs>
          <w:tab w:val="left" w:pos="2648"/>
        </w:tabs>
        <w:spacing w:line="360" w:lineRule="auto"/>
        <w:rPr>
          <w:rFonts w:hint="eastAsia" w:ascii="宋体" w:hAnsi="宋体" w:eastAsia="宋体" w:cs="宋体"/>
          <w:sz w:val="24"/>
          <w:szCs w:val="24"/>
        </w:rPr>
      </w:pPr>
      <w:bookmarkStart w:id="12" w:name="_Hlk121147898"/>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招标人中国机械总院集团海西（福建）分院有限公司根据生产所需，现决定通过邀请招标方式采购招标编号：</w:t>
      </w:r>
      <w:r>
        <w:rPr>
          <w:rFonts w:hint="eastAsia" w:ascii="宋体" w:hAnsi="宋体" w:eastAsia="宋体" w:cs="宋体"/>
          <w:sz w:val="24"/>
          <w:szCs w:val="24"/>
          <w:u w:val="single"/>
        </w:rPr>
        <w:t xml:space="preserve"> </w:t>
      </w:r>
      <w:r>
        <w:rPr>
          <w:rFonts w:hint="eastAsia" w:ascii="宋体" w:hAnsi="宋体" w:eastAsia="宋体" w:cs="宋体"/>
          <w:b w:val="0"/>
          <w:bCs w:val="0"/>
          <w:sz w:val="28"/>
          <w:szCs w:val="28"/>
          <w:highlight w:val="none"/>
          <w:u w:val="single"/>
        </w:rPr>
        <w:t>HXZB2024110101</w:t>
      </w:r>
      <w:r>
        <w:rPr>
          <w:rFonts w:hint="eastAsia" w:ascii="宋体" w:hAnsi="宋体" w:eastAsia="宋体" w:cs="宋体"/>
          <w:spacing w:val="-2"/>
          <w:sz w:val="28"/>
          <w:szCs w:val="28"/>
          <w:u w:val="single"/>
        </w:rPr>
        <w:t xml:space="preserve"> </w:t>
      </w:r>
      <w:r>
        <w:rPr>
          <w:rFonts w:hint="eastAsia" w:ascii="宋体" w:hAnsi="宋体" w:eastAsia="宋体" w:cs="宋体"/>
          <w:sz w:val="24"/>
          <w:szCs w:val="24"/>
        </w:rPr>
        <w:t xml:space="preserve"> ，项目名称：</w:t>
      </w:r>
      <w:r>
        <w:rPr>
          <w:rFonts w:hint="eastAsia" w:ascii="宋体" w:hAnsi="宋体" w:eastAsia="宋体" w:cs="宋体"/>
          <w:sz w:val="24"/>
          <w:szCs w:val="24"/>
          <w:u w:val="single"/>
        </w:rPr>
        <w:t xml:space="preserve"> </w:t>
      </w:r>
      <w:r>
        <w:rPr>
          <w:rFonts w:hint="eastAsia" w:ascii="宋体" w:hAnsi="宋体" w:eastAsia="宋体" w:cs="宋体"/>
          <w:color w:val="auto"/>
          <w:sz w:val="24"/>
          <w:szCs w:val="24"/>
          <w:u w:val="single"/>
          <w:lang w:val="en-US" w:eastAsia="zh-CN"/>
        </w:rPr>
        <w:t xml:space="preserve"> 员工生日蛋糕券采购项目 </w:t>
      </w:r>
      <w:r>
        <w:rPr>
          <w:rFonts w:hint="eastAsia" w:ascii="宋体" w:hAnsi="宋体" w:eastAsia="宋体" w:cs="宋体"/>
          <w:sz w:val="24"/>
          <w:szCs w:val="24"/>
          <w:u w:val="single"/>
        </w:rPr>
        <w:t xml:space="preserve"> </w:t>
      </w:r>
      <w:r>
        <w:rPr>
          <w:rFonts w:hint="eastAsia" w:ascii="宋体" w:hAnsi="宋体" w:eastAsia="宋体" w:cs="宋体"/>
          <w:sz w:val="24"/>
          <w:szCs w:val="24"/>
        </w:rPr>
        <w:t>。经过对多个单位的初步资格审查，贵单位被</w:t>
      </w:r>
      <w:bookmarkEnd w:id="12"/>
      <w:r>
        <w:rPr>
          <w:rFonts w:hint="eastAsia" w:ascii="宋体" w:hAnsi="宋体" w:eastAsia="宋体" w:cs="宋体"/>
          <w:sz w:val="24"/>
          <w:szCs w:val="24"/>
        </w:rPr>
        <w:t>选为具有承担提供该采购项目能力的被邀请单位之一，特致函邀请贵单位参加该采购项目的投标活动。我们将通过邀请招标方式，最后确定中标单位。</w:t>
      </w:r>
    </w:p>
    <w:p>
      <w:pPr>
        <w:pStyle w:val="27"/>
        <w:numPr>
          <w:ilvl w:val="0"/>
          <w:numId w:val="1"/>
        </w:numPr>
        <w:kinsoku/>
        <w:spacing w:line="360" w:lineRule="auto"/>
        <w:ind w:left="0" w:firstLine="480"/>
        <w:outlineLvl w:val="0"/>
        <w:rPr>
          <w:rFonts w:hint="eastAsia" w:ascii="宋体" w:hAnsi="宋体" w:eastAsia="宋体" w:cs="宋体"/>
          <w:sz w:val="24"/>
          <w:szCs w:val="24"/>
        </w:rPr>
      </w:pPr>
      <w:bookmarkStart w:id="13" w:name="_Toc30525"/>
      <w:bookmarkStart w:id="14" w:name="_Toc30218"/>
      <w:bookmarkStart w:id="15" w:name="_Toc23627"/>
      <w:bookmarkStart w:id="16" w:name="_Toc3942"/>
      <w:bookmarkStart w:id="17" w:name="_Toc13304"/>
      <w:bookmarkStart w:id="18" w:name="_Toc3520"/>
      <w:r>
        <w:rPr>
          <w:rFonts w:hint="eastAsia" w:ascii="宋体" w:hAnsi="宋体" w:eastAsia="宋体" w:cs="宋体"/>
          <w:sz w:val="24"/>
          <w:szCs w:val="24"/>
        </w:rPr>
        <w:t>招标内容、型号规格（见下表）</w:t>
      </w:r>
      <w:bookmarkEnd w:id="13"/>
      <w:bookmarkEnd w:id="14"/>
      <w:bookmarkEnd w:id="15"/>
      <w:bookmarkEnd w:id="16"/>
      <w:bookmarkEnd w:id="17"/>
      <w:bookmarkEnd w:id="18"/>
    </w:p>
    <w:tbl>
      <w:tblPr>
        <w:tblStyle w:val="21"/>
        <w:tblpPr w:leftFromText="180" w:rightFromText="180" w:vertAnchor="text" w:horzAnchor="margin" w:tblpXSpec="center" w:tblpY="75"/>
        <w:tblOverlap w:val="never"/>
        <w:tblW w:w="1037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58"/>
        <w:gridCol w:w="1540"/>
        <w:gridCol w:w="1388"/>
        <w:gridCol w:w="2400"/>
        <w:gridCol w:w="748"/>
        <w:gridCol w:w="936"/>
        <w:gridCol w:w="1404"/>
        <w:gridCol w:w="1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jc w:val="center"/>
        </w:trPr>
        <w:tc>
          <w:tcPr>
            <w:tcW w:w="758"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540"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原料名称</w:t>
            </w:r>
          </w:p>
        </w:tc>
        <w:tc>
          <w:tcPr>
            <w:tcW w:w="1388" w:type="dxa"/>
            <w:tcBorders>
              <w:righ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型号规格</w:t>
            </w:r>
          </w:p>
        </w:tc>
        <w:tc>
          <w:tcPr>
            <w:tcW w:w="2400" w:type="dxa"/>
            <w:tcBorders>
              <w:lef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技术要求</w:t>
            </w:r>
          </w:p>
        </w:tc>
        <w:tc>
          <w:tcPr>
            <w:tcW w:w="748" w:type="dxa"/>
            <w:tcBorders>
              <w:left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936"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140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交货期</w:t>
            </w:r>
          </w:p>
        </w:tc>
        <w:tc>
          <w:tcPr>
            <w:tcW w:w="1203" w:type="dxa"/>
            <w:vAlign w:val="center"/>
          </w:tcPr>
          <w:p>
            <w:pPr>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1" w:hRule="atLeast"/>
          <w:jc w:val="center"/>
        </w:trPr>
        <w:tc>
          <w:tcPr>
            <w:tcW w:w="758" w:type="dxa"/>
            <w:vAlign w:val="center"/>
          </w:tcPr>
          <w:p>
            <w:pPr>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540" w:type="dxa"/>
            <w:vAlign w:val="center"/>
          </w:tcPr>
          <w:p>
            <w:pPr>
              <w:jc w:val="both"/>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员工生日蛋糕券</w:t>
            </w:r>
          </w:p>
        </w:tc>
        <w:tc>
          <w:tcPr>
            <w:tcW w:w="1388" w:type="dxa"/>
            <w:tcBorders>
              <w:right w:val="single" w:color="auto" w:sz="4" w:space="0"/>
            </w:tcBorders>
            <w:vAlign w:val="center"/>
          </w:tcPr>
          <w:p>
            <w:pPr>
              <w:pStyle w:val="2"/>
              <w:ind w:left="0" w:leftChars="0" w:firstLine="0" w:firstLineChars="0"/>
              <w:rPr>
                <w:rFonts w:hint="default"/>
                <w:lang w:val="en-US" w:eastAsia="zh-CN"/>
              </w:rPr>
            </w:pPr>
            <w:r>
              <w:rPr>
                <w:rFonts w:hint="eastAsia" w:ascii="宋体" w:hAnsi="宋体" w:eastAsia="宋体" w:cs="宋体"/>
                <w:snapToGrid w:val="0"/>
                <w:color w:val="000000"/>
                <w:sz w:val="24"/>
                <w:szCs w:val="24"/>
                <w:lang w:val="en-US" w:eastAsia="zh-CN" w:bidi="ar-SA"/>
              </w:rPr>
              <w:t>300元/人</w:t>
            </w:r>
          </w:p>
        </w:tc>
        <w:tc>
          <w:tcPr>
            <w:tcW w:w="2400" w:type="dxa"/>
            <w:tcBorders>
              <w:left w:val="single" w:color="auto" w:sz="4" w:space="0"/>
            </w:tcBorders>
            <w:vAlign w:val="center"/>
          </w:tcPr>
          <w:p>
            <w:pPr>
              <w:jc w:val="both"/>
              <w:rPr>
                <w:rFonts w:hint="eastAsia" w:ascii="宋体" w:hAnsi="宋体" w:eastAsia="宋体" w:cs="宋体"/>
                <w:sz w:val="24"/>
                <w:szCs w:val="24"/>
                <w:lang w:val="en-US" w:eastAsia="zh-CN"/>
              </w:rPr>
            </w:pPr>
            <w:r>
              <w:rPr>
                <w:rFonts w:hint="eastAsia" w:ascii="宋体" w:hAnsi="宋体" w:eastAsia="宋体" w:cs="宋体"/>
                <w:snapToGrid w:val="0"/>
                <w:color w:val="000000"/>
                <w:sz w:val="24"/>
                <w:szCs w:val="24"/>
                <w:lang w:val="en-US" w:eastAsia="zh-CN" w:bidi="ar-SA"/>
              </w:rPr>
              <w:t>产品原材料应为100%天然奶油，不含反式脂肪酸，不添加香精、色素等</w:t>
            </w:r>
          </w:p>
        </w:tc>
        <w:tc>
          <w:tcPr>
            <w:tcW w:w="748" w:type="dxa"/>
            <w:tcBorders>
              <w:left w:val="single" w:color="auto" w:sz="4" w:space="0"/>
            </w:tcBorders>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份</w:t>
            </w:r>
          </w:p>
        </w:tc>
        <w:tc>
          <w:tcPr>
            <w:tcW w:w="936"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240（暂定，以实际订单为准）</w:t>
            </w:r>
          </w:p>
        </w:tc>
        <w:tc>
          <w:tcPr>
            <w:tcW w:w="1404" w:type="dxa"/>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按实际订单为准</w:t>
            </w:r>
          </w:p>
        </w:tc>
        <w:tc>
          <w:tcPr>
            <w:tcW w:w="1203" w:type="dxa"/>
            <w:vAlign w:val="center"/>
          </w:tcPr>
          <w:p>
            <w:pPr>
              <w:jc w:val="center"/>
              <w:rPr>
                <w:rFonts w:hint="default" w:ascii="宋体" w:hAnsi="宋体" w:eastAsia="宋体" w:cs="宋体"/>
                <w:sz w:val="24"/>
                <w:szCs w:val="24"/>
                <w:lang w:val="en-US" w:eastAsia="zh-CN"/>
              </w:rPr>
            </w:pPr>
          </w:p>
        </w:tc>
      </w:tr>
    </w:tbl>
    <w:p>
      <w:pPr>
        <w:spacing w:before="120"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lang w:eastAsia="zh-CN"/>
        </w:rPr>
        <w:t>（</w:t>
      </w:r>
      <w:r>
        <w:rPr>
          <w:rFonts w:hint="eastAsia" w:ascii="宋体" w:hAnsi="宋体" w:eastAsia="宋体" w:cs="宋体"/>
          <w:sz w:val="24"/>
          <w:szCs w:val="24"/>
        </w:rPr>
        <w:t>具体相关信息如技术参数、规格、质量标准、包装、运输费等要求请与我单位相关人员联系，联系人：</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lang w:val="en-US" w:eastAsia="zh-CN"/>
        </w:rPr>
        <w:t>黄先生</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highlight w:val="none"/>
          <w:u w:val="single"/>
          <w:lang w:val="en-US" w:eastAsia="zh-CN"/>
        </w:rPr>
        <w:t>18381090125</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sz w:val="24"/>
          <w:szCs w:val="24"/>
        </w:rPr>
        <w:t>交货地</w:t>
      </w:r>
      <w:r>
        <w:rPr>
          <w:rFonts w:hint="eastAsia" w:ascii="宋体" w:hAnsi="宋体" w:eastAsia="宋体" w:cs="宋体"/>
          <w:color w:val="auto"/>
          <w:sz w:val="24"/>
          <w:szCs w:val="24"/>
        </w:rPr>
        <w:t>点：中国机械总院集团海西（福建）分院有限公司指定地点。</w:t>
      </w:r>
    </w:p>
    <w:p>
      <w:pPr>
        <w:pStyle w:val="27"/>
        <w:numPr>
          <w:ilvl w:val="0"/>
          <w:numId w:val="1"/>
        </w:numPr>
        <w:kinsoku/>
        <w:spacing w:line="360" w:lineRule="auto"/>
        <w:ind w:left="0" w:firstLine="480"/>
        <w:rPr>
          <w:rFonts w:hint="eastAsia" w:ascii="宋体" w:hAnsi="宋体" w:eastAsia="宋体" w:cs="宋体"/>
          <w:color w:val="auto"/>
          <w:sz w:val="24"/>
          <w:szCs w:val="24"/>
        </w:rPr>
      </w:pPr>
      <w:bookmarkStart w:id="19" w:name="_Toc5828"/>
      <w:r>
        <w:rPr>
          <w:rFonts w:hint="eastAsia" w:ascii="宋体" w:hAnsi="宋体" w:eastAsia="宋体" w:cs="宋体"/>
          <w:color w:val="auto"/>
          <w:sz w:val="24"/>
          <w:szCs w:val="24"/>
        </w:rPr>
        <w:t>投标截止时间：</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bookmarkEnd w:id="19"/>
    </w:p>
    <w:p>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投标文件的递交：拟参加本次投标的单位请于投标截止时间之前，将密封并加盖公章的文件袋，用特快专递方式邮寄到我单位（投标文件正本一份，副本四份），原则上不接受当面递送。</w:t>
      </w:r>
    </w:p>
    <w:p>
      <w:pPr>
        <w:pStyle w:val="27"/>
        <w:numPr>
          <w:ilvl w:val="0"/>
          <w:numId w:val="1"/>
        </w:numPr>
        <w:kinsoku/>
        <w:spacing w:line="360" w:lineRule="auto"/>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开标时间</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 xml:space="preserve"> </w:t>
      </w:r>
    </w:p>
    <w:p>
      <w:pPr>
        <w:pStyle w:val="27"/>
        <w:numPr>
          <w:ilvl w:val="0"/>
          <w:numId w:val="1"/>
        </w:numPr>
        <w:kinsoku/>
        <w:spacing w:line="360" w:lineRule="auto"/>
        <w:ind w:left="0" w:firstLine="480"/>
        <w:outlineLvl w:val="0"/>
        <w:rPr>
          <w:rFonts w:hint="eastAsia" w:ascii="宋体" w:hAnsi="宋体" w:eastAsia="宋体" w:cs="宋体"/>
          <w:sz w:val="24"/>
          <w:szCs w:val="24"/>
        </w:rPr>
      </w:pPr>
      <w:bookmarkStart w:id="20" w:name="_Toc7018"/>
      <w:bookmarkStart w:id="21" w:name="_Toc30159"/>
      <w:bookmarkStart w:id="22" w:name="_Toc654"/>
      <w:bookmarkStart w:id="23" w:name="_Toc9339"/>
      <w:bookmarkStart w:id="24" w:name="_Toc27635"/>
      <w:bookmarkStart w:id="25" w:name="_Toc24591"/>
      <w:r>
        <w:rPr>
          <w:rFonts w:hint="eastAsia" w:ascii="宋体" w:hAnsi="宋体" w:eastAsia="宋体" w:cs="宋体"/>
          <w:sz w:val="24"/>
          <w:szCs w:val="24"/>
        </w:rPr>
        <w:t>相关要求：</w:t>
      </w:r>
      <w:bookmarkEnd w:id="20"/>
      <w:bookmarkEnd w:id="21"/>
      <w:bookmarkEnd w:id="22"/>
      <w:bookmarkEnd w:id="23"/>
      <w:bookmarkEnd w:id="24"/>
      <w:bookmarkEnd w:id="25"/>
    </w:p>
    <w:p>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rPr>
        <w:fldChar w:fldCharType="begin"/>
      </w:r>
      <w:r>
        <w:rPr>
          <w:rFonts w:hint="eastAsia" w:ascii="宋体" w:hAnsi="宋体" w:eastAsia="宋体" w:cs="宋体"/>
        </w:rPr>
        <w:instrText xml:space="preserve"> HYPERLINK "http://www.haosou.com/s?q=%E6%8A%A5%E4%BB%B7%E5%8D%95&amp;ie=utf-8&amp;src=wenda_link" </w:instrText>
      </w:r>
      <w:r>
        <w:rPr>
          <w:rFonts w:hint="eastAsia" w:ascii="宋体" w:hAnsi="宋体" w:eastAsia="宋体" w:cs="宋体"/>
        </w:rPr>
        <w:fldChar w:fldCharType="separate"/>
      </w:r>
      <w:r>
        <w:rPr>
          <w:rFonts w:hint="eastAsia" w:ascii="宋体" w:hAnsi="宋体" w:eastAsia="宋体" w:cs="宋体"/>
          <w:sz w:val="24"/>
          <w:szCs w:val="24"/>
        </w:rPr>
        <w:t>投标报价单需按照我公司提供的样表填写，</w:t>
      </w:r>
      <w:r>
        <w:rPr>
          <w:rFonts w:hint="eastAsia" w:ascii="宋体" w:hAnsi="宋体" w:eastAsia="宋体" w:cs="宋体"/>
          <w:sz w:val="24"/>
          <w:szCs w:val="24"/>
        </w:rPr>
        <w:fldChar w:fldCharType="end"/>
      </w:r>
      <w:r>
        <w:rPr>
          <w:rFonts w:hint="eastAsia" w:ascii="宋体" w:hAnsi="宋体" w:eastAsia="宋体" w:cs="宋体"/>
          <w:sz w:val="24"/>
          <w:szCs w:val="24"/>
        </w:rPr>
        <w:t>特殊情况可稍作调整，内容必须填写完整、真实和准确。除投标报价表外，不得对文件格式和内容进行修改，如发现投标文件未按我公司提供的招标文件格式填写，将视为废标。</w:t>
      </w:r>
    </w:p>
    <w:p>
      <w:pPr>
        <w:widowControl w:val="0"/>
        <w:kinsoku/>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密封文件袋上必须标注项目名称和投标单位名称</w:t>
      </w:r>
      <w:r>
        <w:rPr>
          <w:rFonts w:hint="eastAsia" w:ascii="宋体" w:hAnsi="宋体" w:eastAsia="宋体" w:cs="宋体"/>
          <w:sz w:val="24"/>
          <w:szCs w:val="24"/>
          <w:lang w:eastAsia="zh-CN"/>
        </w:rPr>
        <w:t>，</w:t>
      </w:r>
      <w:r>
        <w:rPr>
          <w:rFonts w:hint="eastAsia" w:ascii="宋体" w:hAnsi="宋体" w:eastAsia="宋体" w:cs="宋体"/>
          <w:sz w:val="24"/>
          <w:szCs w:val="24"/>
        </w:rPr>
        <w:t xml:space="preserve">并注明“正式开标前，不得开启”字样。投标人投标时应提供加盖单位公章的项目技术方案、供货业绩及营业执照副本、资质证书、 </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sz w:val="24"/>
          <w:szCs w:val="24"/>
        </w:rPr>
        <w:t>安全生产许可证等</w:t>
      </w:r>
      <w:r>
        <w:rPr>
          <w:rFonts w:hint="eastAsia" w:ascii="宋体" w:hAnsi="宋体" w:eastAsia="宋体" w:cs="宋体"/>
          <w:sz w:val="24"/>
          <w:szCs w:val="24"/>
        </w:rPr>
        <w:fldChar w:fldCharType="end"/>
      </w:r>
      <w:r>
        <w:rPr>
          <w:rFonts w:hint="eastAsia" w:ascii="宋体" w:hAnsi="宋体" w:eastAsia="宋体" w:cs="宋体"/>
          <w:sz w:val="24"/>
          <w:szCs w:val="24"/>
        </w:rPr>
        <w:t>证书复印件。</w:t>
      </w:r>
    </w:p>
    <w:p>
      <w:pPr>
        <w:pStyle w:val="2"/>
        <w:ind w:left="0" w:leftChars="0" w:firstLine="480" w:firstLineChars="200"/>
        <w:rPr>
          <w:rFonts w:hint="eastAsia" w:eastAsia="宋体"/>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color w:val="auto"/>
          <w:szCs w:val="24"/>
          <w:highlight w:val="none"/>
          <w:lang w:val="en-US"/>
        </w:rPr>
        <w:t>企业</w:t>
      </w:r>
      <w:r>
        <w:rPr>
          <w:rFonts w:hint="eastAsia" w:ascii="宋体" w:hAnsi="宋体" w:eastAsia="宋体" w:cs="宋体"/>
          <w:color w:val="auto"/>
          <w:szCs w:val="24"/>
          <w:highlight w:val="none"/>
        </w:rPr>
        <w:t>资质</w:t>
      </w:r>
      <w:r>
        <w:rPr>
          <w:rFonts w:hint="eastAsia" w:ascii="宋体" w:hAnsi="宋体" w:eastAsia="宋体" w:cs="宋体"/>
          <w:color w:val="auto"/>
          <w:szCs w:val="24"/>
          <w:highlight w:val="none"/>
          <w:lang w:eastAsia="zh-CN"/>
        </w:rPr>
        <w:t>：</w:t>
      </w:r>
      <w:r>
        <w:rPr>
          <w:rFonts w:hint="eastAsia" w:ascii="宋体" w:hAnsi="宋体" w:eastAsia="宋体" w:cs="宋体"/>
          <w:color w:val="auto"/>
          <w:sz w:val="24"/>
          <w:szCs w:val="24"/>
          <w:highlight w:val="none"/>
        </w:rPr>
        <w:t>注册</w:t>
      </w:r>
      <w:r>
        <w:rPr>
          <w:rFonts w:hint="eastAsia" w:ascii="宋体" w:hAnsi="宋体" w:eastAsia="宋体" w:cs="宋体"/>
          <w:snapToGrid w:val="0"/>
          <w:color w:val="000000"/>
          <w:sz w:val="24"/>
          <w:szCs w:val="24"/>
          <w:highlight w:val="none"/>
          <w:lang w:val="en-US" w:eastAsia="zh-CN" w:bidi="ar-SA"/>
        </w:rPr>
        <w:t>资本</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00万元</w:t>
      </w:r>
      <w:r>
        <w:rPr>
          <w:rFonts w:hint="eastAsia" w:ascii="宋体" w:hAnsi="宋体" w:eastAsia="宋体" w:cs="宋体"/>
          <w:color w:val="auto"/>
          <w:sz w:val="24"/>
          <w:szCs w:val="24"/>
          <w:highlight w:val="none"/>
          <w:lang w:eastAsia="zh-CN"/>
        </w:rPr>
        <w:t>；</w:t>
      </w:r>
    </w:p>
    <w:p>
      <w:pPr>
        <w:widowControl w:val="0"/>
        <w:kinsoku/>
        <w:spacing w:line="360" w:lineRule="auto"/>
        <w:ind w:firstLine="480" w:firstLineChars="200"/>
        <w:rPr>
          <w:rFonts w:hint="eastAsia" w:ascii="宋体" w:hAnsi="宋体" w:eastAsia="宋体" w:cs="宋体"/>
          <w:snapToGrid w:val="0"/>
          <w:color w:val="000000"/>
          <w:sz w:val="24"/>
          <w:szCs w:val="24"/>
          <w:lang w:val="en-US" w:eastAsia="zh-CN" w:bidi="ar-SA"/>
        </w:rPr>
      </w:pPr>
      <w:r>
        <w:rPr>
          <w:rFonts w:hint="eastAsia" w:ascii="宋体" w:hAnsi="宋体" w:eastAsia="宋体" w:cs="宋体"/>
          <w:snapToGrid w:val="0"/>
          <w:color w:val="000000"/>
          <w:sz w:val="24"/>
          <w:szCs w:val="24"/>
          <w:lang w:val="en-US" w:eastAsia="zh-CN" w:bidi="ar-SA"/>
        </w:rPr>
        <w:t>（4）本次招标报价税率为13%。</w:t>
      </w:r>
    </w:p>
    <w:p>
      <w:pPr>
        <w:pStyle w:val="2"/>
        <w:ind w:left="0" w:leftChars="0" w:firstLine="480" w:firstLineChars="0"/>
        <w:rPr>
          <w:rFonts w:hint="eastAsia" w:ascii="宋体" w:hAnsi="宋体" w:eastAsia="宋体" w:cs="宋体"/>
          <w:color w:val="auto"/>
          <w:sz w:val="24"/>
          <w:szCs w:val="24"/>
          <w:lang w:eastAsia="zh-CN"/>
        </w:rPr>
      </w:pPr>
      <w:r>
        <w:rPr>
          <w:rFonts w:hint="eastAsia" w:ascii="宋体" w:hAnsi="宋体" w:eastAsia="宋体" w:cs="宋体"/>
          <w:snapToGrid w:val="0"/>
          <w:color w:val="000000"/>
          <w:sz w:val="24"/>
          <w:szCs w:val="24"/>
          <w:lang w:val="en-US" w:eastAsia="zh-CN" w:bidi="ar-SA"/>
        </w:rPr>
        <w:t>（5）</w:t>
      </w:r>
      <w:r>
        <w:rPr>
          <w:rFonts w:hint="eastAsia" w:ascii="宋体" w:hAnsi="宋体" w:eastAsia="宋体" w:cs="宋体"/>
          <w:color w:val="auto"/>
          <w:sz w:val="24"/>
          <w:szCs w:val="24"/>
        </w:rPr>
        <w:t>相关体系认证（质量、环境、职业健康安全</w:t>
      </w:r>
      <w:r>
        <w:rPr>
          <w:rFonts w:hint="eastAsia" w:ascii="宋体" w:hAnsi="宋体" w:eastAsia="宋体" w:cs="宋体"/>
          <w:color w:val="auto"/>
          <w:sz w:val="24"/>
          <w:szCs w:val="24"/>
          <w:lang w:eastAsia="zh-CN"/>
        </w:rPr>
        <w:t>）</w:t>
      </w:r>
    </w:p>
    <w:p>
      <w:pPr>
        <w:pStyle w:val="2"/>
        <w:ind w:left="0" w:leftChars="0" w:firstLine="48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投标人近三年来</w:t>
      </w:r>
      <w:r>
        <w:rPr>
          <w:rFonts w:hint="eastAsia" w:ascii="宋体" w:hAnsi="宋体" w:eastAsia="宋体" w:cs="宋体"/>
          <w:color w:val="auto"/>
          <w:sz w:val="24"/>
          <w:szCs w:val="24"/>
          <w:highlight w:val="none"/>
          <w:lang w:val="en-US" w:eastAsia="zh-CN"/>
        </w:rPr>
        <w:t>典型或者代表业绩（</w:t>
      </w:r>
      <w:r>
        <w:rPr>
          <w:rFonts w:hint="eastAsia" w:ascii="宋体" w:hAnsi="宋体" w:eastAsia="宋体" w:cs="宋体"/>
          <w:color w:val="auto"/>
          <w:sz w:val="24"/>
          <w:szCs w:val="24"/>
          <w:highlight w:val="none"/>
        </w:rPr>
        <w:t>投标人应当提供合同、验收证明复印件（须加盖验收方公章）等证明材料</w:t>
      </w:r>
      <w:r>
        <w:rPr>
          <w:rFonts w:hint="eastAsia" w:ascii="宋体" w:hAnsi="宋体" w:eastAsia="宋体" w:cs="宋体"/>
          <w:color w:val="auto"/>
          <w:sz w:val="24"/>
          <w:szCs w:val="24"/>
          <w:highlight w:val="none"/>
          <w:lang w:eastAsia="zh-CN"/>
        </w:rPr>
        <w:t>）</w:t>
      </w:r>
    </w:p>
    <w:p>
      <w:pPr>
        <w:kinsoku/>
        <w:autoSpaceDE/>
        <w:autoSpaceDN/>
        <w:adjustRightInd/>
        <w:snapToGrid/>
        <w:spacing w:line="360" w:lineRule="auto"/>
        <w:ind w:firstLine="480" w:firstLineChars="20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7）货到、票到检验合格后30天内付款，付银承。</w:t>
      </w:r>
    </w:p>
    <w:p>
      <w:pPr>
        <w:pStyle w:val="2"/>
        <w:ind w:left="0" w:leftChars="0" w:firstLine="480" w:firstLineChars="200"/>
        <w:rPr>
          <w:rFonts w:hint="eastAsia"/>
          <w:lang w:val="en-US"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snapToGrid w:val="0"/>
          <w:color w:val="000000"/>
          <w:sz w:val="24"/>
          <w:szCs w:val="24"/>
          <w:lang w:val="en-US" w:eastAsia="zh-CN" w:bidi="ar-SA"/>
        </w:rPr>
        <w:t>投标人需提供用于生产服装面料的检测报告、产品验收标准、</w:t>
      </w:r>
      <w:r>
        <w:rPr>
          <w:rFonts w:hint="eastAsia" w:ascii="宋体" w:hAnsi="宋体" w:eastAsia="宋体" w:cs="宋体"/>
          <w:color w:val="auto"/>
          <w:sz w:val="24"/>
          <w:szCs w:val="24"/>
          <w:lang w:val="en-US" w:eastAsia="zh-CN"/>
        </w:rPr>
        <w:t>出厂</w:t>
      </w:r>
      <w:r>
        <w:rPr>
          <w:rFonts w:hint="eastAsia" w:ascii="宋体" w:hAnsi="宋体" w:eastAsia="宋体" w:cs="宋体"/>
          <w:snapToGrid w:val="0"/>
          <w:color w:val="000000"/>
          <w:sz w:val="24"/>
          <w:szCs w:val="24"/>
          <w:lang w:val="en-US" w:eastAsia="zh-CN" w:bidi="ar-SA"/>
        </w:rPr>
        <w:t>检验报告和合格证书。</w:t>
      </w:r>
    </w:p>
    <w:p>
      <w:pPr>
        <w:pStyle w:val="2"/>
        <w:ind w:left="0" w:leftChars="0" w:firstLine="480" w:firstLineChars="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投标人须对所售出的产品实行</w:t>
      </w:r>
      <w:r>
        <w:rPr>
          <w:rFonts w:hint="eastAsia" w:ascii="宋体" w:hAnsi="宋体" w:eastAsia="宋体" w:cs="宋体"/>
          <w:color w:val="auto"/>
          <w:sz w:val="24"/>
          <w:szCs w:val="24"/>
          <w:lang w:val="en-US" w:eastAsia="zh-CN"/>
        </w:rPr>
        <w:t>如下承诺</w:t>
      </w:r>
      <w:r>
        <w:rPr>
          <w:rFonts w:hint="eastAsia" w:ascii="宋体" w:hAnsi="宋体" w:eastAsia="宋体" w:cs="宋体"/>
          <w:color w:val="auto"/>
          <w:sz w:val="24"/>
          <w:szCs w:val="24"/>
        </w:rPr>
        <w:t>:即产品在正常使用情况下发生质量问题时，投标人应按使用方的要求，负责对产品实行包换、包退。</w:t>
      </w:r>
    </w:p>
    <w:p>
      <w:pPr>
        <w:pStyle w:val="2"/>
        <w:ind w:left="0" w:leftChars="0" w:firstLine="480" w:firstLineChars="0"/>
        <w:rPr>
          <w:rFonts w:hint="default" w:ascii="宋体" w:hAnsi="宋体" w:eastAsia="宋体" w:cs="宋体"/>
          <w:color w:val="auto"/>
          <w:sz w:val="24"/>
          <w:szCs w:val="24"/>
          <w:lang w:val="en-US" w:eastAsia="zh-CN"/>
        </w:rPr>
      </w:pPr>
      <w:r>
        <w:rPr>
          <w:rFonts w:hint="eastAsia" w:ascii="宋体" w:hAnsi="宋体" w:eastAsia="宋体" w:cs="宋体"/>
          <w:snapToGrid w:val="0"/>
          <w:color w:val="000000"/>
          <w:sz w:val="24"/>
          <w:szCs w:val="24"/>
          <w:lang w:val="en-US" w:eastAsia="zh-CN" w:bidi="ar-SA"/>
        </w:rPr>
        <w:t>（10）投标当天各投标人须在递交投标文件的同时提供面料册、服装样品。</w:t>
      </w:r>
    </w:p>
    <w:p>
      <w:pPr>
        <w:pStyle w:val="27"/>
        <w:numPr>
          <w:ilvl w:val="0"/>
          <w:numId w:val="1"/>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凡对本次招标的有关事项需要咨询或有异议时，请</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2024</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09</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日前</w:t>
      </w:r>
      <w:r>
        <w:rPr>
          <w:rFonts w:hint="eastAsia" w:ascii="宋体" w:hAnsi="宋体" w:eastAsia="宋体" w:cs="宋体"/>
          <w:sz w:val="24"/>
          <w:szCs w:val="24"/>
        </w:rPr>
        <w:t>与相关负责人联系。关于评标结果，我们将会在评标结束之后第一时间告知。</w:t>
      </w:r>
    </w:p>
    <w:p>
      <w:pPr>
        <w:pStyle w:val="27"/>
        <w:numPr>
          <w:ilvl w:val="0"/>
          <w:numId w:val="1"/>
        </w:numPr>
        <w:kinsoku/>
        <w:spacing w:line="360" w:lineRule="auto"/>
        <w:ind w:left="0" w:firstLine="480"/>
        <w:outlineLvl w:val="0"/>
        <w:rPr>
          <w:rFonts w:hint="eastAsia" w:ascii="宋体" w:hAnsi="宋体" w:eastAsia="宋体" w:cs="宋体"/>
          <w:sz w:val="24"/>
          <w:szCs w:val="24"/>
        </w:rPr>
      </w:pPr>
      <w:bookmarkStart w:id="26" w:name="_Toc4182"/>
      <w:bookmarkStart w:id="27" w:name="_Toc20083"/>
      <w:bookmarkStart w:id="28" w:name="_Toc30078"/>
      <w:bookmarkStart w:id="29" w:name="_Toc21113"/>
      <w:bookmarkStart w:id="30" w:name="_Toc19941"/>
      <w:bookmarkStart w:id="31" w:name="_Toc21790"/>
      <w:r>
        <w:rPr>
          <w:rFonts w:hint="eastAsia" w:ascii="宋体" w:hAnsi="宋体" w:eastAsia="宋体" w:cs="宋体"/>
          <w:sz w:val="24"/>
          <w:szCs w:val="24"/>
        </w:rPr>
        <w:t>联系方式</w:t>
      </w:r>
      <w:bookmarkEnd w:id="26"/>
      <w:bookmarkEnd w:id="27"/>
      <w:bookmarkEnd w:id="28"/>
      <w:bookmarkEnd w:id="29"/>
      <w:bookmarkEnd w:id="30"/>
      <w:bookmarkEnd w:id="31"/>
    </w:p>
    <w:p>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招 标 人：中国机械总院集团海西（福建）分院有限公司</w:t>
      </w:r>
    </w:p>
    <w:p>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 系 人：</w:t>
      </w:r>
      <w:r>
        <w:rPr>
          <w:rFonts w:hint="eastAsia" w:ascii="宋体" w:hAnsi="宋体" w:eastAsia="宋体" w:cs="宋体"/>
          <w:sz w:val="24"/>
          <w:szCs w:val="24"/>
          <w:lang w:eastAsia="zh-CN"/>
        </w:rPr>
        <w:t>李浩东</w:t>
      </w:r>
    </w:p>
    <w:p>
      <w:pPr>
        <w:tabs>
          <w:tab w:val="left" w:pos="1446"/>
        </w:tabs>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联系电话：0598-8050808、</w:t>
      </w:r>
      <w:r>
        <w:rPr>
          <w:rFonts w:hint="eastAsia" w:ascii="宋体" w:hAnsi="宋体" w:eastAsia="宋体" w:cs="宋体"/>
          <w:sz w:val="24"/>
          <w:szCs w:val="24"/>
          <w:lang w:val="en-US" w:eastAsia="zh-CN"/>
        </w:rPr>
        <w:t>18707194032</w:t>
      </w:r>
    </w:p>
    <w:p>
      <w:pPr>
        <w:tabs>
          <w:tab w:val="left" w:pos="1446"/>
        </w:tabs>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纪检监督电话：0598-8050668  </w:t>
      </w:r>
    </w:p>
    <w:p>
      <w:pPr>
        <w:tabs>
          <w:tab w:val="left" w:pos="1446"/>
        </w:tabs>
        <w:spacing w:line="360" w:lineRule="auto"/>
        <w:ind w:firstLine="480" w:firstLineChars="200"/>
        <w:rPr>
          <w:rFonts w:hint="eastAsia" w:ascii="宋体" w:hAnsi="宋体" w:eastAsia="宋体" w:cs="宋体"/>
        </w:rPr>
      </w:pPr>
      <w:r>
        <w:rPr>
          <w:rFonts w:hint="eastAsia" w:ascii="宋体" w:hAnsi="宋体" w:eastAsia="宋体" w:cs="宋体"/>
          <w:sz w:val="24"/>
          <w:szCs w:val="24"/>
        </w:rPr>
        <w:t>地    址：福建省三明市沙县区金沙园开发区创新东路413号</w:t>
      </w:r>
    </w:p>
    <w:p>
      <w:pPr>
        <w:spacing w:line="360" w:lineRule="auto"/>
        <w:ind w:firstLine="459"/>
        <w:jc w:val="right"/>
        <w:outlineLvl w:val="0"/>
        <w:rPr>
          <w:rFonts w:hint="eastAsia" w:ascii="宋体" w:hAnsi="宋体" w:eastAsia="宋体" w:cs="宋体"/>
          <w:sz w:val="24"/>
          <w:szCs w:val="24"/>
        </w:rPr>
      </w:pPr>
      <w:bookmarkStart w:id="32" w:name="_Toc322"/>
      <w:bookmarkStart w:id="33" w:name="_Toc19147"/>
      <w:bookmarkStart w:id="34" w:name="_Toc20059"/>
      <w:bookmarkStart w:id="35" w:name="_Toc23207"/>
      <w:r>
        <w:rPr>
          <w:rFonts w:hint="eastAsia" w:ascii="宋体" w:hAnsi="宋体" w:eastAsia="宋体" w:cs="宋体"/>
          <w:sz w:val="24"/>
          <w:szCs w:val="24"/>
        </w:rPr>
        <w:t>中国机械总院集团海西（福建）分院有限公司</w:t>
      </w:r>
      <w:bookmarkEnd w:id="32"/>
      <w:bookmarkEnd w:id="33"/>
      <w:bookmarkEnd w:id="34"/>
      <w:bookmarkEnd w:id="35"/>
      <w:r>
        <w:rPr>
          <w:rFonts w:hint="eastAsia" w:ascii="宋体" w:hAnsi="宋体" w:eastAsia="宋体" w:cs="宋体"/>
          <w:sz w:val="24"/>
          <w:szCs w:val="24"/>
        </w:rPr>
        <w:t xml:space="preserve"> </w:t>
      </w:r>
    </w:p>
    <w:p>
      <w:pPr>
        <w:spacing w:line="360" w:lineRule="auto"/>
        <w:ind w:firstLine="459"/>
        <w:jc w:val="center"/>
        <w:rPr>
          <w:rFonts w:hint="eastAsia" w:ascii="宋体" w:hAnsi="宋体" w:eastAsia="宋体" w:cs="宋体"/>
          <w:sz w:val="24"/>
          <w:szCs w:val="24"/>
        </w:rPr>
      </w:pPr>
      <w:r>
        <w:rPr>
          <w:rFonts w:hint="eastAsia" w:ascii="宋体" w:hAnsi="宋体" w:eastAsia="宋体" w:cs="宋体"/>
          <w:sz w:val="24"/>
          <w:szCs w:val="24"/>
        </w:rPr>
        <w:t xml:space="preserve">                                        招标委员会办公室</w:t>
      </w:r>
    </w:p>
    <w:p>
      <w:pPr>
        <w:spacing w:line="360" w:lineRule="auto"/>
        <w:ind w:firstLine="6480" w:firstLineChars="2700"/>
        <w:rPr>
          <w:rFonts w:hint="eastAsia" w:ascii="宋体" w:hAnsi="宋体" w:eastAsia="宋体" w:cs="宋体"/>
          <w:sz w:val="24"/>
          <w:szCs w:val="24"/>
        </w:rPr>
      </w:pPr>
      <w:bookmarkStart w:id="171" w:name="_GoBack"/>
      <w:bookmarkEnd w:id="171"/>
      <w:r>
        <w:rPr>
          <w:rFonts w:hint="eastAsia" w:ascii="宋体" w:hAnsi="宋体" w:eastAsia="宋体" w:cs="宋体"/>
          <w:sz w:val="24"/>
          <w:szCs w:val="24"/>
          <w:lang w:val="en-US" w:eastAsia="zh-CN"/>
        </w:rPr>
        <w:t>2024</w:t>
      </w:r>
      <w:r>
        <w:rPr>
          <w:rFonts w:hint="eastAsia" w:ascii="宋体" w:hAnsi="宋体" w:eastAsia="宋体" w:cs="宋体"/>
          <w:sz w:val="24"/>
          <w:szCs w:val="24"/>
        </w:rPr>
        <w:t>年</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11</w:t>
      </w:r>
      <w:r>
        <w:rPr>
          <w:rFonts w:hint="eastAsia" w:ascii="宋体" w:hAnsi="宋体" w:eastAsia="宋体" w:cs="宋体"/>
          <w:sz w:val="24"/>
          <w:szCs w:val="24"/>
        </w:rPr>
        <w:t>日</w:t>
      </w:r>
      <w:r>
        <w:rPr>
          <w:rFonts w:hint="eastAsia" w:ascii="宋体" w:hAnsi="宋体" w:eastAsia="宋体" w:cs="宋体"/>
          <w:sz w:val="24"/>
          <w:szCs w:val="24"/>
        </w:rPr>
        <w:br w:type="page"/>
      </w:r>
    </w:p>
    <w:p>
      <w:pPr>
        <w:spacing w:before="240" w:beforeLines="100" w:after="120" w:afterLines="50" w:line="360" w:lineRule="auto"/>
        <w:jc w:val="center"/>
        <w:outlineLvl w:val="0"/>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pPr>
      <w:bookmarkStart w:id="36" w:name="_Toc18439"/>
      <w:bookmarkStart w:id="37" w:name="_Toc25726"/>
      <w:bookmarkStart w:id="38" w:name="_Toc10599"/>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二、</w:t>
      </w:r>
      <w:r>
        <w:rPr>
          <w:rFonts w:hint="eastAsia" w:ascii="宋体" w:hAnsi="宋体" w:eastAsia="宋体" w:cs="宋体"/>
          <w:spacing w:val="-3"/>
          <w:sz w:val="36"/>
          <w:szCs w:val="36"/>
          <w14:textOutline w14:w="6527" w14:cap="flat" w14:cmpd="sng" w14:algn="ctr">
            <w14:solidFill>
              <w14:srgbClr w14:val="000000"/>
            </w14:solidFill>
            <w14:prstDash w14:val="solid"/>
            <w14:miter w14:val="0"/>
          </w14:textOutline>
        </w:rPr>
        <w:t>投标人须知</w:t>
      </w:r>
      <w:bookmarkEnd w:id="36"/>
      <w:bookmarkEnd w:id="37"/>
      <w:bookmarkEnd w:id="38"/>
    </w:p>
    <w:p>
      <w:pPr>
        <w:kinsoku/>
        <w:spacing w:line="360" w:lineRule="auto"/>
        <w:ind w:firstLine="439" w:firstLineChars="182"/>
        <w:rPr>
          <w:rFonts w:hint="eastAsia" w:ascii="宋体" w:hAnsi="宋体" w:eastAsia="宋体" w:cs="宋体"/>
          <w:b/>
          <w:bCs/>
          <w:sz w:val="24"/>
          <w:szCs w:val="24"/>
        </w:rPr>
      </w:pPr>
      <w:r>
        <w:rPr>
          <w:rFonts w:hint="eastAsia" w:ascii="宋体" w:hAnsi="宋体" w:eastAsia="宋体" w:cs="宋体"/>
          <w:b/>
          <w:bCs/>
          <w:sz w:val="24"/>
          <w:szCs w:val="24"/>
        </w:rPr>
        <w:t>一、投标要求</w:t>
      </w:r>
    </w:p>
    <w:p>
      <w:pPr>
        <w:pStyle w:val="27"/>
        <w:numPr>
          <w:ilvl w:val="0"/>
          <w:numId w:val="2"/>
        </w:numPr>
        <w:kinsoku/>
        <w:spacing w:line="360" w:lineRule="auto"/>
        <w:ind w:left="0" w:firstLine="436" w:firstLineChars="182"/>
        <w:rPr>
          <w:rFonts w:hint="eastAsia" w:ascii="宋体" w:hAnsi="宋体" w:eastAsia="宋体" w:cs="宋体"/>
          <w:sz w:val="24"/>
          <w:szCs w:val="24"/>
        </w:rPr>
      </w:pPr>
      <w:r>
        <w:rPr>
          <w:rFonts w:hint="eastAsia" w:ascii="宋体" w:hAnsi="宋体" w:eastAsia="宋体" w:cs="宋体"/>
          <w:sz w:val="24"/>
          <w:szCs w:val="24"/>
        </w:rPr>
        <w:t>投标人应遵守国家有关招标投标</w:t>
      </w:r>
      <w:r>
        <w:rPr>
          <w:rFonts w:hint="eastAsia" w:ascii="宋体" w:hAnsi="宋体" w:eastAsia="宋体" w:cs="宋体"/>
          <w:sz w:val="24"/>
          <w:szCs w:val="24"/>
          <w:lang w:eastAsia="zh-CN"/>
        </w:rPr>
        <w:t>法律法规</w:t>
      </w:r>
      <w:r>
        <w:rPr>
          <w:rFonts w:hint="eastAsia" w:ascii="宋体" w:hAnsi="宋体" w:eastAsia="宋体" w:cs="宋体"/>
          <w:sz w:val="24"/>
          <w:szCs w:val="24"/>
        </w:rPr>
        <w:t>、部门规章和规范性文件。</w:t>
      </w:r>
    </w:p>
    <w:p>
      <w:pPr>
        <w:pStyle w:val="27"/>
        <w:numPr>
          <w:ilvl w:val="0"/>
          <w:numId w:val="2"/>
        </w:numPr>
        <w:kinsoku/>
        <w:spacing w:line="360" w:lineRule="auto"/>
        <w:ind w:left="0" w:firstLine="424" w:firstLineChars="177"/>
        <w:outlineLvl w:val="0"/>
        <w:rPr>
          <w:rFonts w:hint="eastAsia" w:ascii="宋体" w:hAnsi="宋体" w:eastAsia="宋体" w:cs="宋体"/>
          <w:sz w:val="24"/>
          <w:szCs w:val="24"/>
        </w:rPr>
      </w:pPr>
      <w:bookmarkStart w:id="39" w:name="_Toc5448"/>
      <w:bookmarkStart w:id="40" w:name="_Toc15722"/>
      <w:bookmarkStart w:id="41" w:name="_Toc9822"/>
      <w:bookmarkStart w:id="42" w:name="_Toc21532"/>
      <w:bookmarkStart w:id="43" w:name="_Toc24156"/>
      <w:bookmarkStart w:id="44" w:name="_Toc14879"/>
      <w:r>
        <w:rPr>
          <w:rFonts w:hint="eastAsia" w:ascii="宋体" w:hAnsi="宋体" w:eastAsia="宋体" w:cs="宋体"/>
          <w:sz w:val="24"/>
          <w:szCs w:val="24"/>
        </w:rPr>
        <w:t>投标资格（包括但不限于）：</w:t>
      </w:r>
      <w:bookmarkEnd w:id="39"/>
      <w:bookmarkEnd w:id="40"/>
      <w:bookmarkEnd w:id="41"/>
      <w:bookmarkEnd w:id="42"/>
      <w:bookmarkEnd w:id="43"/>
      <w:bookmarkEnd w:id="44"/>
    </w:p>
    <w:p>
      <w:pPr>
        <w:numPr>
          <w:ilvl w:val="0"/>
          <w:numId w:val="3"/>
        </w:numPr>
        <w:kinsoku/>
        <w:spacing w:line="360" w:lineRule="auto"/>
        <w:ind w:left="0" w:firstLine="480" w:firstLineChars="200"/>
        <w:rPr>
          <w:rFonts w:hint="eastAsia" w:ascii="宋体" w:hAnsi="宋体" w:eastAsia="宋体" w:cs="宋体"/>
          <w:color w:val="auto"/>
          <w:position w:val="5"/>
          <w:sz w:val="24"/>
          <w:szCs w:val="24"/>
        </w:rPr>
      </w:pPr>
      <w:r>
        <w:rPr>
          <w:rFonts w:hint="eastAsia" w:ascii="宋体" w:hAnsi="宋体" w:eastAsia="宋体" w:cs="宋体"/>
          <w:color w:val="auto"/>
          <w:position w:val="5"/>
          <w:sz w:val="24"/>
          <w:szCs w:val="24"/>
        </w:rPr>
        <w:t>投标人投标时应提供加盖其单位公章的营业执照副本、资质证书</w:t>
      </w:r>
      <w:r>
        <w:rPr>
          <w:rFonts w:hint="eastAsia" w:ascii="宋体" w:hAnsi="宋体" w:eastAsia="宋体" w:cs="宋体"/>
        </w:rPr>
        <w:fldChar w:fldCharType="begin"/>
      </w:r>
      <w:r>
        <w:rPr>
          <w:rFonts w:hint="eastAsia" w:ascii="宋体" w:hAnsi="宋体" w:eastAsia="宋体" w:cs="宋体"/>
        </w:rPr>
        <w:instrText xml:space="preserve"> HYPERLINK "https://baike.baidu.com/item/%E5%AE%89%E5%85%A8%E7%94%9F%E4%BA%A7%E8%AE%B8%E5%8F%AF%E8%AF%81" </w:instrText>
      </w:r>
      <w:r>
        <w:rPr>
          <w:rFonts w:hint="eastAsia" w:ascii="宋体" w:hAnsi="宋体" w:eastAsia="宋体" w:cs="宋体"/>
        </w:rPr>
        <w:fldChar w:fldCharType="separate"/>
      </w:r>
      <w:r>
        <w:rPr>
          <w:rFonts w:hint="eastAsia" w:ascii="宋体" w:hAnsi="宋体" w:eastAsia="宋体" w:cs="宋体"/>
          <w:color w:val="auto"/>
          <w:position w:val="5"/>
          <w:sz w:val="24"/>
          <w:szCs w:val="24"/>
        </w:rPr>
        <w:t>等证书复印件</w:t>
      </w:r>
      <w:r>
        <w:rPr>
          <w:rFonts w:hint="eastAsia" w:ascii="宋体" w:hAnsi="宋体" w:eastAsia="宋体" w:cs="宋体"/>
          <w:color w:val="auto"/>
          <w:position w:val="5"/>
          <w:sz w:val="24"/>
          <w:szCs w:val="24"/>
        </w:rPr>
        <w:fldChar w:fldCharType="end"/>
      </w:r>
    </w:p>
    <w:p>
      <w:pPr>
        <w:numPr>
          <w:ilvl w:val="0"/>
          <w:numId w:val="3"/>
        </w:numPr>
        <w:tabs>
          <w:tab w:val="left" w:pos="620"/>
        </w:tabs>
        <w:kinsoku/>
        <w:spacing w:line="360" w:lineRule="auto"/>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供货业绩</w:t>
      </w:r>
    </w:p>
    <w:p>
      <w:pPr>
        <w:kinsoku/>
        <w:spacing w:line="360" w:lineRule="auto"/>
        <w:ind w:left="1" w:right="64" w:firstLine="424" w:firstLineChars="177"/>
        <w:rPr>
          <w:rFonts w:hint="eastAsia" w:ascii="宋体" w:hAnsi="宋体" w:eastAsia="宋体" w:cs="宋体"/>
          <w:sz w:val="24"/>
          <w:szCs w:val="24"/>
        </w:rPr>
      </w:pPr>
      <w:r>
        <w:rPr>
          <w:rFonts w:hint="eastAsia" w:ascii="宋体" w:hAnsi="宋体" w:eastAsia="宋体" w:cs="宋体"/>
          <w:sz w:val="24"/>
          <w:szCs w:val="24"/>
        </w:rPr>
        <w:t>3. 投标费用：投标人应承担投标过程中所涉及的一切费用，不管投标结果如何，招标人对上述费用不负任何责任。</w:t>
      </w:r>
    </w:p>
    <w:p>
      <w:pPr>
        <w:kinsoku/>
        <w:spacing w:line="360" w:lineRule="auto"/>
        <w:ind w:firstLine="482" w:firstLineChars="200"/>
        <w:outlineLvl w:val="0"/>
        <w:rPr>
          <w:rFonts w:hint="eastAsia" w:ascii="宋体" w:hAnsi="宋体" w:eastAsia="宋体" w:cs="宋体"/>
          <w:b/>
          <w:bCs/>
          <w:sz w:val="24"/>
          <w:szCs w:val="24"/>
        </w:rPr>
      </w:pPr>
      <w:bookmarkStart w:id="45" w:name="_Toc12309"/>
      <w:bookmarkStart w:id="46" w:name="_Toc23688"/>
      <w:bookmarkStart w:id="47" w:name="_Toc16770"/>
      <w:bookmarkStart w:id="48" w:name="_Toc15847"/>
      <w:bookmarkStart w:id="49" w:name="_Toc9930"/>
      <w:r>
        <w:rPr>
          <w:rFonts w:hint="eastAsia" w:ascii="宋体" w:hAnsi="宋体" w:eastAsia="宋体" w:cs="宋体"/>
          <w:b/>
          <w:bCs/>
          <w:sz w:val="24"/>
          <w:szCs w:val="24"/>
        </w:rPr>
        <w:t>二、投标报价</w:t>
      </w:r>
      <w:bookmarkEnd w:id="45"/>
      <w:bookmarkEnd w:id="46"/>
      <w:bookmarkEnd w:id="47"/>
      <w:bookmarkEnd w:id="48"/>
      <w:bookmarkEnd w:id="49"/>
    </w:p>
    <w:p>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投标报价要求按招标文件要求报价，并按招标文件中所附《投标函》《投标报价表》格式填写。</w:t>
      </w:r>
      <w:bookmarkStart w:id="50" w:name="_Toc4816"/>
    </w:p>
    <w:p>
      <w:pPr>
        <w:pStyle w:val="27"/>
        <w:numPr>
          <w:ilvl w:val="0"/>
          <w:numId w:val="4"/>
        </w:numPr>
        <w:kinsoku/>
        <w:spacing w:line="360" w:lineRule="auto"/>
        <w:ind w:left="0" w:firstLine="439" w:firstLineChars="183"/>
        <w:rPr>
          <w:rFonts w:hint="eastAsia" w:ascii="宋体" w:hAnsi="宋体" w:eastAsia="宋体" w:cs="宋体"/>
          <w:sz w:val="24"/>
          <w:szCs w:val="24"/>
        </w:rPr>
      </w:pPr>
      <w:r>
        <w:rPr>
          <w:rFonts w:hint="eastAsia" w:ascii="宋体" w:hAnsi="宋体" w:eastAsia="宋体" w:cs="宋体"/>
          <w:sz w:val="24"/>
          <w:szCs w:val="24"/>
        </w:rPr>
        <w:t>所有投标均以人民币报价。</w:t>
      </w:r>
      <w:bookmarkEnd w:id="50"/>
    </w:p>
    <w:p>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投标人所报单价在本招标文件项下的合同履行期间不能因市场变化因素而变动。</w:t>
      </w:r>
    </w:p>
    <w:p>
      <w:pPr>
        <w:pStyle w:val="27"/>
        <w:numPr>
          <w:ilvl w:val="0"/>
          <w:numId w:val="4"/>
        </w:numPr>
        <w:kinsoku/>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投标人所报的各种价格均为含税到招标人指定地点交货价（包含产品包装、运输、装卸 等相关费用）；投标报价以元为单位，精确到小数点后两位数，超出两位按四舍五入计；包装物投标人不回收，费用由投标人负担。</w:t>
      </w:r>
    </w:p>
    <w:p>
      <w:pPr>
        <w:pStyle w:val="27"/>
        <w:numPr>
          <w:ilvl w:val="0"/>
          <w:numId w:val="4"/>
        </w:numPr>
        <w:kinsoku/>
        <w:topLinePunct/>
        <w:autoSpaceDN/>
        <w:spacing w:line="360" w:lineRule="auto"/>
        <w:ind w:left="0" w:firstLine="424" w:firstLineChars="177"/>
        <w:rPr>
          <w:rFonts w:hint="eastAsia" w:ascii="宋体" w:hAnsi="宋体" w:eastAsia="宋体" w:cs="宋体"/>
          <w:sz w:val="24"/>
          <w:szCs w:val="24"/>
        </w:rPr>
      </w:pPr>
      <w:r>
        <w:rPr>
          <w:rFonts w:hint="eastAsia" w:ascii="宋体" w:hAnsi="宋体" w:eastAsia="宋体" w:cs="宋体"/>
          <w:sz w:val="24"/>
          <w:szCs w:val="24"/>
        </w:rPr>
        <w:t>招标人有权重视各投标人全部报价的合理性。所有投标人不能相互串通、哄抬报价，若有发现，招标人有权宣布其投标无效。</w:t>
      </w:r>
    </w:p>
    <w:p>
      <w:pPr>
        <w:kinsoku/>
        <w:spacing w:line="360" w:lineRule="auto"/>
        <w:ind w:firstLine="482" w:firstLineChars="200"/>
        <w:outlineLvl w:val="0"/>
        <w:rPr>
          <w:rFonts w:hint="eastAsia" w:ascii="宋体" w:hAnsi="宋体" w:eastAsia="宋体" w:cs="宋体"/>
          <w:b/>
          <w:bCs/>
          <w:sz w:val="24"/>
          <w:szCs w:val="24"/>
        </w:rPr>
      </w:pPr>
      <w:bookmarkStart w:id="51" w:name="_Toc19945"/>
      <w:bookmarkStart w:id="52" w:name="_Toc14547"/>
      <w:bookmarkStart w:id="53" w:name="_Toc13329"/>
      <w:bookmarkStart w:id="54" w:name="_Toc2348"/>
      <w:bookmarkStart w:id="55" w:name="_Toc24896"/>
      <w:r>
        <w:rPr>
          <w:rFonts w:hint="eastAsia" w:ascii="宋体" w:hAnsi="宋体" w:eastAsia="宋体" w:cs="宋体"/>
          <w:b/>
          <w:bCs/>
          <w:sz w:val="24"/>
          <w:szCs w:val="24"/>
        </w:rPr>
        <w:t>三、投标文件</w:t>
      </w:r>
      <w:bookmarkEnd w:id="51"/>
      <w:bookmarkEnd w:id="52"/>
      <w:bookmarkEnd w:id="53"/>
      <w:bookmarkEnd w:id="54"/>
      <w:bookmarkEnd w:id="55"/>
    </w:p>
    <w:p>
      <w:pPr>
        <w:pStyle w:val="27"/>
        <w:numPr>
          <w:ilvl w:val="0"/>
          <w:numId w:val="5"/>
        </w:numPr>
        <w:kinsoku/>
        <w:spacing w:line="360" w:lineRule="auto"/>
        <w:ind w:left="0" w:firstLine="480"/>
        <w:outlineLvl w:val="0"/>
        <w:rPr>
          <w:rFonts w:hint="eastAsia" w:ascii="宋体" w:hAnsi="宋体" w:eastAsia="宋体" w:cs="宋体"/>
          <w:sz w:val="24"/>
          <w:szCs w:val="24"/>
        </w:rPr>
      </w:pPr>
      <w:bookmarkStart w:id="56" w:name="_Toc30571"/>
      <w:bookmarkStart w:id="57" w:name="_Toc29954"/>
      <w:bookmarkStart w:id="58" w:name="_Toc11398"/>
      <w:bookmarkStart w:id="59" w:name="_Toc2231"/>
      <w:bookmarkStart w:id="60" w:name="_Toc30156"/>
      <w:bookmarkStart w:id="61" w:name="_Toc7457"/>
      <w:r>
        <w:rPr>
          <w:rFonts w:hint="eastAsia" w:ascii="宋体" w:hAnsi="宋体" w:eastAsia="宋体" w:cs="宋体"/>
          <w:sz w:val="24"/>
          <w:szCs w:val="24"/>
        </w:rPr>
        <w:t>投标人应填写其单位名称全称。</w:t>
      </w:r>
      <w:bookmarkEnd w:id="56"/>
      <w:bookmarkEnd w:id="57"/>
      <w:bookmarkEnd w:id="58"/>
      <w:bookmarkEnd w:id="59"/>
      <w:bookmarkEnd w:id="60"/>
      <w:bookmarkEnd w:id="61"/>
    </w:p>
    <w:p>
      <w:pPr>
        <w:pStyle w:val="27"/>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投标文件包括《投标函》《投标报价表》《投标人产品质量承诺函》和资格证明文件。资格证明文件包含上述投标资格要求中的所有资料。</w:t>
      </w:r>
    </w:p>
    <w:p>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《投标函》《投标报价表》《投标人产品质量承诺函》须加盖投标人公章，由其法定代表人或其委托代理人亲笔签字。</w:t>
      </w:r>
    </w:p>
    <w:p>
      <w:pPr>
        <w:pStyle w:val="27"/>
        <w:widowControl w:val="0"/>
        <w:numPr>
          <w:ilvl w:val="0"/>
          <w:numId w:val="5"/>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自开标之日起60天内，投标文件应保持有效。有效期短于前述规定期限的投标，将被拒绝。</w:t>
      </w:r>
    </w:p>
    <w:p>
      <w:pPr>
        <w:kinsoku/>
        <w:spacing w:line="360" w:lineRule="auto"/>
        <w:ind w:firstLine="482" w:firstLineChars="200"/>
        <w:outlineLvl w:val="0"/>
        <w:rPr>
          <w:rFonts w:hint="eastAsia" w:ascii="宋体" w:hAnsi="宋体" w:eastAsia="宋体" w:cs="宋体"/>
          <w:b/>
          <w:bCs/>
          <w:sz w:val="24"/>
          <w:szCs w:val="24"/>
        </w:rPr>
      </w:pPr>
      <w:bookmarkStart w:id="62" w:name="_Toc8"/>
      <w:bookmarkStart w:id="63" w:name="_Toc29111"/>
      <w:bookmarkStart w:id="64" w:name="_Toc18677"/>
      <w:bookmarkStart w:id="65" w:name="_Toc14760"/>
      <w:bookmarkStart w:id="66" w:name="_Toc23458"/>
      <w:r>
        <w:rPr>
          <w:rFonts w:hint="eastAsia" w:ascii="宋体" w:hAnsi="宋体" w:eastAsia="宋体" w:cs="宋体"/>
          <w:b/>
          <w:bCs/>
          <w:sz w:val="24"/>
          <w:szCs w:val="24"/>
        </w:rPr>
        <w:t>四、开标、评标、定标</w:t>
      </w:r>
      <w:bookmarkEnd w:id="62"/>
      <w:bookmarkEnd w:id="63"/>
      <w:bookmarkEnd w:id="64"/>
      <w:bookmarkEnd w:id="65"/>
      <w:bookmarkEnd w:id="66"/>
    </w:p>
    <w:p>
      <w:pPr>
        <w:pStyle w:val="27"/>
        <w:numPr>
          <w:ilvl w:val="0"/>
          <w:numId w:val="6"/>
        </w:numPr>
        <w:kinsoku/>
        <w:spacing w:line="360" w:lineRule="auto"/>
        <w:ind w:left="0" w:firstLine="480"/>
        <w:outlineLvl w:val="0"/>
        <w:rPr>
          <w:rFonts w:hint="eastAsia" w:ascii="宋体" w:hAnsi="宋体" w:eastAsia="宋体" w:cs="宋体"/>
          <w:sz w:val="24"/>
          <w:szCs w:val="24"/>
        </w:rPr>
      </w:pPr>
      <w:bookmarkStart w:id="67" w:name="_Toc31780"/>
      <w:bookmarkStart w:id="68" w:name="_Toc5695"/>
      <w:bookmarkStart w:id="69" w:name="_Toc20255"/>
      <w:bookmarkStart w:id="70" w:name="_Toc998"/>
      <w:bookmarkStart w:id="71" w:name="_Toc3331"/>
      <w:bookmarkStart w:id="72" w:name="_Toc29386"/>
      <w:r>
        <w:rPr>
          <w:rFonts w:hint="eastAsia" w:ascii="宋体" w:hAnsi="宋体" w:eastAsia="宋体" w:cs="宋体"/>
          <w:sz w:val="24"/>
          <w:szCs w:val="24"/>
        </w:rPr>
        <w:t>开标时，将按照招标人有关招投标规定执行。</w:t>
      </w:r>
      <w:bookmarkEnd w:id="67"/>
      <w:bookmarkEnd w:id="68"/>
      <w:bookmarkEnd w:id="69"/>
      <w:bookmarkEnd w:id="70"/>
      <w:bookmarkEnd w:id="71"/>
      <w:bookmarkEnd w:id="72"/>
    </w:p>
    <w:p>
      <w:pPr>
        <w:pStyle w:val="27"/>
        <w:numPr>
          <w:ilvl w:val="0"/>
          <w:numId w:val="6"/>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开标后由招标人组建的评标委员会进行评标，以经评审的</w:t>
      </w:r>
      <w:r>
        <w:rPr>
          <w:rFonts w:hint="eastAsia" w:ascii="宋体" w:hAnsi="宋体" w:eastAsia="宋体" w:cs="宋体"/>
          <w:sz w:val="24"/>
          <w:szCs w:val="24"/>
          <w:lang w:val="en-US" w:eastAsia="zh-CN"/>
        </w:rPr>
        <w:t>综合</w:t>
      </w:r>
      <w:r>
        <w:rPr>
          <w:rFonts w:hint="eastAsia" w:ascii="宋体" w:hAnsi="宋体" w:eastAsia="宋体" w:cs="宋体"/>
          <w:sz w:val="24"/>
          <w:szCs w:val="24"/>
        </w:rPr>
        <w:t>评标价法确定中标人。</w:t>
      </w:r>
    </w:p>
    <w:p>
      <w:pPr>
        <w:pStyle w:val="27"/>
        <w:numPr>
          <w:ilvl w:val="0"/>
          <w:numId w:val="6"/>
        </w:numPr>
        <w:kinsoku/>
        <w:spacing w:line="360" w:lineRule="auto"/>
        <w:ind w:left="0" w:firstLine="480"/>
        <w:outlineLvl w:val="0"/>
        <w:rPr>
          <w:rFonts w:hint="eastAsia" w:ascii="宋体" w:hAnsi="宋体" w:eastAsia="宋体" w:cs="宋体"/>
          <w:sz w:val="24"/>
          <w:szCs w:val="24"/>
        </w:rPr>
      </w:pPr>
      <w:bookmarkStart w:id="73" w:name="_Toc24129"/>
      <w:bookmarkStart w:id="74" w:name="_Toc6426"/>
      <w:bookmarkStart w:id="75" w:name="_Toc14086"/>
      <w:bookmarkStart w:id="76" w:name="_Toc26371"/>
      <w:bookmarkStart w:id="77" w:name="_Toc12"/>
      <w:bookmarkStart w:id="78" w:name="_Toc18886"/>
      <w:r>
        <w:rPr>
          <w:rFonts w:hint="eastAsia" w:ascii="宋体" w:hAnsi="宋体" w:eastAsia="宋体" w:cs="宋体"/>
          <w:sz w:val="24"/>
          <w:szCs w:val="24"/>
        </w:rPr>
        <w:t>招标人不对未中标的投标人作任何解释，不退还投标文件。</w:t>
      </w:r>
      <w:bookmarkEnd w:id="73"/>
      <w:bookmarkEnd w:id="74"/>
      <w:bookmarkEnd w:id="75"/>
      <w:bookmarkEnd w:id="76"/>
      <w:bookmarkEnd w:id="77"/>
      <w:bookmarkEnd w:id="78"/>
    </w:p>
    <w:p>
      <w:pPr>
        <w:kinsoku/>
        <w:spacing w:line="360" w:lineRule="auto"/>
        <w:ind w:firstLine="482" w:firstLineChars="200"/>
        <w:outlineLvl w:val="0"/>
        <w:rPr>
          <w:rFonts w:hint="eastAsia" w:ascii="宋体" w:hAnsi="宋体" w:eastAsia="宋体" w:cs="宋体"/>
          <w:b/>
          <w:bCs/>
          <w:sz w:val="24"/>
          <w:szCs w:val="24"/>
        </w:rPr>
      </w:pPr>
      <w:bookmarkStart w:id="79" w:name="_Toc25649"/>
      <w:bookmarkStart w:id="80" w:name="_Toc2586"/>
      <w:bookmarkStart w:id="81" w:name="_Toc32748"/>
      <w:bookmarkStart w:id="82" w:name="_Toc6326"/>
      <w:bookmarkStart w:id="83" w:name="_Toc29662"/>
      <w:r>
        <w:rPr>
          <w:rFonts w:hint="eastAsia" w:ascii="宋体" w:hAnsi="宋体" w:eastAsia="宋体" w:cs="宋体"/>
          <w:b/>
          <w:bCs/>
          <w:sz w:val="24"/>
          <w:szCs w:val="24"/>
        </w:rPr>
        <w:t>五、纪律要求</w:t>
      </w:r>
      <w:bookmarkEnd w:id="79"/>
      <w:bookmarkEnd w:id="80"/>
      <w:bookmarkEnd w:id="81"/>
      <w:bookmarkEnd w:id="82"/>
      <w:bookmarkEnd w:id="83"/>
    </w:p>
    <w:p>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投标人不得相互串通投标或者与招标人串通投标，不得向招标人或者评标委员会及其组成人员行贿谋取中标，不得以他人名义投标或者以其他方式弄虚作假骗取中标；投标人不得以任何方式干扰、影响评标工作。</w:t>
      </w:r>
    </w:p>
    <w:p>
      <w:pPr>
        <w:pStyle w:val="27"/>
        <w:numPr>
          <w:ilvl w:val="0"/>
          <w:numId w:val="7"/>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评标委员会及其组成人员应严格自律，严格遵守国家</w:t>
      </w:r>
      <w:r>
        <w:rPr>
          <w:rFonts w:hint="eastAsia" w:ascii="宋体" w:hAnsi="宋体" w:eastAsia="宋体" w:cs="宋体"/>
          <w:sz w:val="24"/>
          <w:szCs w:val="24"/>
          <w:lang w:eastAsia="zh-CN"/>
        </w:rPr>
        <w:t>法律法规</w:t>
      </w:r>
      <w:r>
        <w:rPr>
          <w:rFonts w:hint="eastAsia" w:ascii="宋体" w:hAnsi="宋体" w:eastAsia="宋体" w:cs="宋体"/>
          <w:sz w:val="24"/>
          <w:szCs w:val="24"/>
        </w:rPr>
        <w:t>，并接受监察部门的监督。</w:t>
      </w:r>
    </w:p>
    <w:p>
      <w:pPr>
        <w:kinsoku/>
        <w:spacing w:line="360" w:lineRule="auto"/>
        <w:ind w:firstLine="482" w:firstLineChars="200"/>
        <w:outlineLvl w:val="0"/>
        <w:rPr>
          <w:rFonts w:hint="eastAsia" w:ascii="宋体" w:hAnsi="宋体" w:eastAsia="宋体" w:cs="宋体"/>
          <w:b/>
          <w:bCs/>
          <w:sz w:val="24"/>
          <w:szCs w:val="24"/>
        </w:rPr>
      </w:pPr>
      <w:bookmarkStart w:id="84" w:name="_Toc7771"/>
      <w:bookmarkStart w:id="85" w:name="_Toc11099"/>
      <w:bookmarkStart w:id="86" w:name="_Toc23438"/>
      <w:bookmarkStart w:id="87" w:name="_Toc9588"/>
      <w:bookmarkStart w:id="88" w:name="_Toc3302"/>
      <w:r>
        <w:rPr>
          <w:rFonts w:hint="eastAsia" w:ascii="宋体" w:hAnsi="宋体" w:eastAsia="宋体" w:cs="宋体"/>
          <w:b/>
          <w:bCs/>
          <w:sz w:val="24"/>
          <w:szCs w:val="24"/>
        </w:rPr>
        <w:t>六、其他</w:t>
      </w:r>
      <w:bookmarkEnd w:id="84"/>
      <w:bookmarkEnd w:id="85"/>
      <w:bookmarkEnd w:id="86"/>
      <w:bookmarkEnd w:id="87"/>
      <w:bookmarkEnd w:id="88"/>
    </w:p>
    <w:p>
      <w:pPr>
        <w:pStyle w:val="27"/>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中标人若改变</w:t>
      </w:r>
      <w:r>
        <w:rPr>
          <w:rFonts w:hint="eastAsia" w:ascii="宋体" w:hAnsi="宋体" w:eastAsia="宋体" w:cs="宋体"/>
          <w:sz w:val="24"/>
          <w:szCs w:val="24"/>
          <w:lang w:val="en-US" w:eastAsia="zh-CN"/>
        </w:rPr>
        <w:t>面料</w:t>
      </w:r>
      <w:r>
        <w:rPr>
          <w:rFonts w:hint="eastAsia" w:ascii="宋体" w:hAnsi="宋体" w:eastAsia="宋体" w:cs="宋体"/>
          <w:sz w:val="24"/>
          <w:szCs w:val="24"/>
        </w:rPr>
        <w:t>和生产工艺，需征得招标人同意，并需重新认可。</w:t>
      </w:r>
    </w:p>
    <w:p>
      <w:pPr>
        <w:pStyle w:val="27"/>
        <w:numPr>
          <w:ilvl w:val="0"/>
          <w:numId w:val="8"/>
        </w:numPr>
        <w:kinsoku/>
        <w:spacing w:line="360" w:lineRule="auto"/>
        <w:ind w:left="0" w:firstLine="480"/>
        <w:rPr>
          <w:rFonts w:hint="eastAsia" w:ascii="宋体" w:hAnsi="宋体" w:eastAsia="宋体" w:cs="宋体"/>
          <w:sz w:val="24"/>
          <w:szCs w:val="24"/>
        </w:rPr>
      </w:pPr>
      <w:r>
        <w:rPr>
          <w:rFonts w:hint="eastAsia" w:ascii="宋体" w:hAnsi="宋体" w:eastAsia="宋体" w:cs="宋体"/>
          <w:sz w:val="24"/>
          <w:szCs w:val="24"/>
        </w:rPr>
        <w:t>参加招投标活动的各方应视本次招投标活动的任何信息为秘密，在没有事先征得对方的书面同意的情况下，任何一方不得以任何方式向第三人公布、传递或透露任何信息，违者应对由此造成的后果承担法律责任。</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89" w:name="_Toc14035"/>
      <w:bookmarkStart w:id="90" w:name="_Toc26223"/>
      <w:bookmarkStart w:id="91" w:name="_Toc14207"/>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三、评标办法</w:t>
      </w:r>
      <w:bookmarkEnd w:id="89"/>
      <w:bookmarkEnd w:id="90"/>
      <w:bookmarkEnd w:id="91"/>
    </w:p>
    <w:p>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1.</w:t>
      </w:r>
      <w:r>
        <w:rPr>
          <w:rFonts w:hint="eastAsia" w:ascii="宋体" w:hAnsi="宋体" w:eastAsia="宋体" w:cs="宋体"/>
          <w:b/>
          <w:bCs/>
          <w:color w:val="auto"/>
          <w:sz w:val="24"/>
        </w:rPr>
        <w:t>评标原则</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评标工作应根据《中华人民共和国招标投标法》和国家、地</w:t>
      </w:r>
      <w:r>
        <w:rPr>
          <w:rFonts w:hint="eastAsia" w:ascii="宋体" w:hAnsi="宋体" w:eastAsia="宋体" w:cs="宋体"/>
          <w:color w:val="auto"/>
          <w:sz w:val="24"/>
          <w:lang w:eastAsia="zh-CN"/>
        </w:rPr>
        <w:t>方</w:t>
      </w:r>
      <w:r>
        <w:rPr>
          <w:rFonts w:hint="eastAsia" w:ascii="宋体" w:hAnsi="宋体" w:eastAsia="宋体" w:cs="宋体"/>
          <w:color w:val="auto"/>
          <w:sz w:val="24"/>
        </w:rPr>
        <w:t>政府有关招标投标法规的有关规定，遵循“公平、公正、诚实信用、科学、择优”的原则进行。评标委员会将按照规定只对通过资格及响应性审查的各合格投标人进行评价和比较。</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rPr>
        <w:t>2.评标办法类型</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w:t>
      </w:r>
      <w:r>
        <w:rPr>
          <w:rFonts w:hint="eastAsia" w:ascii="宋体" w:hAnsi="宋体" w:eastAsia="宋体" w:cs="宋体"/>
          <w:color w:val="auto"/>
          <w:sz w:val="24"/>
          <w:lang w:val="en-US" w:eastAsia="zh-CN"/>
        </w:rPr>
        <w:t>项目</w:t>
      </w:r>
      <w:r>
        <w:rPr>
          <w:rFonts w:hint="eastAsia" w:ascii="宋体" w:hAnsi="宋体" w:eastAsia="宋体" w:cs="宋体"/>
          <w:color w:val="auto"/>
          <w:sz w:val="24"/>
        </w:rPr>
        <w:t>采用</w:t>
      </w:r>
      <w:r>
        <w:rPr>
          <w:rFonts w:hint="eastAsia" w:ascii="宋体" w:hAnsi="宋体" w:eastAsia="宋体" w:cs="宋体"/>
          <w:color w:val="auto"/>
          <w:sz w:val="24"/>
          <w:lang w:val="en-US" w:eastAsia="zh-CN"/>
        </w:rPr>
        <w:t>综合</w:t>
      </w:r>
      <w:r>
        <w:rPr>
          <w:rFonts w:hint="eastAsia" w:ascii="宋体" w:hAnsi="宋体" w:eastAsia="宋体" w:cs="宋体"/>
          <w:color w:val="auto"/>
          <w:sz w:val="24"/>
        </w:rPr>
        <w:t>评分法评</w:t>
      </w:r>
      <w:r>
        <w:rPr>
          <w:rFonts w:hint="eastAsia" w:ascii="宋体" w:hAnsi="宋体" w:eastAsia="宋体" w:cs="宋体"/>
          <w:bCs/>
          <w:color w:val="auto"/>
          <w:sz w:val="24"/>
        </w:rPr>
        <w:t>标</w:t>
      </w:r>
      <w:r>
        <w:rPr>
          <w:rFonts w:hint="eastAsia" w:ascii="宋体" w:hAnsi="宋体" w:eastAsia="宋体" w:cs="宋体"/>
          <w:color w:val="auto"/>
          <w:sz w:val="24"/>
        </w:rPr>
        <w:t>。</w:t>
      </w:r>
      <w:r>
        <w:rPr>
          <w:rFonts w:hint="eastAsia" w:ascii="宋体" w:hAnsi="宋体" w:eastAsia="宋体" w:cs="宋体"/>
          <w:bCs/>
          <w:color w:val="auto"/>
          <w:sz w:val="24"/>
        </w:rPr>
        <w:t>评标定标工作由招标人组织的评标小组</w:t>
      </w:r>
      <w:r>
        <w:rPr>
          <w:rFonts w:hint="eastAsia" w:ascii="宋体" w:hAnsi="宋体" w:eastAsia="宋体" w:cs="宋体"/>
          <w:bCs/>
          <w:color w:val="auto"/>
          <w:sz w:val="24"/>
          <w:lang w:val="en-US" w:eastAsia="zh-CN"/>
        </w:rPr>
        <w:t>成员</w:t>
      </w:r>
      <w:r>
        <w:rPr>
          <w:rFonts w:hint="eastAsia" w:ascii="宋体" w:hAnsi="宋体" w:eastAsia="宋体" w:cs="宋体"/>
          <w:bCs/>
          <w:color w:val="auto"/>
          <w:sz w:val="24"/>
        </w:rPr>
        <w:t>进行</w:t>
      </w:r>
      <w:r>
        <w:rPr>
          <w:rFonts w:hint="eastAsia" w:ascii="宋体" w:hAnsi="宋体" w:eastAsia="宋体" w:cs="宋体"/>
          <w:color w:val="auto"/>
          <w:sz w:val="24"/>
        </w:rPr>
        <w:t>。</w:t>
      </w:r>
    </w:p>
    <w:p>
      <w:pPr>
        <w:pStyle w:val="10"/>
        <w:keepNext w:val="0"/>
        <w:keepLines w:val="0"/>
        <w:pageBreakBefore w:val="0"/>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3</w:t>
      </w:r>
      <w:r>
        <w:rPr>
          <w:rFonts w:hint="eastAsia" w:ascii="宋体" w:hAnsi="宋体" w:eastAsia="宋体" w:cs="宋体"/>
          <w:b/>
          <w:bCs/>
          <w:color w:val="auto"/>
          <w:sz w:val="24"/>
        </w:rPr>
        <w:t>.评审内容</w:t>
      </w:r>
    </w:p>
    <w:p>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.1 </w:t>
      </w:r>
      <w:r>
        <w:rPr>
          <w:rFonts w:hint="eastAsia" w:ascii="宋体" w:hAnsi="宋体" w:eastAsia="宋体" w:cs="宋体"/>
          <w:color w:val="auto"/>
          <w:sz w:val="24"/>
          <w:lang w:val="en-US" w:eastAsia="zh-CN"/>
        </w:rPr>
        <w:t>技术评审</w:t>
      </w:r>
      <w:r>
        <w:rPr>
          <w:rFonts w:hint="eastAsia" w:ascii="宋体" w:hAnsi="宋体" w:eastAsia="宋体" w:cs="宋体"/>
          <w:color w:val="auto"/>
          <w:sz w:val="24"/>
        </w:rPr>
        <w:t>；</w:t>
      </w:r>
    </w:p>
    <w:p>
      <w:pPr>
        <w:pStyle w:val="10"/>
        <w:keepNext w:val="0"/>
        <w:keepLines w:val="0"/>
        <w:pageBreakBefore w:val="0"/>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3</w:t>
      </w:r>
      <w:r>
        <w:rPr>
          <w:rFonts w:hint="eastAsia" w:ascii="宋体" w:hAnsi="宋体" w:eastAsia="宋体" w:cs="宋体"/>
          <w:color w:val="auto"/>
          <w:sz w:val="24"/>
        </w:rPr>
        <w:t>.2 投标报价；</w:t>
      </w:r>
    </w:p>
    <w:p>
      <w:pPr>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rPr>
      </w:pPr>
      <w:r>
        <w:rPr>
          <w:rFonts w:hint="eastAsia" w:ascii="宋体" w:hAnsi="宋体" w:eastAsia="宋体" w:cs="宋体"/>
          <w:b/>
          <w:bCs/>
          <w:color w:val="auto"/>
          <w:sz w:val="24"/>
          <w:lang w:val="en-US" w:eastAsia="zh-CN"/>
        </w:rPr>
        <w:t>4</w:t>
      </w:r>
      <w:r>
        <w:rPr>
          <w:rFonts w:hint="eastAsia" w:ascii="宋体" w:hAnsi="宋体" w:eastAsia="宋体" w:cs="宋体"/>
          <w:b/>
          <w:bCs/>
          <w:color w:val="auto"/>
          <w:sz w:val="24"/>
        </w:rPr>
        <w:t>.评审程序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.1评标小组评委按招标文件要求对各投标人的投标文件进行符合性评审（包括资格审查），确认其投标文件是否实质上响应招标文件的要求，对实质上响应招标文件要求的投标文件进入下一步评审。</w:t>
      </w:r>
      <w:r>
        <w:rPr>
          <w:rFonts w:hint="eastAsia" w:ascii="宋体" w:hAnsi="宋体" w:eastAsia="宋体" w:cs="宋体"/>
          <w:bCs/>
          <w:color w:val="auto"/>
          <w:sz w:val="24"/>
        </w:rPr>
        <w:t>凡不符合投标资质条件、专业条件要求、投标要求和未实质性响应招标文件要求的投标以及未按招标文件要求的投标格式进行投标的均为废标，不进入评分程序。</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.2评标小组评委根据招标文件所确定的评标办法对通过符合性评审的投标人进行投标及</w:t>
      </w:r>
      <w:r>
        <w:rPr>
          <w:rFonts w:hint="eastAsia" w:ascii="宋体" w:hAnsi="宋体" w:eastAsia="宋体" w:cs="宋体"/>
          <w:color w:val="auto"/>
          <w:sz w:val="24"/>
          <w:lang w:val="en-US" w:eastAsia="zh-CN"/>
        </w:rPr>
        <w:t>技术</w:t>
      </w:r>
      <w:r>
        <w:rPr>
          <w:rFonts w:hint="eastAsia" w:ascii="宋体" w:hAnsi="宋体" w:eastAsia="宋体" w:cs="宋体"/>
          <w:color w:val="auto"/>
          <w:sz w:val="24"/>
        </w:rPr>
        <w:t>、</w:t>
      </w:r>
      <w:r>
        <w:rPr>
          <w:rFonts w:hint="eastAsia" w:ascii="宋体" w:hAnsi="宋体" w:eastAsia="宋体" w:cs="宋体"/>
          <w:color w:val="auto"/>
          <w:sz w:val="24"/>
          <w:lang w:val="en-US" w:eastAsia="zh-CN"/>
        </w:rPr>
        <w:t>价格</w:t>
      </w:r>
      <w:r>
        <w:rPr>
          <w:rFonts w:hint="eastAsia" w:ascii="宋体" w:hAnsi="宋体" w:eastAsia="宋体" w:cs="宋体"/>
          <w:color w:val="auto"/>
          <w:sz w:val="24"/>
        </w:rPr>
        <w:t>因素评分。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.3汇总评标小组评委各项评分，统计结果。</w:t>
      </w:r>
    </w:p>
    <w:p>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rPr>
      </w:pPr>
      <w:r>
        <w:rPr>
          <w:rFonts w:hint="eastAsia" w:ascii="宋体" w:hAnsi="宋体" w:eastAsia="宋体" w:cs="宋体"/>
          <w:b/>
          <w:bCs/>
          <w:color w:val="auto"/>
          <w:sz w:val="24"/>
          <w:lang w:val="en-US" w:eastAsia="zh-CN"/>
        </w:rPr>
        <w:t>5</w:t>
      </w:r>
      <w:r>
        <w:rPr>
          <w:rFonts w:hint="eastAsia" w:ascii="宋体" w:hAnsi="宋体" w:eastAsia="宋体" w:cs="宋体"/>
          <w:b/>
          <w:bCs/>
          <w:color w:val="auto"/>
          <w:sz w:val="24"/>
        </w:rPr>
        <w:t>.其他方面要求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本工程招标文件未尽事宜，按照《中华人民共和国招标投标法</w:t>
      </w:r>
      <w:r>
        <w:rPr>
          <w:rFonts w:hint="eastAsia" w:ascii="宋体" w:hAnsi="宋体" w:eastAsia="宋体" w:cs="宋体"/>
          <w:color w:val="auto"/>
          <w:sz w:val="24"/>
          <w:lang w:eastAsia="zh-CN"/>
        </w:rPr>
        <w:t>》《</w:t>
      </w:r>
      <w:r>
        <w:rPr>
          <w:rFonts w:hint="eastAsia" w:ascii="宋体" w:hAnsi="宋体" w:eastAsia="宋体" w:cs="宋体"/>
          <w:color w:val="auto"/>
          <w:sz w:val="24"/>
        </w:rPr>
        <w:t>福建省招标投标管理办法》等有关法规、规定执行。</w:t>
      </w:r>
    </w:p>
    <w:p>
      <w:pPr>
        <w:keepNext w:val="0"/>
        <w:keepLines w:val="0"/>
        <w:pageBreakBefore w:val="0"/>
        <w:kinsoku/>
        <w:wordWrap/>
        <w:overflowPunct/>
        <w:topLinePunct w:val="0"/>
        <w:autoSpaceDE/>
        <w:autoSpaceDN/>
        <w:bidi w:val="0"/>
        <w:adjustRightInd/>
        <w:snapToGrid/>
        <w:spacing w:line="360" w:lineRule="auto"/>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lang w:val="en-US" w:eastAsia="zh-CN"/>
        </w:rPr>
        <w:t>6</w:t>
      </w:r>
      <w:r>
        <w:rPr>
          <w:rFonts w:hint="eastAsia" w:ascii="宋体" w:hAnsi="宋体" w:eastAsia="宋体" w:cs="宋体"/>
          <w:b/>
          <w:color w:val="auto"/>
          <w:sz w:val="24"/>
        </w:rPr>
        <w:t>.评审标准</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评分标准的总分为100分，其分值由</w:t>
      </w:r>
      <w:r>
        <w:rPr>
          <w:rFonts w:hint="eastAsia" w:ascii="宋体" w:hAnsi="宋体" w:eastAsia="宋体" w:cs="宋体"/>
          <w:color w:val="auto"/>
          <w:sz w:val="24"/>
          <w:highlight w:val="none"/>
          <w:lang w:val="en-US" w:eastAsia="zh-CN"/>
        </w:rPr>
        <w:t>技术部分（10分）、商务部分（10分）、报价</w:t>
      </w:r>
      <w:r>
        <w:rPr>
          <w:rFonts w:hint="eastAsia" w:ascii="宋体" w:hAnsi="宋体" w:eastAsia="宋体" w:cs="宋体"/>
          <w:color w:val="auto"/>
          <w:sz w:val="24"/>
          <w:highlight w:val="none"/>
        </w:rPr>
        <w:t>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0分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组成，评审标准具体如下：</w:t>
      </w:r>
    </w:p>
    <w:p>
      <w:pPr>
        <w:pStyle w:val="23"/>
        <w:rPr>
          <w:rFonts w:hint="eastAsia" w:ascii="宋体" w:hAnsi="宋体" w:eastAsia="宋体" w:cs="宋体"/>
          <w:color w:val="auto"/>
          <w:sz w:val="24"/>
          <w:highlight w:val="none"/>
        </w:rPr>
      </w:pPr>
    </w:p>
    <w:p>
      <w:pPr>
        <w:pStyle w:val="23"/>
        <w:rPr>
          <w:rFonts w:hint="eastAsia" w:ascii="宋体" w:hAnsi="宋体" w:eastAsia="宋体" w:cs="宋体"/>
          <w:color w:val="auto"/>
          <w:sz w:val="24"/>
          <w:highlight w:val="none"/>
        </w:rPr>
      </w:pPr>
    </w:p>
    <w:p>
      <w:pPr>
        <w:ind w:firstLine="458" w:firstLineChars="200"/>
        <w:rPr>
          <w:rFonts w:hint="eastAsia" w:ascii="宋体" w:hAnsi="宋体" w:eastAsia="宋体" w:cs="宋体"/>
          <w:b/>
          <w:bCs/>
          <w:color w:val="auto"/>
          <w:spacing w:val="-6"/>
          <w:sz w:val="24"/>
          <w:highlight w:val="none"/>
          <w:lang w:eastAsia="zh-CN"/>
        </w:rPr>
      </w:pPr>
    </w:p>
    <w:p>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2" w:name="_Toc23296"/>
      <w:bookmarkStart w:id="93" w:name="_Toc13537"/>
      <w:bookmarkStart w:id="94" w:name="_Toc147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四、综合评标评分标准</w:t>
      </w:r>
      <w:bookmarkEnd w:id="92"/>
      <w:bookmarkEnd w:id="93"/>
      <w:bookmarkEnd w:id="94"/>
    </w:p>
    <w:p>
      <w:pPr>
        <w:widowControl w:val="0"/>
        <w:kinsoku/>
        <w:autoSpaceDE/>
        <w:autoSpaceDN/>
        <w:adjustRightInd/>
        <w:snapToGrid/>
        <w:spacing w:before="120" w:beforeLines="50" w:line="360" w:lineRule="auto"/>
        <w:ind w:firstLine="482" w:firstLineChars="200"/>
        <w:jc w:val="both"/>
        <w:textAlignment w:val="auto"/>
        <w:rPr>
          <w:rFonts w:hint="eastAsia" w:ascii="宋体" w:hAnsi="宋体" w:eastAsia="宋体" w:cs="宋体"/>
          <w:b/>
          <w:bCs/>
          <w:sz w:val="24"/>
        </w:rPr>
      </w:pPr>
      <w:r>
        <w:rPr>
          <w:rFonts w:hint="eastAsia" w:ascii="宋体" w:hAnsi="宋体" w:eastAsia="宋体" w:cs="宋体"/>
          <w:b/>
          <w:bCs/>
          <w:sz w:val="24"/>
        </w:rPr>
        <w:t>1、技术部分（分值</w:t>
      </w:r>
      <w:r>
        <w:rPr>
          <w:rFonts w:hint="eastAsia" w:ascii="宋体" w:hAnsi="宋体" w:eastAsia="宋体" w:cs="宋体"/>
          <w:b/>
          <w:bCs/>
          <w:sz w:val="24"/>
          <w:lang w:val="en-US" w:eastAsia="zh-CN"/>
        </w:rPr>
        <w:t>1</w:t>
      </w:r>
      <w:r>
        <w:rPr>
          <w:rFonts w:hint="eastAsia" w:ascii="宋体" w:hAnsi="宋体" w:eastAsia="宋体" w:cs="宋体"/>
          <w:b/>
          <w:bCs/>
          <w:sz w:val="24"/>
        </w:rPr>
        <w:t>0分）</w:t>
      </w:r>
    </w:p>
    <w:tbl>
      <w:tblPr>
        <w:tblStyle w:val="16"/>
        <w:tblW w:w="9180"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3" w:type="dxa"/>
          <w:bottom w:w="0" w:type="dxa"/>
          <w:right w:w="108" w:type="dxa"/>
        </w:tblCellMar>
      </w:tblPr>
      <w:tblGrid>
        <w:gridCol w:w="710"/>
        <w:gridCol w:w="1180"/>
        <w:gridCol w:w="860"/>
        <w:gridCol w:w="529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87" w:hRule="atLeast"/>
        </w:trPr>
        <w:tc>
          <w:tcPr>
            <w:tcW w:w="710" w:type="dxa"/>
            <w:tcMar>
              <w:left w:w="103"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1180" w:type="dxa"/>
            <w:tcMar>
              <w:left w:w="103"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类别</w:t>
            </w:r>
          </w:p>
        </w:tc>
        <w:tc>
          <w:tcPr>
            <w:tcW w:w="860" w:type="dxa"/>
            <w:tcMar>
              <w:left w:w="103"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满分</w:t>
            </w:r>
          </w:p>
        </w:tc>
        <w:tc>
          <w:tcPr>
            <w:tcW w:w="5296" w:type="dxa"/>
            <w:tcMar>
              <w:left w:w="103"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评审内容</w:t>
            </w:r>
          </w:p>
        </w:tc>
        <w:tc>
          <w:tcPr>
            <w:tcW w:w="1134" w:type="dxa"/>
            <w:tcMar>
              <w:left w:w="103" w:type="dxa"/>
            </w:tcMar>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实得分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3" w:type="dxa"/>
            <w:bottom w:w="0" w:type="dxa"/>
            <w:right w:w="108" w:type="dxa"/>
          </w:tblCellMar>
        </w:tblPrEx>
        <w:trPr>
          <w:trHeight w:val="510" w:hRule="atLeast"/>
        </w:trPr>
        <w:tc>
          <w:tcPr>
            <w:tcW w:w="710" w:type="dxa"/>
            <w:tcMar>
              <w:left w:w="103" w:type="dxa"/>
            </w:tcMar>
            <w:vAlign w:val="center"/>
          </w:tcPr>
          <w:p>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180" w:type="dxa"/>
            <w:tcMar>
              <w:left w:w="103" w:type="dxa"/>
            </w:tcMar>
            <w:vAlign w:val="center"/>
          </w:tcPr>
          <w:p>
            <w:pPr>
              <w:pStyle w:val="7"/>
              <w:widowControl w:val="0"/>
              <w:kinsoku/>
              <w:autoSpaceDE/>
              <w:autoSpaceDN/>
              <w:spacing w:line="360" w:lineRule="auto"/>
              <w:jc w:val="center"/>
              <w:textAlignment w:val="auto"/>
              <w:rPr>
                <w:rFonts w:hint="eastAsia" w:ascii="宋体" w:hAnsi="宋体" w:eastAsia="宋体" w:cs="宋体"/>
                <w:color w:val="auto"/>
                <w:szCs w:val="24"/>
                <w:lang w:val="en-US"/>
              </w:rPr>
            </w:pPr>
            <w:r>
              <w:rPr>
                <w:rFonts w:hint="eastAsia" w:ascii="宋体" w:hAnsi="宋体" w:eastAsia="宋体" w:cs="宋体"/>
                <w:color w:val="auto"/>
                <w:szCs w:val="24"/>
                <w:lang w:val="en-US"/>
              </w:rPr>
              <w:t>技术要求</w:t>
            </w:r>
          </w:p>
        </w:tc>
        <w:tc>
          <w:tcPr>
            <w:tcW w:w="860" w:type="dxa"/>
            <w:tcMar>
              <w:left w:w="103" w:type="dxa"/>
            </w:tcMar>
            <w:vAlign w:val="center"/>
          </w:tcPr>
          <w:p>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0分</w:t>
            </w:r>
          </w:p>
        </w:tc>
        <w:tc>
          <w:tcPr>
            <w:tcW w:w="5296" w:type="dxa"/>
            <w:tcMar>
              <w:left w:w="103" w:type="dxa"/>
            </w:tcMar>
            <w:vAlign w:val="center"/>
          </w:tcPr>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宋体" w:hAnsi="宋体" w:eastAsia="宋体" w:cs="宋体"/>
                <w:lang w:val="en-US" w:eastAsia="zh-CN"/>
              </w:rPr>
            </w:pPr>
            <w:r>
              <w:rPr>
                <w:rFonts w:hint="eastAsia" w:ascii="宋体" w:hAnsi="宋体" w:eastAsia="宋体" w:cs="宋体"/>
                <w:color w:val="auto"/>
                <w:kern w:val="0"/>
                <w:sz w:val="24"/>
                <w:szCs w:val="24"/>
                <w:highlight w:val="none"/>
                <w:lang w:val="en-US" w:eastAsia="zh-CN"/>
              </w:rPr>
              <w:t>关键参数：一项不响应扣3分。</w:t>
            </w:r>
          </w:p>
          <w:p>
            <w:pPr>
              <w:widowControl w:val="0"/>
              <w:kinsoku/>
              <w:autoSpaceDE/>
              <w:autoSpaceDN/>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highlight w:val="none"/>
                <w:lang w:val="en-US" w:eastAsia="zh-CN"/>
              </w:rPr>
              <w:t>一般参数：一项不响应扣1分。</w:t>
            </w:r>
          </w:p>
        </w:tc>
        <w:tc>
          <w:tcPr>
            <w:tcW w:w="1134" w:type="dxa"/>
            <w:tcMar>
              <w:left w:w="103" w:type="dxa"/>
            </w:tcMar>
            <w:vAlign w:val="center"/>
          </w:tcPr>
          <w:p>
            <w:pPr>
              <w:widowControl w:val="0"/>
              <w:kinsoku/>
              <w:autoSpaceDE/>
              <w:autoSpaceDN/>
              <w:spacing w:line="360" w:lineRule="auto"/>
              <w:jc w:val="center"/>
              <w:textAlignment w:val="auto"/>
              <w:rPr>
                <w:rFonts w:hint="eastAsia" w:ascii="宋体" w:hAnsi="宋体" w:eastAsia="宋体" w:cs="宋体"/>
                <w:color w:val="auto"/>
                <w:sz w:val="24"/>
                <w:szCs w:val="24"/>
              </w:rPr>
            </w:pPr>
          </w:p>
        </w:tc>
      </w:tr>
    </w:tbl>
    <w:p>
      <w:pPr>
        <w:spacing w:line="360" w:lineRule="auto"/>
        <w:jc w:val="both"/>
        <w:rPr>
          <w:rFonts w:hint="eastAsia" w:ascii="宋体" w:hAnsi="宋体" w:eastAsia="宋体" w:cs="宋体"/>
          <w:b/>
          <w:bCs/>
          <w:sz w:val="24"/>
        </w:rPr>
      </w:pPr>
    </w:p>
    <w:p>
      <w:pPr>
        <w:spacing w:line="360" w:lineRule="auto"/>
        <w:ind w:firstLine="482" w:firstLineChars="200"/>
        <w:jc w:val="both"/>
        <w:rPr>
          <w:rFonts w:hint="eastAsia" w:ascii="宋体" w:hAnsi="宋体" w:eastAsia="宋体" w:cs="宋体"/>
          <w:b/>
          <w:bCs/>
          <w:sz w:val="24"/>
        </w:rPr>
      </w:pPr>
      <w:r>
        <w:rPr>
          <w:rFonts w:hint="eastAsia" w:ascii="宋体" w:hAnsi="宋体" w:eastAsia="宋体" w:cs="宋体"/>
          <w:b/>
          <w:bCs/>
          <w:sz w:val="24"/>
          <w:lang w:val="en-US" w:eastAsia="zh-CN"/>
        </w:rPr>
        <w:t>2</w:t>
      </w:r>
      <w:r>
        <w:rPr>
          <w:rFonts w:hint="eastAsia" w:ascii="宋体" w:hAnsi="宋体" w:eastAsia="宋体" w:cs="宋体"/>
          <w:b/>
          <w:bCs/>
          <w:sz w:val="24"/>
        </w:rPr>
        <w:t>、价格部分（分值</w:t>
      </w:r>
      <w:r>
        <w:rPr>
          <w:rFonts w:hint="eastAsia" w:ascii="宋体" w:hAnsi="宋体" w:eastAsia="宋体" w:cs="宋体"/>
          <w:b/>
          <w:bCs/>
          <w:sz w:val="24"/>
          <w:lang w:val="en-US" w:eastAsia="zh-CN"/>
        </w:rPr>
        <w:t>90</w:t>
      </w:r>
      <w:r>
        <w:rPr>
          <w:rFonts w:hint="eastAsia" w:ascii="宋体" w:hAnsi="宋体" w:eastAsia="宋体" w:cs="宋体"/>
          <w:b/>
          <w:bCs/>
          <w:sz w:val="24"/>
        </w:rPr>
        <w:t>分）</w:t>
      </w:r>
    </w:p>
    <w:tbl>
      <w:tblPr>
        <w:tblStyle w:val="16"/>
        <w:tblW w:w="9190" w:type="dxa"/>
        <w:tblInd w:w="127" w:type="dxa"/>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Layout w:type="fixed"/>
        <w:tblCellMar>
          <w:top w:w="0" w:type="dxa"/>
          <w:left w:w="103" w:type="dxa"/>
          <w:bottom w:w="0" w:type="dxa"/>
          <w:right w:w="108" w:type="dxa"/>
        </w:tblCellMar>
      </w:tblPr>
      <w:tblGrid>
        <w:gridCol w:w="740"/>
        <w:gridCol w:w="1160"/>
        <w:gridCol w:w="800"/>
        <w:gridCol w:w="5356"/>
        <w:gridCol w:w="1134"/>
      </w:tblGrid>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524" w:hRule="atLeast"/>
        </w:trPr>
        <w:tc>
          <w:tcPr>
            <w:tcW w:w="740" w:type="dxa"/>
            <w:tcBorders>
              <w:top w:val="single" w:color="000000" w:sz="4" w:space="0"/>
              <w:left w:val="single" w:color="000000" w:sz="4" w:space="0"/>
              <w:bottom w:val="single" w:color="000000" w:sz="4" w:space="0"/>
            </w:tcBorders>
            <w:tcMar>
              <w:left w:w="103" w:type="dxa"/>
            </w:tcMar>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60" w:type="dxa"/>
            <w:tcBorders>
              <w:top w:val="single" w:color="000000" w:sz="4" w:space="0"/>
              <w:left w:val="single" w:color="000000" w:sz="4" w:space="0"/>
              <w:bottom w:val="single" w:color="000000" w:sz="4" w:space="0"/>
            </w:tcBorders>
            <w:tcMar>
              <w:left w:w="103" w:type="dxa"/>
            </w:tcMar>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800" w:type="dxa"/>
            <w:tcBorders>
              <w:top w:val="single" w:color="000000" w:sz="4" w:space="0"/>
              <w:left w:val="single" w:color="000000" w:sz="4" w:space="0"/>
              <w:bottom w:val="single" w:color="000000" w:sz="4" w:space="0"/>
            </w:tcBorders>
            <w:tcMar>
              <w:left w:w="103" w:type="dxa"/>
            </w:tcMar>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满分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评审内容</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pPr>
              <w:spacing w:line="360" w:lineRule="auto"/>
              <w:jc w:val="center"/>
              <w:rPr>
                <w:rFonts w:hint="eastAsia" w:ascii="宋体" w:hAnsi="宋体" w:eastAsia="宋体" w:cs="宋体"/>
                <w:b/>
                <w:bCs/>
                <w:sz w:val="24"/>
                <w:szCs w:val="24"/>
              </w:rPr>
            </w:pPr>
            <w:r>
              <w:rPr>
                <w:rFonts w:hint="eastAsia" w:ascii="宋体" w:hAnsi="宋体" w:eastAsia="宋体" w:cs="宋体"/>
                <w:b/>
                <w:bCs/>
                <w:sz w:val="24"/>
                <w:szCs w:val="24"/>
              </w:rPr>
              <w:t>实得分</w:t>
            </w:r>
          </w:p>
        </w:tc>
      </w:tr>
      <w:tr>
        <w:tblPrEx>
          <w:tblBorders>
            <w:top w:val="single" w:color="000000" w:sz="4" w:space="0"/>
            <w:left w:val="single" w:color="000000" w:sz="4" w:space="0"/>
            <w:bottom w:val="single" w:color="000000" w:sz="4" w:space="0"/>
            <w:right w:val="none" w:color="auto" w:sz="0" w:space="0"/>
            <w:insideH w:val="single" w:color="000000" w:sz="4" w:space="0"/>
            <w:insideV w:val="none" w:color="auto" w:sz="0" w:space="0"/>
          </w:tblBorders>
          <w:tblCellMar>
            <w:top w:w="0" w:type="dxa"/>
            <w:left w:w="103" w:type="dxa"/>
            <w:bottom w:w="0" w:type="dxa"/>
            <w:right w:w="108" w:type="dxa"/>
          </w:tblCellMar>
        </w:tblPrEx>
        <w:trPr>
          <w:trHeight w:val="2319" w:hRule="atLeast"/>
        </w:trPr>
        <w:tc>
          <w:tcPr>
            <w:tcW w:w="740" w:type="dxa"/>
            <w:tcBorders>
              <w:top w:val="single" w:color="000000" w:sz="4" w:space="0"/>
              <w:left w:val="single" w:color="000000" w:sz="4" w:space="0"/>
              <w:bottom w:val="single" w:color="000000" w:sz="4" w:space="0"/>
            </w:tcBorders>
            <w:tcMar>
              <w:left w:w="10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160" w:type="dxa"/>
            <w:tcBorders>
              <w:top w:val="single" w:color="000000" w:sz="4" w:space="0"/>
              <w:left w:val="single" w:color="000000" w:sz="4" w:space="0"/>
              <w:bottom w:val="single" w:color="000000" w:sz="4" w:space="0"/>
            </w:tcBorders>
            <w:tcMar>
              <w:left w:w="10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投标分</w:t>
            </w:r>
          </w:p>
        </w:tc>
        <w:tc>
          <w:tcPr>
            <w:tcW w:w="800" w:type="dxa"/>
            <w:tcBorders>
              <w:top w:val="single" w:color="000000" w:sz="4" w:space="0"/>
              <w:left w:val="single" w:color="000000" w:sz="4" w:space="0"/>
              <w:bottom w:val="single" w:color="000000" w:sz="4" w:space="0"/>
            </w:tcBorders>
            <w:tcMar>
              <w:left w:w="103" w:type="dxa"/>
            </w:tcMar>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0分</w:t>
            </w:r>
          </w:p>
        </w:tc>
        <w:tc>
          <w:tcPr>
            <w:tcW w:w="5356" w:type="dxa"/>
            <w:tcBorders>
              <w:top w:val="single" w:color="000000" w:sz="4" w:space="0"/>
              <w:left w:val="single" w:color="000000" w:sz="4" w:space="0"/>
              <w:bottom w:val="single" w:color="000000" w:sz="4" w:space="0"/>
              <w:right w:val="single" w:color="000000" w:sz="4" w:space="0"/>
            </w:tcBorders>
            <w:tcMar>
              <w:left w:w="103" w:type="dxa"/>
            </w:tcMar>
            <w:vAlign w:val="center"/>
          </w:tcPr>
          <w:p>
            <w:pPr>
              <w:spacing w:line="360" w:lineRule="auto"/>
              <w:rPr>
                <w:rFonts w:hint="eastAsia" w:ascii="宋体" w:hAnsi="宋体" w:eastAsia="宋体" w:cs="宋体"/>
                <w:sz w:val="24"/>
              </w:rPr>
            </w:pPr>
            <w:r>
              <w:rPr>
                <w:rFonts w:hint="eastAsia" w:ascii="宋体" w:hAnsi="宋体" w:eastAsia="宋体" w:cs="宋体"/>
                <w:sz w:val="24"/>
              </w:rPr>
              <w:t>价格分应当采用低价优先法计算，即满足招标文件要求且最后报价最低的价格为评标基准价，其价格分为满分。其他供应商的价格分统一按照下列公式计算：</w:t>
            </w:r>
          </w:p>
          <w:p>
            <w:pPr>
              <w:spacing w:line="360" w:lineRule="auto"/>
              <w:rPr>
                <w:rFonts w:hint="eastAsia" w:ascii="宋体" w:hAnsi="宋体" w:eastAsia="宋体" w:cs="宋体"/>
                <w:sz w:val="24"/>
              </w:rPr>
            </w:pPr>
            <w:r>
              <w:rPr>
                <w:rFonts w:hint="eastAsia" w:ascii="宋体" w:hAnsi="宋体" w:eastAsia="宋体" w:cs="宋体"/>
                <w:sz w:val="24"/>
              </w:rPr>
              <w:t>报价得分=（评标基准价/最后报价）×100×</w:t>
            </w:r>
            <w:r>
              <w:rPr>
                <w:rFonts w:hint="eastAsia" w:ascii="宋体" w:hAnsi="宋体" w:eastAsia="宋体" w:cs="宋体"/>
                <w:sz w:val="24"/>
                <w:lang w:val="en-US" w:eastAsia="zh-CN"/>
              </w:rPr>
              <w:t>7</w:t>
            </w:r>
            <w:r>
              <w:rPr>
                <w:rFonts w:hint="eastAsia" w:ascii="宋体" w:hAnsi="宋体" w:eastAsia="宋体" w:cs="宋体"/>
                <w:sz w:val="24"/>
              </w:rPr>
              <w:t>0%，评审过程中，不得去掉最后报价中的最高报价和最低报价。（保留到小数点后两位，第三位四舍五入。）</w:t>
            </w:r>
          </w:p>
          <w:p>
            <w:pPr>
              <w:spacing w:line="360" w:lineRule="auto"/>
              <w:rPr>
                <w:rFonts w:hint="eastAsia" w:ascii="宋体" w:hAnsi="宋体" w:eastAsia="宋体" w:cs="宋体"/>
                <w:b/>
                <w:sz w:val="24"/>
              </w:rPr>
            </w:pPr>
            <w:r>
              <w:rPr>
                <w:rFonts w:hint="eastAsia" w:ascii="宋体" w:hAnsi="宋体" w:eastAsia="宋体" w:cs="宋体"/>
                <w:sz w:val="24"/>
              </w:rPr>
              <w:t>如报价出现异常，评标委员会</w:t>
            </w:r>
            <w:r>
              <w:rPr>
                <w:rFonts w:hint="eastAsia" w:ascii="宋体" w:hAnsi="宋体" w:eastAsia="宋体" w:cs="宋体"/>
                <w:sz w:val="24"/>
                <w:lang w:eastAsia="zh-CN"/>
              </w:rPr>
              <w:t>有</w:t>
            </w:r>
            <w:r>
              <w:rPr>
                <w:rFonts w:hint="eastAsia" w:ascii="宋体" w:hAnsi="宋体" w:eastAsia="宋体" w:cs="宋体"/>
                <w:sz w:val="24"/>
              </w:rPr>
              <w:t>权要求相应投标人作出说明，如说明理由不合理或不说明理由，评标委员会有权将该投标人投标视为废标</w:t>
            </w:r>
          </w:p>
        </w:tc>
        <w:tc>
          <w:tcPr>
            <w:tcW w:w="1134" w:type="dxa"/>
            <w:tcBorders>
              <w:top w:val="single" w:color="000000" w:sz="4" w:space="0"/>
              <w:left w:val="single" w:color="000000" w:sz="4" w:space="0"/>
              <w:bottom w:val="single" w:color="000000" w:sz="4" w:space="0"/>
              <w:right w:val="single" w:color="000000" w:sz="4" w:space="0"/>
            </w:tcBorders>
            <w:tcMar>
              <w:left w:w="103" w:type="dxa"/>
            </w:tcMar>
            <w:vAlign w:val="center"/>
          </w:tcPr>
          <w:p>
            <w:pPr>
              <w:spacing w:line="360" w:lineRule="auto"/>
              <w:rPr>
                <w:rFonts w:hint="eastAsia" w:ascii="宋体" w:hAnsi="宋体" w:eastAsia="宋体" w:cs="宋体"/>
                <w:sz w:val="24"/>
                <w:szCs w:val="24"/>
              </w:rPr>
            </w:pPr>
          </w:p>
        </w:tc>
      </w:tr>
    </w:tbl>
    <w:p>
      <w:pPr>
        <w:pStyle w:val="2"/>
        <w:ind w:left="0" w:leftChars="0" w:firstLine="0" w:firstLineChars="0"/>
        <w:rPr>
          <w:rFonts w:hint="eastAsia" w:ascii="宋体" w:hAnsi="宋体" w:eastAsia="宋体" w:cs="宋体"/>
          <w:color w:val="auto"/>
        </w:rPr>
      </w:pP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.定标办法</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.1总得分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各投标人得分 =（</w:t>
      </w:r>
      <w:r>
        <w:rPr>
          <w:rFonts w:hint="eastAsia" w:ascii="宋体" w:hAnsi="宋体" w:eastAsia="宋体" w:cs="宋体"/>
          <w:color w:val="auto"/>
          <w:sz w:val="24"/>
          <w:lang w:val="en-US" w:eastAsia="zh-CN"/>
        </w:rPr>
        <w:t>技术</w:t>
      </w:r>
      <w:r>
        <w:rPr>
          <w:rFonts w:hint="eastAsia" w:ascii="宋体" w:hAnsi="宋体" w:eastAsia="宋体" w:cs="宋体"/>
          <w:color w:val="auto"/>
          <w:sz w:val="24"/>
        </w:rPr>
        <w:t>分+价格分）。</w:t>
      </w:r>
    </w:p>
    <w:p>
      <w:pPr>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lang w:val="en-US" w:eastAsia="zh-CN"/>
        </w:rPr>
        <w:t>4</w:t>
      </w:r>
      <w:r>
        <w:rPr>
          <w:rFonts w:hint="eastAsia" w:ascii="宋体" w:hAnsi="宋体" w:eastAsia="宋体" w:cs="宋体"/>
          <w:color w:val="auto"/>
          <w:sz w:val="24"/>
        </w:rPr>
        <w:t>.</w:t>
      </w:r>
      <w:r>
        <w:rPr>
          <w:rFonts w:hint="eastAsia" w:ascii="宋体" w:hAnsi="宋体" w:eastAsia="宋体" w:cs="宋体"/>
          <w:color w:val="auto"/>
          <w:sz w:val="24"/>
          <w:lang w:val="en-US" w:eastAsia="zh-CN"/>
        </w:rPr>
        <w:t>2</w:t>
      </w:r>
      <w:r>
        <w:rPr>
          <w:rFonts w:hint="eastAsia" w:ascii="宋体" w:hAnsi="宋体" w:eastAsia="宋体" w:cs="宋体"/>
          <w:color w:val="auto"/>
          <w:sz w:val="24"/>
        </w:rPr>
        <w:t>评委评审打分、计分过程中各项分数均取小数点后两位，小数点后第三位四舍五入。根据各评委的打分结果，在计算投标人得分时，对评委的</w:t>
      </w:r>
      <w:r>
        <w:rPr>
          <w:rFonts w:hint="eastAsia" w:ascii="宋体" w:hAnsi="宋体" w:eastAsia="宋体" w:cs="宋体"/>
          <w:color w:val="auto"/>
          <w:sz w:val="24"/>
          <w:lang w:eastAsia="zh-CN"/>
        </w:rPr>
        <w:t>技术</w:t>
      </w:r>
      <w:r>
        <w:rPr>
          <w:rFonts w:hint="eastAsia" w:ascii="宋体" w:hAnsi="宋体" w:eastAsia="宋体" w:cs="宋体"/>
          <w:color w:val="auto"/>
          <w:sz w:val="24"/>
        </w:rPr>
        <w:t>部分的打分结果分别汇总，再进行算术平均，计算出各有效投标人的得分。</w:t>
      </w:r>
    </w:p>
    <w:p>
      <w:pPr>
        <w:spacing w:line="360" w:lineRule="auto"/>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5</w:t>
      </w:r>
      <w:r>
        <w:rPr>
          <w:rFonts w:hint="eastAsia" w:ascii="宋体" w:hAnsi="宋体" w:eastAsia="宋体" w:cs="宋体"/>
          <w:color w:val="auto"/>
          <w:sz w:val="24"/>
        </w:rPr>
        <w:t>.评标小组评委依据得分高低顺序确定</w:t>
      </w:r>
      <w:r>
        <w:rPr>
          <w:rFonts w:hint="eastAsia" w:ascii="宋体" w:hAnsi="宋体" w:eastAsia="宋体" w:cs="宋体"/>
          <w:color w:val="auto"/>
          <w:sz w:val="24"/>
          <w:lang w:val="en-US" w:eastAsia="zh-CN"/>
        </w:rPr>
        <w:t>一家</w:t>
      </w:r>
      <w:r>
        <w:rPr>
          <w:rFonts w:hint="eastAsia" w:ascii="宋体" w:hAnsi="宋体" w:eastAsia="宋体" w:cs="宋体"/>
          <w:color w:val="auto"/>
          <w:sz w:val="24"/>
        </w:rPr>
        <w:t>中标</w:t>
      </w:r>
      <w:r>
        <w:rPr>
          <w:rFonts w:hint="eastAsia" w:ascii="宋体" w:hAnsi="宋体" w:eastAsia="宋体" w:cs="宋体"/>
          <w:color w:val="auto"/>
          <w:sz w:val="24"/>
          <w:lang w:val="en-US" w:eastAsia="zh-CN"/>
        </w:rPr>
        <w:t>单位</w:t>
      </w:r>
      <w:r>
        <w:rPr>
          <w:rFonts w:hint="eastAsia" w:ascii="宋体" w:hAnsi="宋体" w:eastAsia="宋体" w:cs="宋体"/>
          <w:color w:val="auto"/>
          <w:sz w:val="24"/>
        </w:rPr>
        <w:t>。如果出现并列得分最高，则确定价格较低者排名在前；价格投标仍相</w:t>
      </w:r>
      <w:r>
        <w:rPr>
          <w:rFonts w:hint="eastAsia" w:ascii="宋体" w:hAnsi="宋体" w:eastAsia="宋体" w:cs="宋体"/>
          <w:color w:val="auto"/>
          <w:sz w:val="24"/>
          <w:lang w:val="en-US" w:eastAsia="zh-CN"/>
        </w:rPr>
        <w:t>同时则采用抽签方式现场确定中标候选人。</w:t>
      </w:r>
    </w:p>
    <w:p>
      <w:pPr>
        <w:spacing w:line="360" w:lineRule="auto"/>
        <w:ind w:firstLine="480" w:firstLineChars="200"/>
        <w:rPr>
          <w:rFonts w:hint="eastAsia" w:ascii="宋体" w:hAnsi="宋体" w:eastAsia="宋体" w:cs="宋体"/>
          <w:lang w:val="en-US" w:eastAsia="zh-CN"/>
        </w:rPr>
        <w:sectPr>
          <w:pgSz w:w="11907" w:h="16839"/>
          <w:pgMar w:top="1432" w:right="1335" w:bottom="1201" w:left="1389" w:header="852" w:footer="1021" w:gutter="0"/>
          <w:pgNumType w:fmt="decimal"/>
          <w:cols w:space="720" w:num="1"/>
        </w:sectPr>
      </w:pPr>
      <w:r>
        <w:rPr>
          <w:rFonts w:hint="eastAsia" w:ascii="宋体" w:hAnsi="宋体" w:eastAsia="宋体" w:cs="宋体"/>
          <w:color w:val="auto"/>
          <w:sz w:val="24"/>
          <w:lang w:val="en-US" w:eastAsia="zh-CN"/>
        </w:rPr>
        <w:t>6</w:t>
      </w:r>
      <w:r>
        <w:rPr>
          <w:rFonts w:hint="eastAsia" w:ascii="宋体" w:hAnsi="宋体" w:eastAsia="宋体" w:cs="宋体"/>
          <w:color w:val="auto"/>
          <w:sz w:val="24"/>
        </w:rPr>
        <w:t>.中标人因不可抗力或者自身原因放弃中标资格或者不能履行合同的，招标人可取消其中标资格，中标人还应对招标人造成的损失予以赔偿。同时，招标人可以视情况与排位在中标人之后第一位的中标候选人签订合同，以此类推</w:t>
      </w: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 xml:space="preserve"> </w:t>
      </w:r>
    </w:p>
    <w:p>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5" w:name="_Toc20197"/>
      <w:bookmarkStart w:id="96" w:name="_Toc7216"/>
      <w:bookmarkStart w:id="97" w:name="_Toc12820"/>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五、技术要求</w:t>
      </w:r>
      <w:bookmarkEnd w:id="95"/>
      <w:bookmarkEnd w:id="96"/>
      <w:bookmarkEnd w:id="97"/>
    </w:p>
    <w:p>
      <w:pPr>
        <w:pStyle w:val="8"/>
        <w:spacing w:line="360" w:lineRule="auto"/>
        <w:rPr>
          <w:rFonts w:hint="eastAsia" w:ascii="宋体" w:hAnsi="宋体" w:eastAsia="宋体" w:cs="宋体"/>
        </w:rPr>
      </w:pPr>
      <w:r>
        <w:rPr>
          <w:rFonts w:hint="eastAsia" w:ascii="宋体" w:hAnsi="宋体" w:eastAsia="宋体" w:cs="宋体"/>
        </w:rPr>
        <w:t>投标人应满足以下要求：</w:t>
      </w:r>
    </w:p>
    <w:tbl>
      <w:tblPr>
        <w:tblStyle w:val="16"/>
        <w:tblW w:w="99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025"/>
        <w:gridCol w:w="526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9929" w:type="dxa"/>
            <w:gridSpan w:val="4"/>
            <w:noWrap w:val="0"/>
            <w:vAlign w:val="center"/>
          </w:tcPr>
          <w:p>
            <w:pPr>
              <w:pStyle w:val="8"/>
              <w:spacing w:line="360" w:lineRule="auto"/>
              <w:rPr>
                <w:rFonts w:hint="default" w:ascii="仿宋" w:hAnsi="仿宋" w:eastAsia="仿宋" w:cs="仿宋"/>
                <w:b/>
                <w:bCs/>
                <w:kern w:val="0"/>
                <w:sz w:val="21"/>
                <w:szCs w:val="21"/>
                <w:highlight w:val="none"/>
                <w:lang w:val="en-US" w:eastAsia="zh-CN"/>
              </w:rPr>
            </w:pPr>
            <w:r>
              <w:rPr>
                <w:rFonts w:hint="eastAsia" w:ascii="仿宋" w:hAnsi="仿宋" w:eastAsia="仿宋" w:cs="仿宋"/>
                <w:b/>
                <w:bCs/>
                <w:kern w:val="0"/>
                <w:sz w:val="28"/>
                <w:szCs w:val="28"/>
                <w:highlight w:val="none"/>
                <w:lang w:val="en-US" w:eastAsia="zh-CN"/>
              </w:rPr>
              <w:t>技术部分：员工生日蛋糕券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708" w:type="dxa"/>
            <w:noWrap w:val="0"/>
            <w:vAlign w:val="center"/>
          </w:tcPr>
          <w:p>
            <w:pPr>
              <w:widowControl/>
              <w:jc w:val="center"/>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rPr>
              <w:t>序号</w:t>
            </w:r>
          </w:p>
        </w:tc>
        <w:tc>
          <w:tcPr>
            <w:tcW w:w="2025" w:type="dxa"/>
            <w:noWrap w:val="0"/>
            <w:vAlign w:val="center"/>
          </w:tcPr>
          <w:p>
            <w:pPr>
              <w:widowControl/>
              <w:jc w:val="center"/>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lang w:val="en-US" w:eastAsia="zh-CN"/>
              </w:rPr>
              <w:t>货物名称</w:t>
            </w:r>
          </w:p>
        </w:tc>
        <w:tc>
          <w:tcPr>
            <w:tcW w:w="5268" w:type="dxa"/>
            <w:noWrap w:val="0"/>
            <w:vAlign w:val="center"/>
          </w:tcPr>
          <w:p>
            <w:pPr>
              <w:widowControl/>
              <w:jc w:val="center"/>
              <w:rPr>
                <w:rFonts w:hint="eastAsia" w:ascii="仿宋" w:hAnsi="仿宋" w:eastAsia="仿宋" w:cs="仿宋"/>
                <w:b/>
                <w:bCs/>
                <w:kern w:val="0"/>
                <w:sz w:val="21"/>
                <w:szCs w:val="21"/>
                <w:highlight w:val="none"/>
              </w:rPr>
            </w:pPr>
            <w:r>
              <w:rPr>
                <w:rFonts w:hint="eastAsia" w:ascii="仿宋" w:hAnsi="仿宋" w:eastAsia="仿宋" w:cs="仿宋"/>
                <w:b/>
                <w:bCs/>
                <w:kern w:val="0"/>
                <w:sz w:val="21"/>
                <w:szCs w:val="21"/>
                <w:highlight w:val="none"/>
                <w:lang w:val="en-US" w:eastAsia="zh-CN"/>
              </w:rPr>
              <w:t>要求</w:t>
            </w:r>
          </w:p>
        </w:tc>
        <w:tc>
          <w:tcPr>
            <w:tcW w:w="1928" w:type="dxa"/>
            <w:noWrap w:val="0"/>
            <w:vAlign w:val="center"/>
          </w:tcPr>
          <w:p>
            <w:pPr>
              <w:widowControl/>
              <w:jc w:val="center"/>
              <w:rPr>
                <w:rFonts w:hint="eastAsia" w:ascii="仿宋" w:hAnsi="仿宋" w:eastAsia="仿宋" w:cs="仿宋"/>
                <w:b/>
                <w:bCs/>
                <w:kern w:val="0"/>
                <w:sz w:val="21"/>
                <w:szCs w:val="21"/>
                <w:highlight w:val="none"/>
                <w:lang w:val="en-US" w:eastAsia="zh-CN"/>
              </w:rPr>
            </w:pPr>
            <w:r>
              <w:rPr>
                <w:rFonts w:hint="eastAsia" w:ascii="仿宋" w:hAnsi="仿宋" w:eastAsia="仿宋" w:cs="仿宋"/>
                <w:b/>
                <w:bCs/>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pPr>
              <w:widowControl/>
              <w:jc w:val="center"/>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1</w:t>
            </w:r>
          </w:p>
        </w:tc>
        <w:tc>
          <w:tcPr>
            <w:tcW w:w="2025" w:type="dxa"/>
            <w:noWrap w:val="0"/>
            <w:vAlign w:val="center"/>
          </w:tcPr>
          <w:p>
            <w:pPr>
              <w:widowControl/>
              <w:jc w:val="both"/>
              <w:rPr>
                <w:rFonts w:hint="default" w:ascii="仿宋" w:hAnsi="仿宋" w:eastAsia="仿宋" w:cs="仿宋"/>
                <w:b w:val="0"/>
                <w:color w:val="auto"/>
                <w:spacing w:val="10"/>
                <w:kern w:val="2"/>
                <w:sz w:val="21"/>
                <w:szCs w:val="21"/>
                <w:highlight w:val="none"/>
                <w:lang w:val="en-US" w:eastAsia="zh-CN"/>
              </w:rPr>
            </w:pPr>
            <w:r>
              <w:rPr>
                <w:rFonts w:hint="eastAsia" w:ascii="仿宋" w:hAnsi="仿宋" w:eastAsia="仿宋" w:cs="仿宋"/>
                <w:b w:val="0"/>
                <w:color w:val="auto"/>
                <w:spacing w:val="10"/>
                <w:kern w:val="2"/>
                <w:sz w:val="21"/>
                <w:szCs w:val="21"/>
                <w:highlight w:val="none"/>
                <w:lang w:val="en-US" w:eastAsia="zh-CN"/>
              </w:rPr>
              <w:t>员工生日蛋糕券</w:t>
            </w:r>
          </w:p>
        </w:tc>
        <w:tc>
          <w:tcPr>
            <w:tcW w:w="5268" w:type="dxa"/>
            <w:noWrap w:val="0"/>
            <w:vAlign w:val="center"/>
          </w:tcPr>
          <w:p>
            <w:pPr>
              <w:pStyle w:val="2"/>
              <w:ind w:left="0" w:leftChars="0" w:firstLine="460" w:firstLineChars="200"/>
              <w:rPr>
                <w:rFonts w:hint="default"/>
                <w:lang w:val="en-US" w:eastAsia="zh-CN"/>
              </w:rPr>
            </w:pPr>
            <w:r>
              <w:rPr>
                <w:rFonts w:hint="eastAsia" w:ascii="仿宋" w:hAnsi="仿宋" w:eastAsia="仿宋" w:cs="仿宋"/>
                <w:b w:val="0"/>
                <w:snapToGrid w:val="0"/>
                <w:color w:val="auto"/>
                <w:spacing w:val="10"/>
                <w:kern w:val="2"/>
                <w:sz w:val="21"/>
                <w:szCs w:val="21"/>
                <w:highlight w:val="none"/>
                <w:lang w:val="en-US" w:eastAsia="zh-CN" w:bidi="ar-SA"/>
              </w:rPr>
              <w:t>产品原材料：应为100%天然奶油，不含反式脂肪酸，不添加香精、色素等</w:t>
            </w:r>
          </w:p>
        </w:tc>
        <w:tc>
          <w:tcPr>
            <w:tcW w:w="1928" w:type="dxa"/>
            <w:noWrap w:val="0"/>
            <w:vAlign w:val="center"/>
          </w:tcPr>
          <w:p>
            <w:pPr>
              <w:widowControl/>
              <w:jc w:val="center"/>
              <w:rPr>
                <w:rFonts w:hint="eastAsia" w:ascii="仿宋" w:hAnsi="仿宋" w:eastAsia="仿宋" w:cs="仿宋"/>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pPr>
              <w:widowControl/>
              <w:jc w:val="center"/>
              <w:rPr>
                <w:rFonts w:hint="eastAsia"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2</w:t>
            </w:r>
          </w:p>
        </w:tc>
        <w:tc>
          <w:tcPr>
            <w:tcW w:w="2025" w:type="dxa"/>
            <w:noWrap w:val="0"/>
            <w:vAlign w:val="center"/>
          </w:tcPr>
          <w:p>
            <w:pPr>
              <w:widowControl/>
              <w:jc w:val="center"/>
              <w:rPr>
                <w:rFonts w:hint="default" w:ascii="仿宋" w:hAnsi="仿宋" w:eastAsia="仿宋" w:cs="仿宋"/>
                <w:bCs/>
                <w:kern w:val="0"/>
                <w:sz w:val="21"/>
                <w:szCs w:val="21"/>
                <w:highlight w:val="none"/>
                <w:lang w:val="en-US" w:eastAsia="zh-CN"/>
              </w:rPr>
            </w:pPr>
            <w:r>
              <w:rPr>
                <w:rFonts w:hint="eastAsia" w:ascii="仿宋" w:hAnsi="仿宋" w:eastAsia="仿宋" w:cs="仿宋"/>
                <w:b w:val="0"/>
                <w:color w:val="auto"/>
                <w:spacing w:val="10"/>
                <w:kern w:val="2"/>
                <w:sz w:val="21"/>
                <w:szCs w:val="21"/>
                <w:highlight w:val="none"/>
                <w:lang w:val="en-US" w:eastAsia="zh-CN"/>
              </w:rPr>
              <w:t>员工生日蛋糕券</w:t>
            </w:r>
          </w:p>
        </w:tc>
        <w:tc>
          <w:tcPr>
            <w:tcW w:w="5268" w:type="dxa"/>
            <w:noWrap w:val="0"/>
            <w:vAlign w:val="center"/>
          </w:tcPr>
          <w:p>
            <w:pPr>
              <w:widowControl/>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使用范围：三明市区、沙县区均可使用</w:t>
            </w:r>
          </w:p>
        </w:tc>
        <w:tc>
          <w:tcPr>
            <w:tcW w:w="1928" w:type="dxa"/>
            <w:noWrap w:val="0"/>
            <w:vAlign w:val="center"/>
          </w:tcPr>
          <w:p>
            <w:pPr>
              <w:widowControl/>
              <w:jc w:val="center"/>
              <w:rPr>
                <w:rFonts w:hint="eastAsia" w:ascii="仿宋" w:hAnsi="仿宋" w:eastAsia="仿宋" w:cs="仿宋"/>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noWrap w:val="0"/>
            <w:vAlign w:val="center"/>
          </w:tcPr>
          <w:p>
            <w:pPr>
              <w:widowControl/>
              <w:jc w:val="center"/>
              <w:rPr>
                <w:rFonts w:hint="default" w:ascii="仿宋" w:hAnsi="仿宋" w:eastAsia="仿宋" w:cs="仿宋"/>
                <w:bCs/>
                <w:kern w:val="0"/>
                <w:sz w:val="21"/>
                <w:szCs w:val="21"/>
                <w:highlight w:val="none"/>
                <w:lang w:val="en-US" w:eastAsia="zh-CN"/>
              </w:rPr>
            </w:pPr>
            <w:r>
              <w:rPr>
                <w:rFonts w:hint="eastAsia" w:ascii="仿宋" w:hAnsi="仿宋" w:eastAsia="仿宋" w:cs="仿宋"/>
                <w:bCs/>
                <w:kern w:val="0"/>
                <w:sz w:val="21"/>
                <w:szCs w:val="21"/>
                <w:highlight w:val="none"/>
                <w:lang w:val="en-US" w:eastAsia="zh-CN"/>
              </w:rPr>
              <w:t>3</w:t>
            </w:r>
          </w:p>
        </w:tc>
        <w:tc>
          <w:tcPr>
            <w:tcW w:w="2025" w:type="dxa"/>
            <w:noWrap w:val="0"/>
            <w:vAlign w:val="center"/>
          </w:tcPr>
          <w:p>
            <w:pPr>
              <w:widowControl/>
              <w:jc w:val="center"/>
              <w:rPr>
                <w:rFonts w:hint="default" w:ascii="仿宋" w:hAnsi="仿宋" w:eastAsia="仿宋" w:cs="仿宋"/>
                <w:bCs/>
                <w:kern w:val="0"/>
                <w:sz w:val="21"/>
                <w:szCs w:val="21"/>
                <w:highlight w:val="none"/>
                <w:lang w:val="en-US" w:eastAsia="zh-CN"/>
              </w:rPr>
            </w:pPr>
            <w:r>
              <w:rPr>
                <w:rFonts w:hint="eastAsia" w:ascii="仿宋" w:hAnsi="仿宋" w:eastAsia="仿宋" w:cs="仿宋"/>
                <w:b w:val="0"/>
                <w:color w:val="auto"/>
                <w:spacing w:val="10"/>
                <w:kern w:val="2"/>
                <w:sz w:val="21"/>
                <w:szCs w:val="21"/>
                <w:highlight w:val="none"/>
                <w:lang w:val="en-US" w:eastAsia="zh-CN"/>
              </w:rPr>
              <w:t>员工生日蛋糕券</w:t>
            </w:r>
          </w:p>
        </w:tc>
        <w:tc>
          <w:tcPr>
            <w:tcW w:w="5268" w:type="dxa"/>
            <w:noWrap w:val="0"/>
            <w:vAlign w:val="center"/>
          </w:tcPr>
          <w:p>
            <w:pPr>
              <w:widowControl/>
              <w:jc w:val="center"/>
              <w:rPr>
                <w:rFonts w:hint="default" w:ascii="仿宋" w:hAnsi="仿宋" w:eastAsia="仿宋" w:cs="仿宋"/>
                <w:kern w:val="0"/>
                <w:sz w:val="21"/>
                <w:szCs w:val="21"/>
                <w:highlight w:val="none"/>
                <w:lang w:val="en-US" w:eastAsia="zh-CN"/>
              </w:rPr>
            </w:pPr>
            <w:r>
              <w:rPr>
                <w:rFonts w:hint="eastAsia" w:ascii="仿宋" w:hAnsi="仿宋" w:eastAsia="仿宋" w:cs="仿宋"/>
                <w:kern w:val="0"/>
                <w:sz w:val="21"/>
                <w:szCs w:val="21"/>
                <w:highlight w:val="none"/>
                <w:lang w:val="en-US" w:eastAsia="zh-CN"/>
              </w:rPr>
              <w:t>蛋糕券除300元抵用额度之外，其余赠送额度越高，给予适当更高的评分。</w:t>
            </w:r>
          </w:p>
        </w:tc>
        <w:tc>
          <w:tcPr>
            <w:tcW w:w="1928" w:type="dxa"/>
            <w:noWrap w:val="0"/>
            <w:vAlign w:val="center"/>
          </w:tcPr>
          <w:p>
            <w:pPr>
              <w:widowControl/>
              <w:jc w:val="center"/>
              <w:rPr>
                <w:rFonts w:hint="eastAsia" w:ascii="仿宋" w:hAnsi="仿宋" w:eastAsia="仿宋" w:cs="仿宋"/>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noWrap w:val="0"/>
            <w:vAlign w:val="center"/>
          </w:tcPr>
          <w:p>
            <w:pPr>
              <w:widowControl/>
              <w:jc w:val="center"/>
              <w:rPr>
                <w:rFonts w:hint="eastAsia" w:ascii="仿宋" w:hAnsi="仿宋" w:eastAsia="仿宋" w:cs="仿宋"/>
                <w:bCs/>
                <w:snapToGrid w:val="0"/>
                <w:color w:val="000000"/>
                <w:kern w:val="0"/>
                <w:sz w:val="21"/>
                <w:szCs w:val="21"/>
                <w:highlight w:val="none"/>
                <w:lang w:val="en-US" w:eastAsia="zh-CN" w:bidi="ar-SA"/>
              </w:rPr>
            </w:pPr>
            <w:r>
              <w:rPr>
                <w:rFonts w:hint="eastAsia" w:ascii="仿宋" w:hAnsi="仿宋" w:eastAsia="仿宋" w:cs="仿宋"/>
                <w:bCs/>
                <w:kern w:val="0"/>
                <w:sz w:val="21"/>
                <w:szCs w:val="21"/>
                <w:highlight w:val="none"/>
                <w:lang w:val="en-US" w:eastAsia="zh-CN"/>
              </w:rPr>
              <w:t>4</w:t>
            </w:r>
          </w:p>
        </w:tc>
        <w:tc>
          <w:tcPr>
            <w:tcW w:w="2025" w:type="dxa"/>
            <w:shd w:val="clear" w:color="auto" w:fill="auto"/>
            <w:noWrap w:val="0"/>
            <w:vAlign w:val="center"/>
          </w:tcPr>
          <w:p>
            <w:pPr>
              <w:widowControl/>
              <w:jc w:val="center"/>
              <w:rPr>
                <w:rFonts w:hint="eastAsia" w:ascii="仿宋" w:hAnsi="仿宋" w:eastAsia="仿宋" w:cs="仿宋"/>
                <w:bCs/>
                <w:snapToGrid w:val="0"/>
                <w:color w:val="000000"/>
                <w:kern w:val="0"/>
                <w:sz w:val="21"/>
                <w:szCs w:val="21"/>
                <w:highlight w:val="none"/>
                <w:lang w:val="en-US" w:eastAsia="zh-CN" w:bidi="ar-SA"/>
              </w:rPr>
            </w:pPr>
          </w:p>
        </w:tc>
        <w:tc>
          <w:tcPr>
            <w:tcW w:w="5268" w:type="dxa"/>
            <w:shd w:val="clear" w:color="auto" w:fill="auto"/>
            <w:noWrap w:val="0"/>
            <w:vAlign w:val="center"/>
          </w:tcPr>
          <w:p>
            <w:pPr>
              <w:widowControl/>
              <w:jc w:val="center"/>
              <w:rPr>
                <w:rFonts w:hint="eastAsia" w:ascii="仿宋" w:hAnsi="仿宋" w:eastAsia="仿宋" w:cs="仿宋"/>
                <w:snapToGrid w:val="0"/>
                <w:color w:val="000000"/>
                <w:kern w:val="0"/>
                <w:sz w:val="21"/>
                <w:szCs w:val="21"/>
                <w:highlight w:val="none"/>
                <w:lang w:val="en-US" w:eastAsia="zh-CN" w:bidi="ar-SA"/>
              </w:rPr>
            </w:pPr>
          </w:p>
        </w:tc>
        <w:tc>
          <w:tcPr>
            <w:tcW w:w="1928" w:type="dxa"/>
            <w:noWrap w:val="0"/>
            <w:vAlign w:val="center"/>
          </w:tcPr>
          <w:p>
            <w:pPr>
              <w:widowControl/>
              <w:jc w:val="center"/>
              <w:rPr>
                <w:rFonts w:hint="eastAsia" w:ascii="仿宋" w:hAnsi="仿宋" w:eastAsia="仿宋" w:cs="仿宋"/>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8" w:type="dxa"/>
            <w:shd w:val="clear" w:color="auto" w:fill="auto"/>
            <w:noWrap w:val="0"/>
            <w:vAlign w:val="center"/>
          </w:tcPr>
          <w:p>
            <w:pPr>
              <w:widowControl/>
              <w:jc w:val="center"/>
              <w:rPr>
                <w:rFonts w:hint="eastAsia" w:ascii="仿宋" w:hAnsi="仿宋" w:eastAsia="仿宋" w:cs="仿宋"/>
                <w:bCs/>
                <w:snapToGrid w:val="0"/>
                <w:color w:val="000000"/>
                <w:kern w:val="0"/>
                <w:sz w:val="21"/>
                <w:szCs w:val="21"/>
                <w:highlight w:val="none"/>
                <w:lang w:val="en-US" w:eastAsia="zh-CN" w:bidi="ar-SA"/>
              </w:rPr>
            </w:pPr>
            <w:r>
              <w:rPr>
                <w:rFonts w:hint="eastAsia" w:ascii="仿宋" w:hAnsi="仿宋" w:eastAsia="仿宋" w:cs="仿宋"/>
                <w:bCs/>
                <w:kern w:val="0"/>
                <w:sz w:val="21"/>
                <w:szCs w:val="21"/>
                <w:highlight w:val="none"/>
                <w:lang w:val="en-US" w:eastAsia="zh-CN"/>
              </w:rPr>
              <w:t>5</w:t>
            </w:r>
          </w:p>
        </w:tc>
        <w:tc>
          <w:tcPr>
            <w:tcW w:w="2025" w:type="dxa"/>
            <w:shd w:val="clear" w:color="auto" w:fill="auto"/>
            <w:noWrap w:val="0"/>
            <w:vAlign w:val="center"/>
          </w:tcPr>
          <w:p>
            <w:pPr>
              <w:widowControl/>
              <w:jc w:val="center"/>
              <w:rPr>
                <w:rFonts w:hint="eastAsia" w:ascii="仿宋" w:hAnsi="仿宋" w:eastAsia="仿宋" w:cs="仿宋"/>
                <w:bCs/>
                <w:snapToGrid w:val="0"/>
                <w:color w:val="000000"/>
                <w:kern w:val="0"/>
                <w:sz w:val="21"/>
                <w:szCs w:val="21"/>
                <w:highlight w:val="none"/>
                <w:lang w:val="en-US" w:eastAsia="zh-CN" w:bidi="ar-SA"/>
              </w:rPr>
            </w:pPr>
          </w:p>
        </w:tc>
        <w:tc>
          <w:tcPr>
            <w:tcW w:w="5268" w:type="dxa"/>
            <w:shd w:val="clear" w:color="auto" w:fill="auto"/>
            <w:noWrap w:val="0"/>
            <w:vAlign w:val="center"/>
          </w:tcPr>
          <w:p>
            <w:pPr>
              <w:pStyle w:val="2"/>
              <w:ind w:left="0" w:leftChars="0" w:firstLine="0" w:firstLineChars="0"/>
              <w:jc w:val="center"/>
              <w:rPr>
                <w:rFonts w:hint="eastAsia" w:ascii="Arial" w:hAnsi="Arial" w:eastAsia="Arial" w:cs="Arial"/>
                <w:snapToGrid w:val="0"/>
                <w:color w:val="000000"/>
                <w:sz w:val="21"/>
                <w:szCs w:val="21"/>
                <w:lang w:val="en-US" w:eastAsia="zh-CN" w:bidi="ar-SA"/>
              </w:rPr>
            </w:pPr>
          </w:p>
        </w:tc>
        <w:tc>
          <w:tcPr>
            <w:tcW w:w="1928" w:type="dxa"/>
            <w:noWrap w:val="0"/>
            <w:vAlign w:val="center"/>
          </w:tcPr>
          <w:p>
            <w:pPr>
              <w:widowControl/>
              <w:jc w:val="center"/>
              <w:rPr>
                <w:rFonts w:hint="eastAsia" w:ascii="仿宋" w:hAnsi="仿宋" w:eastAsia="仿宋" w:cs="仿宋"/>
                <w:kern w:val="0"/>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9" w:type="dxa"/>
            <w:gridSpan w:val="4"/>
            <w:noWrap w:val="0"/>
            <w:vAlign w:val="center"/>
          </w:tcPr>
          <w:p>
            <w:pPr>
              <w:adjustRightInd w:val="0"/>
              <w:snapToGrid w:val="0"/>
              <w:jc w:val="left"/>
              <w:rPr>
                <w:rFonts w:hint="eastAsia" w:ascii="仿宋" w:hAnsi="仿宋" w:eastAsia="仿宋" w:cs="仿宋"/>
                <w:sz w:val="21"/>
                <w:szCs w:val="21"/>
                <w:highlight w:val="none"/>
              </w:rPr>
            </w:pPr>
            <w:r>
              <w:rPr>
                <w:rFonts w:hint="eastAsia" w:ascii="仿宋" w:hAnsi="仿宋" w:eastAsia="仿宋" w:cs="仿宋"/>
                <w:sz w:val="21"/>
                <w:szCs w:val="21"/>
                <w:highlight w:val="none"/>
              </w:rPr>
              <w:t>其他独特</w:t>
            </w:r>
            <w:r>
              <w:rPr>
                <w:rFonts w:hint="eastAsia" w:ascii="仿宋" w:hAnsi="仿宋" w:eastAsia="仿宋" w:cs="仿宋"/>
                <w:sz w:val="21"/>
                <w:szCs w:val="21"/>
                <w:highlight w:val="none"/>
                <w:lang w:val="en-US" w:eastAsia="zh-CN"/>
              </w:rPr>
              <w:t>参数</w:t>
            </w:r>
            <w:r>
              <w:rPr>
                <w:rFonts w:hint="eastAsia" w:ascii="仿宋" w:hAnsi="仿宋" w:eastAsia="仿宋" w:cs="仿宋"/>
                <w:sz w:val="21"/>
                <w:szCs w:val="21"/>
                <w:highlight w:val="none"/>
              </w:rPr>
              <w:t>请自行罗列，行数不够可自行添加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9" w:type="dxa"/>
            <w:gridSpan w:val="4"/>
            <w:noWrap w:val="0"/>
            <w:vAlign w:val="center"/>
          </w:tcPr>
          <w:p>
            <w:pPr>
              <w:adjustRightInd w:val="0"/>
              <w:snapToGrid w:val="0"/>
              <w:jc w:val="left"/>
              <w:rPr>
                <w:rFonts w:hint="eastAsia" w:ascii="仿宋" w:hAnsi="仿宋" w:eastAsia="仿宋" w:cs="仿宋"/>
                <w:b/>
                <w:sz w:val="21"/>
                <w:szCs w:val="21"/>
                <w:highlight w:val="none"/>
              </w:rPr>
            </w:pPr>
            <w:r>
              <w:rPr>
                <w:rFonts w:hint="eastAsia" w:ascii="仿宋" w:hAnsi="仿宋" w:eastAsia="仿宋" w:cs="仿宋"/>
                <w:b/>
                <w:sz w:val="21"/>
                <w:szCs w:val="21"/>
                <w:highlight w:val="none"/>
              </w:rPr>
              <w:t>以上所提供的参数必须真实，如实际运行过程中存在偏差，产生的费用将由投标方承担。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929" w:type="dxa"/>
            <w:gridSpan w:val="4"/>
            <w:noWrap w:val="0"/>
            <w:vAlign w:val="center"/>
          </w:tcPr>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p>
            <w:pPr>
              <w:pStyle w:val="2"/>
              <w:ind w:left="0" w:leftChars="0" w:firstLine="0" w:firstLineChars="0"/>
              <w:rPr>
                <w:rFonts w:hint="eastAsia"/>
                <w:highlight w:val="none"/>
              </w:rPr>
            </w:pPr>
          </w:p>
        </w:tc>
      </w:tr>
    </w:tbl>
    <w:p>
      <w:pPr>
        <w:pStyle w:val="8"/>
        <w:spacing w:before="3" w:after="156" w:afterLines="50" w:line="360" w:lineRule="auto"/>
        <w:jc w:val="both"/>
        <w:outlineLvl w:val="9"/>
        <w:rPr>
          <w:rFonts w:hint="eastAsia" w:ascii="宋体" w:hAnsi="宋体" w:eastAsia="宋体" w:cs="宋体"/>
          <w:b/>
          <w:bCs/>
          <w:color w:val="auto"/>
          <w:sz w:val="36"/>
          <w:szCs w:val="36"/>
          <w:lang w:val="en-US" w:eastAsia="zh-CN"/>
        </w:rPr>
        <w:sectPr>
          <w:headerReference r:id="rId7" w:type="default"/>
          <w:footerReference r:id="rId8" w:type="default"/>
          <w:pgSz w:w="11905" w:h="16838"/>
          <w:pgMar w:top="1440" w:right="1080" w:bottom="1440" w:left="1080" w:header="851" w:footer="1020" w:gutter="0"/>
          <w:pgNumType w:fmt="decimal"/>
          <w:cols w:space="0" w:num="1"/>
          <w:docGrid w:linePitch="312" w:charSpace="0"/>
        </w:sectPr>
      </w:pPr>
    </w:p>
    <w:p>
      <w:pPr>
        <w:spacing w:before="240" w:beforeLines="100" w:after="120" w:afterLines="50" w:line="360" w:lineRule="auto"/>
        <w:jc w:val="center"/>
        <w:outlineLvl w:val="0"/>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pPr>
      <w:bookmarkStart w:id="98" w:name="_Toc31981"/>
      <w:bookmarkStart w:id="99" w:name="_Toc30455"/>
      <w:bookmarkStart w:id="100" w:name="_Toc1084"/>
      <w:r>
        <w:rPr>
          <w:rFonts w:hint="eastAsia" w:ascii="宋体" w:hAnsi="宋体" w:eastAsia="宋体" w:cs="宋体"/>
          <w:spacing w:val="-3"/>
          <w:sz w:val="36"/>
          <w:szCs w:val="36"/>
          <w:lang w:val="en-US" w:eastAsia="zh-CN"/>
          <w14:textOutline w14:w="6527" w14:cap="flat" w14:cmpd="sng" w14:algn="ctr">
            <w14:solidFill>
              <w14:srgbClr w14:val="000000"/>
            </w14:solidFill>
            <w14:prstDash w14:val="solid"/>
            <w14:miter w14:val="0"/>
          </w14:textOutline>
        </w:rPr>
        <w:t>六、采购合同（模板）</w:t>
      </w:r>
      <w:bookmarkEnd w:id="98"/>
      <w:bookmarkEnd w:id="99"/>
      <w:bookmarkEnd w:id="100"/>
    </w:p>
    <w:p>
      <w:pPr>
        <w:keepNext w:val="0"/>
        <w:keepLines w:val="0"/>
        <w:pageBreakBefore w:val="0"/>
        <w:shd w:val="clear" w:color="auto" w:fill="FFFFFF"/>
        <w:kinsoku/>
        <w:wordWrap/>
        <w:overflowPunct/>
        <w:topLinePunct w:val="0"/>
        <w:autoSpaceDE w:val="0"/>
        <w:autoSpaceDN w:val="0"/>
        <w:bidi w:val="0"/>
        <w:adjustRightInd w:val="0"/>
        <w:snapToGrid w:val="0"/>
        <w:spacing w:before="156" w:beforeLines="50" w:line="300" w:lineRule="auto"/>
        <w:ind w:right="420"/>
        <w:rPr>
          <w:rFonts w:hint="eastAsia" w:ascii="仿宋" w:hAnsi="仿宋" w:eastAsia="仿宋" w:cs="仿宋"/>
          <w:b/>
          <w:bCs/>
          <w:sz w:val="24"/>
          <w:szCs w:val="24"/>
          <w:lang w:eastAsia="zh-CN"/>
        </w:rPr>
      </w:pPr>
      <w:r>
        <w:rPr>
          <w:rFonts w:hint="eastAsia" w:ascii="仿宋" w:hAnsi="仿宋" w:eastAsia="仿宋" w:cs="仿宋"/>
          <w:sz w:val="24"/>
          <w:szCs w:val="24"/>
        </w:rPr>
        <w:t>合同编号：</w:t>
      </w:r>
      <w:r>
        <w:rPr>
          <w:rFonts w:hint="eastAsia" w:ascii="仿宋" w:hAnsi="仿宋" w:eastAsia="仿宋" w:cs="仿宋"/>
          <w:sz w:val="24"/>
          <w:szCs w:val="24"/>
          <w:highlight w:val="none"/>
        </w:rPr>
        <w:t xml:space="preserve"> </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rPr>
        <w:t xml:space="preserve">         </w:t>
      </w:r>
    </w:p>
    <w:p>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甲方</w:t>
      </w:r>
      <w:r>
        <w:rPr>
          <w:rFonts w:hint="eastAsia" w:ascii="仿宋" w:hAnsi="仿宋" w:eastAsia="仿宋" w:cs="仿宋"/>
          <w:sz w:val="24"/>
          <w:szCs w:val="24"/>
        </w:rPr>
        <w:t>（</w:t>
      </w:r>
      <w:r>
        <w:rPr>
          <w:rFonts w:hint="eastAsia" w:ascii="仿宋" w:hAnsi="仿宋" w:eastAsia="仿宋" w:cs="仿宋"/>
          <w:sz w:val="24"/>
          <w:szCs w:val="24"/>
          <w:lang w:val="en-US" w:eastAsia="zh-CN"/>
        </w:rPr>
        <w:t>买</w:t>
      </w:r>
      <w:r>
        <w:rPr>
          <w:rFonts w:hint="eastAsia" w:ascii="仿宋" w:hAnsi="仿宋" w:eastAsia="仿宋" w:cs="仿宋"/>
          <w:sz w:val="24"/>
          <w:szCs w:val="24"/>
          <w:lang w:eastAsia="zh-CN"/>
        </w:rPr>
        <w:t>方</w:t>
      </w:r>
      <w:r>
        <w:rPr>
          <w:rFonts w:hint="eastAsia" w:ascii="仿宋" w:hAnsi="仿宋" w:eastAsia="仿宋" w:cs="仿宋"/>
          <w:sz w:val="24"/>
          <w:szCs w:val="24"/>
        </w:rPr>
        <w:t xml:space="preserve">）：中国机械总院集团海西（福建）分院有限公司 </w:t>
      </w:r>
    </w:p>
    <w:p>
      <w:pPr>
        <w:keepNext w:val="0"/>
        <w:keepLines w:val="0"/>
        <w:pageBreakBefore w:val="0"/>
        <w:kinsoku/>
        <w:wordWrap/>
        <w:overflowPunct/>
        <w:topLinePunct w:val="0"/>
        <w:autoSpaceDE w:val="0"/>
        <w:autoSpaceDN w:val="0"/>
        <w:bidi w:val="0"/>
        <w:adjustRightInd w:val="0"/>
        <w:spacing w:line="300" w:lineRule="auto"/>
        <w:ind w:firstLine="6240" w:firstLineChars="2600"/>
        <w:rPr>
          <w:rFonts w:hint="eastAsia" w:ascii="仿宋" w:hAnsi="仿宋" w:eastAsia="仿宋" w:cs="仿宋"/>
          <w:color w:val="0000FF"/>
          <w:sz w:val="24"/>
          <w:szCs w:val="24"/>
        </w:rPr>
      </w:pPr>
      <w:r>
        <w:rPr>
          <w:rFonts w:hint="eastAsia" w:ascii="仿宋" w:hAnsi="仿宋" w:eastAsia="仿宋" w:cs="仿宋"/>
          <w:sz w:val="24"/>
          <w:szCs w:val="24"/>
        </w:rPr>
        <w:t>签订地点：</w:t>
      </w:r>
      <w:r>
        <w:rPr>
          <w:rFonts w:hint="eastAsia" w:ascii="仿宋" w:hAnsi="仿宋" w:eastAsia="仿宋" w:cs="仿宋"/>
          <w:sz w:val="24"/>
          <w:szCs w:val="24"/>
          <w:lang w:val="en-US" w:eastAsia="zh-CN"/>
        </w:rPr>
        <w:t>福建省三明市沙县区</w:t>
      </w:r>
      <w:r>
        <w:rPr>
          <w:rFonts w:hint="eastAsia" w:ascii="仿宋" w:hAnsi="仿宋" w:eastAsia="仿宋" w:cs="仿宋"/>
          <w:sz w:val="24"/>
          <w:szCs w:val="24"/>
          <w:shd w:val="clear" w:color="auto" w:fill="FFFFFF"/>
        </w:rPr>
        <w:t xml:space="preserve"> </w:t>
      </w:r>
    </w:p>
    <w:p>
      <w:pPr>
        <w:keepNext w:val="0"/>
        <w:keepLines w:val="0"/>
        <w:pageBreakBefore w:val="0"/>
        <w:kinsoku/>
        <w:wordWrap/>
        <w:overflowPunct/>
        <w:topLinePunct w:val="0"/>
        <w:autoSpaceDE w:val="0"/>
        <w:autoSpaceDN w:val="0"/>
        <w:bidi w:val="0"/>
        <w:adjustRightInd w:val="0"/>
        <w:spacing w:line="300" w:lineRule="auto"/>
        <w:rPr>
          <w:rFonts w:hint="eastAsia" w:ascii="仿宋" w:hAnsi="仿宋" w:eastAsia="仿宋" w:cs="仿宋"/>
          <w:sz w:val="24"/>
          <w:szCs w:val="24"/>
        </w:rPr>
      </w:pPr>
      <w:r>
        <w:rPr>
          <w:rFonts w:hint="eastAsia" w:ascii="仿宋" w:hAnsi="仿宋" w:eastAsia="仿宋" w:cs="仿宋"/>
          <w:sz w:val="24"/>
          <w:szCs w:val="24"/>
          <w:lang w:val="en-US" w:eastAsia="zh-CN"/>
        </w:rPr>
        <w:t>乙方</w:t>
      </w:r>
      <w:r>
        <w:rPr>
          <w:rFonts w:hint="eastAsia" w:ascii="仿宋" w:hAnsi="仿宋" w:eastAsia="仿宋" w:cs="仿宋"/>
          <w:sz w:val="24"/>
          <w:szCs w:val="24"/>
        </w:rPr>
        <w:t>（</w:t>
      </w:r>
      <w:r>
        <w:rPr>
          <w:rFonts w:hint="eastAsia" w:ascii="仿宋" w:hAnsi="仿宋" w:eastAsia="仿宋" w:cs="仿宋"/>
          <w:sz w:val="24"/>
          <w:szCs w:val="24"/>
          <w:lang w:val="en-US" w:eastAsia="zh-CN"/>
        </w:rPr>
        <w:t>卖</w:t>
      </w:r>
      <w:r>
        <w:rPr>
          <w:rFonts w:hint="eastAsia" w:ascii="仿宋" w:hAnsi="仿宋" w:eastAsia="仿宋" w:cs="仿宋"/>
          <w:sz w:val="24"/>
          <w:szCs w:val="24"/>
          <w:lang w:eastAsia="zh-CN"/>
        </w:rPr>
        <w:t>方</w:t>
      </w:r>
      <w:r>
        <w:rPr>
          <w:rFonts w:hint="eastAsia" w:ascii="仿宋" w:hAnsi="仿宋" w:eastAsia="仿宋" w:cs="仿宋"/>
          <w:sz w:val="24"/>
          <w:szCs w:val="24"/>
        </w:rPr>
        <w:t>）：</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签订日期：</w:t>
      </w:r>
      <w:r>
        <w:rPr>
          <w:rFonts w:hint="eastAsia" w:ascii="仿宋" w:hAnsi="仿宋" w:eastAsia="仿宋" w:cs="仿宋"/>
          <w:sz w:val="24"/>
          <w:szCs w:val="24"/>
          <w:lang w:val="en-US" w:eastAsia="zh-CN"/>
        </w:rPr>
        <w:t>2024</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 xml:space="preserve">日    </w:t>
      </w:r>
    </w:p>
    <w:p>
      <w:pPr>
        <w:pStyle w:val="31"/>
        <w:keepNext w:val="0"/>
        <w:keepLines w:val="0"/>
        <w:pageBreakBefore w:val="0"/>
        <w:kinsoku/>
        <w:wordWrap/>
        <w:overflowPunct/>
        <w:topLinePunct w:val="0"/>
        <w:autoSpaceDE w:val="0"/>
        <w:autoSpaceDN w:val="0"/>
        <w:bidi w:val="0"/>
        <w:adjustRightInd w:val="0"/>
        <w:spacing w:line="300" w:lineRule="auto"/>
        <w:outlineLvl w:val="0"/>
        <w:rPr>
          <w:rFonts w:hint="eastAsia" w:ascii="仿宋" w:hAnsi="仿宋" w:eastAsia="仿宋" w:cs="仿宋"/>
          <w:sz w:val="24"/>
          <w:szCs w:val="24"/>
        </w:rPr>
      </w:pPr>
      <w:r>
        <w:rPr>
          <w:rFonts w:hint="eastAsia" w:ascii="仿宋" w:hAnsi="仿宋" w:eastAsia="仿宋" w:cs="仿宋"/>
          <w:sz w:val="24"/>
          <w:szCs w:val="24"/>
        </w:rPr>
        <w:t xml:space="preserve">      </w:t>
      </w:r>
      <w:bookmarkStart w:id="101" w:name="_Toc23327"/>
      <w:bookmarkStart w:id="102" w:name="_Toc26450"/>
      <w:bookmarkStart w:id="103" w:name="_Toc23106"/>
      <w:bookmarkStart w:id="104" w:name="_Toc8403"/>
      <w:bookmarkStart w:id="105" w:name="_Toc9911"/>
      <w:r>
        <w:rPr>
          <w:rFonts w:hint="eastAsia" w:ascii="仿宋" w:hAnsi="仿宋" w:eastAsia="仿宋" w:cs="仿宋"/>
          <w:sz w:val="24"/>
          <w:szCs w:val="24"/>
        </w:rPr>
        <w:t>《中华人民共和国民法典》，并经甲乙双方友好协商，就以下事项达成一致并签订本合同：</w:t>
      </w:r>
      <w:bookmarkEnd w:id="101"/>
      <w:bookmarkEnd w:id="102"/>
      <w:bookmarkEnd w:id="103"/>
      <w:bookmarkEnd w:id="104"/>
      <w:bookmarkEnd w:id="105"/>
    </w:p>
    <w:p>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outlineLvl w:val="0"/>
        <w:rPr>
          <w:rFonts w:hint="eastAsia" w:ascii="仿宋" w:hAnsi="仿宋" w:eastAsia="仿宋" w:cs="仿宋"/>
          <w:sz w:val="24"/>
          <w:szCs w:val="24"/>
        </w:rPr>
      </w:pPr>
      <w:bookmarkStart w:id="106" w:name="_Toc4585"/>
      <w:bookmarkStart w:id="107" w:name="_Toc13700"/>
      <w:bookmarkStart w:id="108" w:name="_Toc2497"/>
      <w:bookmarkStart w:id="109" w:name="_Toc10341"/>
      <w:bookmarkStart w:id="110" w:name="_Toc16223"/>
      <w:r>
        <w:rPr>
          <w:rFonts w:hint="eastAsia" w:ascii="仿宋" w:hAnsi="仿宋" w:eastAsia="仿宋" w:cs="仿宋"/>
          <w:sz w:val="24"/>
          <w:szCs w:val="24"/>
        </w:rPr>
        <w:t>一、品种、型号、数量</w:t>
      </w:r>
      <w:bookmarkEnd w:id="106"/>
      <w:bookmarkEnd w:id="107"/>
      <w:bookmarkEnd w:id="108"/>
      <w:bookmarkEnd w:id="109"/>
      <w:bookmarkEnd w:id="110"/>
    </w:p>
    <w:p>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360" w:firstLineChars="150"/>
        <w:rPr>
          <w:rFonts w:hint="eastAsia" w:ascii="仿宋" w:hAnsi="仿宋" w:eastAsia="仿宋" w:cs="仿宋"/>
          <w:sz w:val="24"/>
          <w:szCs w:val="24"/>
        </w:rPr>
      </w:pPr>
      <w:r>
        <w:rPr>
          <w:rFonts w:hint="eastAsia" w:ascii="仿宋" w:hAnsi="仿宋" w:eastAsia="仿宋" w:cs="仿宋"/>
          <w:sz w:val="24"/>
          <w:szCs w:val="24"/>
        </w:rPr>
        <w:t xml:space="preserve">1、该项目供应的材料按照设计预算规格、数量具体如下： </w:t>
      </w:r>
    </w:p>
    <w:tbl>
      <w:tblPr>
        <w:tblStyle w:val="16"/>
        <w:tblpPr w:leftFromText="180" w:rightFromText="180" w:vertAnchor="text" w:horzAnchor="page" w:tblpX="1480" w:tblpY="107"/>
        <w:tblOverlap w:val="never"/>
        <w:tblW w:w="93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19"/>
        <w:gridCol w:w="2313"/>
        <w:gridCol w:w="742"/>
        <w:gridCol w:w="1091"/>
        <w:gridCol w:w="1295"/>
        <w:gridCol w:w="1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11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名称</w:t>
            </w:r>
          </w:p>
        </w:tc>
        <w:tc>
          <w:tcPr>
            <w:tcW w:w="23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规格</w:t>
            </w:r>
          </w:p>
        </w:tc>
        <w:tc>
          <w:tcPr>
            <w:tcW w:w="7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单位</w:t>
            </w: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单价（元）</w:t>
            </w:r>
          </w:p>
        </w:tc>
        <w:tc>
          <w:tcPr>
            <w:tcW w:w="1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11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23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c>
          <w:tcPr>
            <w:tcW w:w="74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0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c>
          <w:tcPr>
            <w:tcW w:w="12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rPr>
            </w:pPr>
          </w:p>
        </w:tc>
        <w:tc>
          <w:tcPr>
            <w:tcW w:w="17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sz w:val="24"/>
                <w:szCs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小写金额：</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432"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righ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人民币大写：               元整</w:t>
            </w:r>
          </w:p>
        </w:tc>
        <w:tc>
          <w:tcPr>
            <w:tcW w:w="4896" w:type="dxa"/>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val="0"/>
              <w:autoSpaceDN w:val="0"/>
              <w:bidi w:val="0"/>
              <w:adjustRightInd w:val="0"/>
              <w:spacing w:line="300" w:lineRule="auto"/>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含13%增值税票</w:t>
            </w:r>
          </w:p>
        </w:tc>
      </w:tr>
    </w:tbl>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以上货物价格为固定单价，采购货物的实际数量以</w:t>
      </w:r>
      <w:r>
        <w:rPr>
          <w:rFonts w:hint="eastAsia" w:ascii="仿宋" w:hAnsi="仿宋" w:eastAsia="仿宋" w:cs="仿宋"/>
          <w:sz w:val="24"/>
          <w:szCs w:val="24"/>
          <w:lang w:val="en-US" w:eastAsia="zh-CN"/>
        </w:rPr>
        <w:t>实际采购订单结算。</w:t>
      </w:r>
      <w:r>
        <w:rPr>
          <w:rFonts w:hint="eastAsia" w:ascii="仿宋" w:hAnsi="仿宋" w:eastAsia="仿宋" w:cs="仿宋"/>
          <w:kern w:val="0"/>
          <w:sz w:val="24"/>
          <w:szCs w:val="24"/>
          <w:lang w:val="zh-CN"/>
        </w:rPr>
        <w:t>货物价格包括产品制造、损耗、售后服务、税收｛</w:t>
      </w:r>
      <w:r>
        <w:rPr>
          <w:rFonts w:hint="eastAsia" w:ascii="仿宋" w:hAnsi="仿宋" w:eastAsia="仿宋" w:cs="仿宋"/>
          <w:kern w:val="0"/>
          <w:sz w:val="24"/>
          <w:szCs w:val="24"/>
        </w:rPr>
        <w:t>乙方</w:t>
      </w:r>
      <w:r>
        <w:rPr>
          <w:rFonts w:hint="eastAsia" w:ascii="仿宋" w:hAnsi="仿宋" w:eastAsia="仿宋" w:cs="仿宋"/>
          <w:kern w:val="0"/>
          <w:sz w:val="24"/>
          <w:szCs w:val="24"/>
          <w:lang w:val="zh-CN"/>
        </w:rPr>
        <w:t xml:space="preserve">提供13%的增值税专用发票（若国家政策法规另有规定的，按新规定执行， 价格调整以不含税价为基准）以及相关规定须交纳的其他费用等。  </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二、质量要求、技术标准：按照甲方要求组织生产，</w:t>
      </w:r>
      <w:r>
        <w:rPr>
          <w:rFonts w:hint="eastAsia" w:ascii="仿宋" w:hAnsi="仿宋" w:eastAsia="仿宋" w:cs="仿宋"/>
          <w:color w:val="auto"/>
          <w:kern w:val="0"/>
          <w:sz w:val="24"/>
          <w:szCs w:val="24"/>
          <w:highlight w:val="none"/>
          <w:lang w:val="zh-CN"/>
        </w:rPr>
        <w:t xml:space="preserve">产品符合标准编号为 </w:t>
      </w:r>
      <w:r>
        <w:rPr>
          <w:rFonts w:hint="eastAsia" w:ascii="仿宋" w:hAnsi="仿宋" w:eastAsia="仿宋" w:cs="仿宋"/>
          <w:color w:val="auto"/>
          <w:kern w:val="0"/>
          <w:sz w:val="24"/>
          <w:szCs w:val="24"/>
          <w:highlight w:val="none"/>
          <w:u w:val="single"/>
          <w:lang w:val="en-US" w:eastAsia="zh-CN"/>
        </w:rPr>
        <w:t xml:space="preserve"> DCBA</w:t>
      </w:r>
      <w:r>
        <w:rPr>
          <w:rFonts w:hint="eastAsia" w:ascii="仿宋" w:hAnsi="仿宋" w:eastAsia="仿宋" w:cs="仿宋"/>
          <w:color w:val="auto"/>
          <w:kern w:val="0"/>
          <w:sz w:val="24"/>
          <w:szCs w:val="24"/>
          <w:highlight w:val="none"/>
          <w:lang w:val="zh-CN"/>
        </w:rPr>
        <w:t>（A、国家标准；B、行业标准；C、出卖方企业标准；D、双方协议标准）</w:t>
      </w:r>
      <w:r>
        <w:rPr>
          <w:rFonts w:hint="eastAsia" w:ascii="仿宋" w:hAnsi="仿宋" w:eastAsia="仿宋" w:cs="仿宋"/>
          <w:kern w:val="0"/>
          <w:sz w:val="24"/>
          <w:szCs w:val="24"/>
          <w:lang w:val="zh-CN"/>
        </w:rPr>
        <w:t>。</w:t>
      </w:r>
    </w:p>
    <w:p>
      <w:pPr>
        <w:keepNext w:val="0"/>
        <w:keepLines w:val="0"/>
        <w:pageBreakBefore w:val="0"/>
        <w:kinsoku/>
        <w:wordWrap/>
        <w:overflowPunct/>
        <w:topLinePunct w:val="0"/>
        <w:autoSpaceDE w:val="0"/>
        <w:autoSpaceDN w:val="0"/>
        <w:bidi w:val="0"/>
        <w:adjustRightInd w:val="0"/>
        <w:spacing w:line="300" w:lineRule="auto"/>
        <w:ind w:left="479"/>
        <w:outlineLvl w:val="0"/>
        <w:rPr>
          <w:rFonts w:hint="eastAsia" w:ascii="仿宋" w:hAnsi="仿宋" w:eastAsia="仿宋" w:cs="仿宋"/>
          <w:kern w:val="0"/>
          <w:sz w:val="24"/>
          <w:szCs w:val="24"/>
          <w:lang w:val="zh-CN"/>
        </w:rPr>
      </w:pPr>
      <w:bookmarkStart w:id="111" w:name="_Toc27460"/>
      <w:bookmarkStart w:id="112" w:name="_Toc11962"/>
      <w:bookmarkStart w:id="113" w:name="_Toc3439"/>
      <w:bookmarkStart w:id="114" w:name="_Toc31312"/>
      <w:bookmarkStart w:id="115" w:name="_Toc14603"/>
      <w:r>
        <w:rPr>
          <w:rFonts w:hint="eastAsia" w:ascii="仿宋" w:hAnsi="仿宋" w:eastAsia="仿宋" w:cs="仿宋"/>
          <w:kern w:val="0"/>
          <w:sz w:val="24"/>
          <w:szCs w:val="24"/>
          <w:lang w:val="zh-CN"/>
        </w:rPr>
        <w:t>三、交货方式、交货地点、履行地点、接收单位：</w:t>
      </w:r>
      <w:bookmarkEnd w:id="111"/>
      <w:bookmarkEnd w:id="112"/>
      <w:bookmarkEnd w:id="113"/>
      <w:bookmarkEnd w:id="114"/>
      <w:bookmarkEnd w:id="115"/>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1、交货方式：由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方代办托运至指定地点，运费、运输保险等费用由</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方承担。</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zh-CN"/>
        </w:rPr>
        <w:t>2、交货地点：福建省三明市沙县区金沙园</w:t>
      </w:r>
      <w:r>
        <w:rPr>
          <w:rFonts w:hint="eastAsia" w:ascii="仿宋" w:hAnsi="仿宋" w:eastAsia="仿宋" w:cs="仿宋"/>
          <w:kern w:val="0"/>
          <w:sz w:val="24"/>
          <w:szCs w:val="24"/>
          <w:lang w:val="en-US" w:eastAsia="zh-CN"/>
        </w:rPr>
        <w:t>海西院孵化区双创大楼，乐佳佳13636964281。</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3、履行地点：</w:t>
      </w:r>
      <w:r>
        <w:rPr>
          <w:rFonts w:hint="eastAsia" w:ascii="仿宋" w:hAnsi="仿宋" w:eastAsia="仿宋" w:cs="仿宋"/>
          <w:kern w:val="0"/>
          <w:sz w:val="24"/>
          <w:szCs w:val="24"/>
          <w:lang w:val="en-US" w:eastAsia="zh-CN"/>
        </w:rPr>
        <w:t xml:space="preserve">福建省三明市沙县区 </w:t>
      </w:r>
      <w:r>
        <w:rPr>
          <w:rFonts w:hint="eastAsia" w:ascii="仿宋" w:hAnsi="仿宋" w:eastAsia="仿宋" w:cs="仿宋"/>
          <w:kern w:val="0"/>
          <w:sz w:val="24"/>
          <w:szCs w:val="24"/>
          <w:lang w:val="zh-CN"/>
        </w:rPr>
        <w:t xml:space="preserve"> </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highlight w:val="none"/>
          <w:lang w:val="zh-CN"/>
        </w:rPr>
        <w:t>4.供货清单：</w:t>
      </w:r>
      <w:r>
        <w:rPr>
          <w:rFonts w:hint="eastAsia" w:ascii="仿宋" w:hAnsi="仿宋" w:eastAsia="仿宋" w:cs="仿宋"/>
          <w:kern w:val="0"/>
          <w:sz w:val="24"/>
          <w:szCs w:val="24"/>
          <w:highlight w:val="none"/>
          <w:lang w:val="en-US" w:eastAsia="zh-CN"/>
        </w:rPr>
        <w:t>送货单</w:t>
      </w:r>
      <w:r>
        <w:rPr>
          <w:rFonts w:hint="eastAsia" w:ascii="仿宋" w:hAnsi="仿宋" w:eastAsia="仿宋" w:cs="仿宋"/>
          <w:kern w:val="0"/>
          <w:sz w:val="24"/>
          <w:szCs w:val="24"/>
          <w:lang w:val="zh-CN"/>
        </w:rPr>
        <w:t>。</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en-US" w:eastAsia="zh-CN"/>
        </w:rPr>
      </w:pPr>
      <w:bookmarkStart w:id="116" w:name="_Toc9492"/>
      <w:bookmarkStart w:id="117" w:name="_Toc27088"/>
      <w:bookmarkStart w:id="118" w:name="_Toc25410"/>
      <w:bookmarkStart w:id="119" w:name="_Toc905"/>
      <w:bookmarkStart w:id="120" w:name="_Toc1247"/>
      <w:r>
        <w:rPr>
          <w:rFonts w:hint="eastAsia" w:ascii="仿宋" w:hAnsi="仿宋" w:eastAsia="仿宋" w:cs="仿宋"/>
          <w:kern w:val="0"/>
          <w:sz w:val="24"/>
          <w:szCs w:val="24"/>
          <w:lang w:val="zh-CN"/>
        </w:rPr>
        <w:t>四、交货日期：</w:t>
      </w:r>
      <w:r>
        <w:rPr>
          <w:rFonts w:hint="eastAsia" w:ascii="仿宋" w:hAnsi="仿宋" w:eastAsia="仿宋" w:cs="仿宋"/>
          <w:kern w:val="0"/>
          <w:sz w:val="24"/>
          <w:szCs w:val="24"/>
          <w:lang w:val="en-US" w:eastAsia="zh-CN"/>
        </w:rPr>
        <w:t>合同签订后，三年内，下采购订单之日起30日。</w:t>
      </w:r>
      <w:bookmarkEnd w:id="116"/>
      <w:bookmarkEnd w:id="117"/>
      <w:bookmarkEnd w:id="118"/>
      <w:bookmarkEnd w:id="119"/>
      <w:bookmarkEnd w:id="120"/>
    </w:p>
    <w:p>
      <w:pPr>
        <w:keepNext w:val="0"/>
        <w:keepLines w:val="0"/>
        <w:pageBreakBefore w:val="0"/>
        <w:kinsoku/>
        <w:wordWrap/>
        <w:overflowPunct/>
        <w:topLinePunct w:val="0"/>
        <w:autoSpaceDE w:val="0"/>
        <w:autoSpaceDN w:val="0"/>
        <w:bidi w:val="0"/>
        <w:adjustRightInd w:val="0"/>
        <w:spacing w:line="300" w:lineRule="auto"/>
        <w:ind w:left="479"/>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五、包装标准与回收方法：满足运输及甲方要求的包装方式，乙方负责包装并承担包装费用。</w:t>
      </w:r>
    </w:p>
    <w:p>
      <w:pPr>
        <w:keepNext w:val="0"/>
        <w:keepLines w:val="0"/>
        <w:pageBreakBefore w:val="0"/>
        <w:tabs>
          <w:tab w:val="left" w:pos="120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六、验收标准及方法：产品按本合同第二条约定的质量标准进行验收，由甲方和乙方共同完成。乙方在验收前必须向甲方提供产品</w:t>
      </w:r>
      <w:r>
        <w:rPr>
          <w:rFonts w:hint="eastAsia" w:ascii="仿宋" w:hAnsi="仿宋" w:eastAsia="仿宋" w:cs="仿宋"/>
          <w:kern w:val="0"/>
          <w:sz w:val="24"/>
          <w:szCs w:val="24"/>
          <w:lang w:val="en-US" w:eastAsia="zh-CN"/>
        </w:rPr>
        <w:t>送货单、检测报告</w:t>
      </w:r>
      <w:r>
        <w:rPr>
          <w:rFonts w:hint="eastAsia" w:ascii="仿宋" w:hAnsi="仿宋" w:eastAsia="仿宋" w:cs="仿宋"/>
          <w:kern w:val="0"/>
          <w:sz w:val="24"/>
          <w:szCs w:val="24"/>
          <w:lang w:val="zh-CN"/>
        </w:rPr>
        <w:t>等资料。</w:t>
      </w:r>
    </w:p>
    <w:p>
      <w:pPr>
        <w:keepNext w:val="0"/>
        <w:keepLines w:val="0"/>
        <w:pageBreakBefore w:val="0"/>
        <w:kinsoku/>
        <w:wordWrap/>
        <w:overflowPunct/>
        <w:topLinePunct w:val="0"/>
        <w:autoSpaceDE w:val="0"/>
        <w:autoSpaceDN w:val="0"/>
        <w:bidi w:val="0"/>
        <w:adjustRightInd w:val="0"/>
        <w:spacing w:line="300" w:lineRule="auto"/>
        <w:ind w:left="54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验收规则</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1、验收标准：所有产品均按国家及行业标准的相关规定、本采购文件、谈判文件及投标样品相关内容进行验收。</w:t>
      </w:r>
    </w:p>
    <w:p>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2、验收程序如下：</w:t>
      </w:r>
    </w:p>
    <w:p>
      <w:pPr>
        <w:keepNext w:val="0"/>
        <w:keepLines w:val="0"/>
        <w:pageBreakBefore w:val="0"/>
        <w:tabs>
          <w:tab w:val="left" w:pos="0"/>
        </w:tabs>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（1）出厂检验：乙方在产品出厂前，应按产品技术标准规定的检验项目和试验方法进行全面检验。乙方应随同产品出具出厂检验报告及产品质量合格证等，结果必须符合前款验收标准的要求。</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（2）</w:t>
      </w:r>
      <w:r>
        <w:rPr>
          <w:rFonts w:hint="eastAsia" w:ascii="仿宋" w:hAnsi="仿宋" w:eastAsia="仿宋" w:cs="仿宋"/>
          <w:kern w:val="0"/>
          <w:sz w:val="24"/>
          <w:szCs w:val="24"/>
        </w:rPr>
        <w:t>最终验收：</w:t>
      </w:r>
      <w:r>
        <w:rPr>
          <w:rFonts w:hint="eastAsia" w:ascii="仿宋" w:hAnsi="仿宋" w:eastAsia="仿宋" w:cs="仿宋"/>
          <w:kern w:val="0"/>
          <w:sz w:val="24"/>
          <w:szCs w:val="24"/>
          <w:lang w:val="zh-CN"/>
        </w:rPr>
        <w:t>验收时，乙方所供到场货物与本合同约定的质量标准或样品（产品经双方确认后封样各自保存，出现偏差时以样品为准）不相符，甲方可要求退货，退货的往返运费均由乙方承担。</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方验收人：</w:t>
      </w:r>
      <w:r>
        <w:rPr>
          <w:rFonts w:hint="eastAsia" w:ascii="仿宋" w:hAnsi="仿宋" w:eastAsia="仿宋" w:cs="仿宋"/>
          <w:kern w:val="0"/>
          <w:sz w:val="24"/>
          <w:szCs w:val="24"/>
          <w:lang w:val="en-US" w:eastAsia="zh-CN"/>
        </w:rPr>
        <w:t>洪英毅</w:t>
      </w:r>
      <w:r>
        <w:rPr>
          <w:rFonts w:hint="eastAsia" w:ascii="仿宋" w:hAnsi="仿宋" w:eastAsia="仿宋" w:cs="仿宋"/>
          <w:kern w:val="0"/>
          <w:sz w:val="24"/>
          <w:szCs w:val="24"/>
          <w:lang w:val="zh-CN"/>
        </w:rPr>
        <w:t xml:space="preserve"> 电话：</w:t>
      </w:r>
      <w:r>
        <w:rPr>
          <w:rFonts w:hint="eastAsia" w:ascii="仿宋" w:hAnsi="仿宋" w:eastAsia="仿宋" w:cs="仿宋"/>
          <w:kern w:val="0"/>
          <w:sz w:val="24"/>
          <w:szCs w:val="24"/>
          <w:lang w:val="en-US" w:eastAsia="zh-CN"/>
        </w:rPr>
        <w:t>13507569390</w:t>
      </w:r>
      <w:r>
        <w:rPr>
          <w:rFonts w:hint="eastAsia" w:ascii="仿宋" w:hAnsi="仿宋" w:eastAsia="仿宋" w:cs="仿宋"/>
          <w:kern w:val="0"/>
          <w:sz w:val="24"/>
          <w:szCs w:val="24"/>
          <w:lang w:val="zh-CN"/>
        </w:rPr>
        <w:t>。</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1" w:name="_Toc25848"/>
      <w:bookmarkStart w:id="122" w:name="_Toc4452"/>
      <w:bookmarkStart w:id="123" w:name="_Toc15806"/>
      <w:bookmarkStart w:id="124" w:name="_Toc12507"/>
      <w:bookmarkStart w:id="125" w:name="_Toc14045"/>
      <w:r>
        <w:rPr>
          <w:rFonts w:hint="eastAsia" w:ascii="仿宋" w:hAnsi="仿宋" w:eastAsia="仿宋" w:cs="仿宋"/>
          <w:kern w:val="0"/>
          <w:sz w:val="24"/>
          <w:szCs w:val="24"/>
          <w:lang w:val="zh-CN"/>
        </w:rPr>
        <w:t>七、结算</w:t>
      </w:r>
      <w:r>
        <w:rPr>
          <w:rFonts w:hint="eastAsia" w:ascii="仿宋" w:hAnsi="仿宋" w:eastAsia="仿宋" w:cs="仿宋"/>
          <w:kern w:val="0"/>
          <w:sz w:val="24"/>
          <w:szCs w:val="24"/>
        </w:rPr>
        <w:t>条件与</w:t>
      </w:r>
      <w:r>
        <w:rPr>
          <w:rFonts w:hint="eastAsia" w:ascii="仿宋" w:hAnsi="仿宋" w:eastAsia="仿宋" w:cs="仿宋"/>
          <w:kern w:val="0"/>
          <w:sz w:val="24"/>
          <w:szCs w:val="24"/>
          <w:lang w:val="zh-CN"/>
        </w:rPr>
        <w:t>方式：</w:t>
      </w:r>
      <w:bookmarkEnd w:id="121"/>
      <w:bookmarkEnd w:id="122"/>
      <w:bookmarkEnd w:id="123"/>
      <w:bookmarkEnd w:id="124"/>
      <w:bookmarkEnd w:id="125"/>
    </w:p>
    <w:p>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结算条件</w:t>
      </w:r>
    </w:p>
    <w:p>
      <w:pPr>
        <w:pStyle w:val="2"/>
        <w:keepNext w:val="0"/>
        <w:keepLines w:val="0"/>
        <w:pageBreakBefore w:val="0"/>
        <w:kinsoku/>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货到甲方指定工厂</w:t>
      </w:r>
      <w:r>
        <w:rPr>
          <w:rFonts w:hint="eastAsia" w:ascii="仿宋" w:hAnsi="仿宋" w:eastAsia="仿宋" w:cs="仿宋"/>
          <w:sz w:val="24"/>
          <w:szCs w:val="24"/>
        </w:rPr>
        <w:t>，要求</w:t>
      </w:r>
      <w:r>
        <w:rPr>
          <w:rFonts w:hint="eastAsia" w:ascii="仿宋" w:hAnsi="仿宋" w:eastAsia="仿宋" w:cs="仿宋"/>
          <w:sz w:val="24"/>
          <w:szCs w:val="24"/>
          <w:lang w:val="en-US" w:eastAsia="zh-CN"/>
        </w:rPr>
        <w:t>乙方提供</w:t>
      </w:r>
      <w:r>
        <w:rPr>
          <w:rFonts w:hint="eastAsia" w:ascii="仿宋" w:hAnsi="仿宋" w:eastAsia="仿宋" w:cs="仿宋"/>
          <w:sz w:val="24"/>
          <w:szCs w:val="24"/>
        </w:rPr>
        <w:t>提交下列单证和文件。</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a.乙方开具合同等额的正式发票。</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 </w:t>
      </w:r>
      <w:r>
        <w:rPr>
          <w:rFonts w:hint="eastAsia" w:ascii="仿宋" w:hAnsi="仿宋" w:eastAsia="仿宋" w:cs="仿宋"/>
          <w:sz w:val="24"/>
          <w:szCs w:val="24"/>
          <w:lang w:eastAsia="zh-CN"/>
        </w:rPr>
        <w:t>、</w:t>
      </w:r>
      <w:r>
        <w:rPr>
          <w:rFonts w:hint="eastAsia" w:ascii="仿宋" w:hAnsi="仿宋" w:eastAsia="仿宋" w:cs="仿宋"/>
          <w:sz w:val="24"/>
          <w:szCs w:val="24"/>
        </w:rPr>
        <w:t>结算方式：</w:t>
      </w:r>
      <w:r>
        <w:rPr>
          <w:rFonts w:hint="eastAsia" w:ascii="仿宋" w:hAnsi="仿宋" w:eastAsia="仿宋" w:cs="仿宋"/>
          <w:sz w:val="24"/>
          <w:szCs w:val="24"/>
          <w:lang w:val="en-US" w:eastAsia="zh-CN"/>
        </w:rPr>
        <w:t>全额货到、票到30日内支付全款。</w:t>
      </w:r>
      <w:r>
        <w:rPr>
          <w:rFonts w:hint="eastAsia" w:ascii="仿宋" w:hAnsi="仿宋" w:eastAsia="仿宋" w:cs="仿宋"/>
          <w:sz w:val="24"/>
          <w:szCs w:val="24"/>
        </w:rPr>
        <w:t>支付方式：</w:t>
      </w:r>
      <w:r>
        <w:rPr>
          <w:rFonts w:hint="eastAsia" w:ascii="仿宋" w:hAnsi="仿宋" w:eastAsia="仿宋" w:cs="仿宋"/>
          <w:sz w:val="24"/>
          <w:szCs w:val="24"/>
          <w:lang w:val="en-US" w:eastAsia="zh-CN"/>
        </w:rPr>
        <w:t>银行承兑汇票。</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、如</w:t>
      </w:r>
      <w:r>
        <w:rPr>
          <w:rFonts w:hint="eastAsia" w:ascii="仿宋" w:hAnsi="仿宋" w:eastAsia="仿宋" w:cs="仿宋"/>
          <w:sz w:val="24"/>
          <w:szCs w:val="24"/>
          <w:lang w:val="en-US" w:eastAsia="zh-CN"/>
        </w:rPr>
        <w:t>乙</w:t>
      </w:r>
      <w:r>
        <w:rPr>
          <w:rFonts w:hint="eastAsia" w:ascii="仿宋" w:hAnsi="仿宋" w:eastAsia="仿宋" w:cs="仿宋"/>
          <w:sz w:val="24"/>
          <w:szCs w:val="24"/>
        </w:rPr>
        <w:t>方不开具或开具不合格的发票，</w:t>
      </w:r>
      <w:r>
        <w:rPr>
          <w:rFonts w:hint="eastAsia" w:ascii="仿宋" w:hAnsi="仿宋" w:eastAsia="仿宋" w:cs="仿宋"/>
          <w:sz w:val="24"/>
          <w:szCs w:val="24"/>
          <w:lang w:val="en-US" w:eastAsia="zh-CN"/>
        </w:rPr>
        <w:t>甲</w:t>
      </w:r>
      <w:r>
        <w:rPr>
          <w:rFonts w:hint="eastAsia" w:ascii="仿宋" w:hAnsi="仿宋" w:eastAsia="仿宋" w:cs="仿宋"/>
          <w:sz w:val="24"/>
          <w:szCs w:val="24"/>
        </w:rPr>
        <w:t>方有权迟延支付应付款项直至乙方开具合格票据且不承担任何违约责任，且</w:t>
      </w:r>
      <w:r>
        <w:rPr>
          <w:rFonts w:hint="eastAsia" w:ascii="仿宋" w:hAnsi="仿宋" w:eastAsia="仿宋" w:cs="仿宋"/>
          <w:sz w:val="24"/>
          <w:szCs w:val="24"/>
          <w:lang w:val="en-US" w:eastAsia="zh-CN"/>
        </w:rPr>
        <w:t>乙</w:t>
      </w:r>
      <w:r>
        <w:rPr>
          <w:rFonts w:hint="eastAsia" w:ascii="仿宋" w:hAnsi="仿宋" w:eastAsia="仿宋" w:cs="仿宋"/>
          <w:sz w:val="24"/>
          <w:szCs w:val="24"/>
        </w:rPr>
        <w:t>方的各项合同义务仍应按合同约定履行。</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、由于</w:t>
      </w:r>
      <w:r>
        <w:rPr>
          <w:rFonts w:hint="eastAsia" w:ascii="仿宋" w:hAnsi="仿宋" w:eastAsia="仿宋" w:cs="仿宋"/>
          <w:sz w:val="24"/>
          <w:szCs w:val="24"/>
          <w:lang w:val="en-US" w:eastAsia="zh-CN"/>
        </w:rPr>
        <w:t>乙</w:t>
      </w:r>
      <w:r>
        <w:rPr>
          <w:rFonts w:hint="eastAsia" w:ascii="仿宋" w:hAnsi="仿宋" w:eastAsia="仿宋" w:cs="仿宋"/>
          <w:sz w:val="24"/>
          <w:szCs w:val="24"/>
        </w:rPr>
        <w:t>方开具发票不真实、不合格而引起的一切责任（包括商业责任和法律责任</w:t>
      </w:r>
      <w:r>
        <w:rPr>
          <w:rFonts w:hint="eastAsia" w:ascii="仿宋" w:hAnsi="仿宋" w:eastAsia="仿宋" w:cs="仿宋"/>
          <w:sz w:val="24"/>
          <w:szCs w:val="24"/>
          <w:lang w:eastAsia="zh-CN"/>
        </w:rPr>
        <w:t>）</w:t>
      </w:r>
      <w:r>
        <w:rPr>
          <w:rFonts w:hint="eastAsia" w:ascii="仿宋" w:hAnsi="仿宋" w:eastAsia="仿宋" w:cs="仿宋"/>
          <w:sz w:val="24"/>
          <w:szCs w:val="24"/>
        </w:rPr>
        <w:t>和损失，由</w:t>
      </w:r>
      <w:r>
        <w:rPr>
          <w:rFonts w:hint="eastAsia" w:ascii="仿宋" w:hAnsi="仿宋" w:eastAsia="仿宋" w:cs="仿宋"/>
          <w:sz w:val="24"/>
          <w:szCs w:val="24"/>
          <w:lang w:val="en-US" w:eastAsia="zh-CN"/>
        </w:rPr>
        <w:t>乙</w:t>
      </w:r>
      <w:r>
        <w:rPr>
          <w:rFonts w:hint="eastAsia" w:ascii="仿宋" w:hAnsi="仿宋" w:eastAsia="仿宋" w:cs="仿宋"/>
          <w:sz w:val="24"/>
          <w:szCs w:val="24"/>
        </w:rPr>
        <w:t>方承担。</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26" w:name="_Toc28267"/>
      <w:bookmarkStart w:id="127" w:name="_Toc16798"/>
      <w:bookmarkStart w:id="128" w:name="_Toc9235"/>
      <w:bookmarkStart w:id="129" w:name="_Toc335"/>
      <w:bookmarkStart w:id="130" w:name="_Toc28559"/>
      <w:r>
        <w:rPr>
          <w:rFonts w:hint="eastAsia" w:ascii="仿宋" w:hAnsi="仿宋" w:eastAsia="仿宋" w:cs="仿宋"/>
          <w:kern w:val="0"/>
          <w:sz w:val="24"/>
          <w:szCs w:val="24"/>
          <w:lang w:val="zh-CN"/>
        </w:rPr>
        <w:t>八、质量保证期：</w:t>
      </w:r>
      <w:bookmarkEnd w:id="126"/>
      <w:bookmarkEnd w:id="127"/>
      <w:bookmarkEnd w:id="128"/>
      <w:bookmarkEnd w:id="129"/>
      <w:bookmarkEnd w:id="130"/>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1、质量保证期为：</w:t>
      </w:r>
      <w:r>
        <w:rPr>
          <w:rFonts w:hint="eastAsia" w:ascii="仿宋" w:hAnsi="仿宋" w:eastAsia="仿宋" w:cs="仿宋"/>
          <w:kern w:val="0"/>
          <w:sz w:val="24"/>
          <w:szCs w:val="24"/>
          <w:lang w:val="en-US" w:eastAsia="zh-CN"/>
        </w:rPr>
        <w:t>60天</w:t>
      </w:r>
      <w:r>
        <w:rPr>
          <w:rFonts w:hint="eastAsia" w:ascii="仿宋" w:hAnsi="仿宋" w:eastAsia="仿宋" w:cs="仿宋"/>
          <w:kern w:val="0"/>
          <w:sz w:val="24"/>
          <w:szCs w:val="24"/>
          <w:lang w:val="zh-CN"/>
        </w:rPr>
        <w:t>，从</w:t>
      </w:r>
      <w:r>
        <w:rPr>
          <w:rFonts w:hint="eastAsia" w:ascii="仿宋" w:hAnsi="仿宋" w:eastAsia="仿宋" w:cs="仿宋"/>
          <w:kern w:val="0"/>
          <w:sz w:val="24"/>
          <w:szCs w:val="24"/>
          <w:lang w:val="en-US" w:eastAsia="zh-CN"/>
        </w:rPr>
        <w:t>货物</w:t>
      </w:r>
      <w:r>
        <w:rPr>
          <w:rFonts w:hint="eastAsia" w:ascii="仿宋" w:hAnsi="仿宋" w:eastAsia="仿宋" w:cs="仿宋"/>
          <w:kern w:val="0"/>
          <w:sz w:val="24"/>
          <w:szCs w:val="24"/>
          <w:lang w:val="zh-CN"/>
        </w:rPr>
        <w:t>进场经验收之日起计算，在质保期内出现问题，乙方必须免费予以退换。</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31" w:name="_Toc19014"/>
      <w:bookmarkStart w:id="132" w:name="_Toc13737"/>
      <w:bookmarkStart w:id="133" w:name="_Toc19007"/>
      <w:bookmarkStart w:id="134" w:name="_Toc23506"/>
      <w:bookmarkStart w:id="135" w:name="_Toc4244"/>
      <w:r>
        <w:rPr>
          <w:rFonts w:hint="eastAsia" w:ascii="仿宋" w:hAnsi="仿宋" w:eastAsia="仿宋" w:cs="仿宋"/>
          <w:kern w:val="0"/>
          <w:sz w:val="24"/>
          <w:szCs w:val="24"/>
          <w:lang w:val="zh-CN"/>
        </w:rPr>
        <w:t>九、产品交接：</w:t>
      </w:r>
      <w:bookmarkEnd w:id="131"/>
      <w:bookmarkEnd w:id="132"/>
      <w:bookmarkEnd w:id="133"/>
      <w:bookmarkEnd w:id="134"/>
      <w:bookmarkEnd w:id="135"/>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甲方根据产品交接清单清点数量，检查产品外观质量。数量清点当场验收，质量验收以检测结果为准，如外观有明显破损、瑕疵、擦伤等，甲方有权要求退货，延误工期等损失由乙方承担。</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36" w:name="_Toc26325"/>
      <w:bookmarkStart w:id="137" w:name="_Toc12884"/>
      <w:bookmarkStart w:id="138" w:name="_Toc32091"/>
      <w:bookmarkStart w:id="139" w:name="_Toc16217"/>
      <w:bookmarkStart w:id="140" w:name="_Toc18658"/>
      <w:r>
        <w:rPr>
          <w:rFonts w:hint="eastAsia" w:ascii="仿宋" w:hAnsi="仿宋" w:eastAsia="仿宋" w:cs="仿宋"/>
          <w:kern w:val="0"/>
          <w:sz w:val="24"/>
          <w:szCs w:val="24"/>
          <w:lang w:val="zh-CN"/>
        </w:rPr>
        <w:t>十、违</w:t>
      </w:r>
      <w:r>
        <w:rPr>
          <w:rFonts w:hint="eastAsia" w:ascii="仿宋" w:hAnsi="仿宋" w:eastAsia="仿宋" w:cs="仿宋"/>
          <w:kern w:val="0"/>
          <w:sz w:val="24"/>
          <w:szCs w:val="24"/>
        </w:rPr>
        <w:t>约责任：</w:t>
      </w:r>
      <w:bookmarkEnd w:id="136"/>
      <w:bookmarkEnd w:id="137"/>
      <w:bookmarkEnd w:id="138"/>
      <w:bookmarkEnd w:id="139"/>
      <w:bookmarkEnd w:id="140"/>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如果乙方未能按合同规定的时间或双方另行确定的延期交货期按时足额交货的（不可抗力除外），每逾期1天，乙方应按迟交货物金额的1%向甲方支付逾期交货的违约金。若乙方逾期交货达30天（含30天）以上的，甲方有权单方解除本合同，乙方仍应按上述约定支付延期交货违约金。若因此给甲方造成损失的，还应赔偿甲方所受的损失。</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2.若乙方不能交货的（逾期15个工作日视为不能交货，因不可抗拒的因素除外）或交货不合格从而影响甲方正常使用的，乙方应向甲方偿付</w:t>
      </w:r>
      <w:r>
        <w:rPr>
          <w:rFonts w:hint="eastAsia" w:ascii="仿宋" w:hAnsi="仿宋" w:eastAsia="仿宋" w:cs="仿宋"/>
          <w:kern w:val="0"/>
          <w:sz w:val="24"/>
          <w:szCs w:val="24"/>
          <w:highlight w:val="none"/>
          <w:lang w:val="en-US" w:eastAsia="zh-CN"/>
        </w:rPr>
        <w:t>合同总额</w:t>
      </w:r>
      <w:r>
        <w:rPr>
          <w:rFonts w:hint="eastAsia" w:ascii="仿宋" w:hAnsi="仿宋" w:eastAsia="仿宋" w:cs="仿宋"/>
          <w:kern w:val="0"/>
          <w:sz w:val="24"/>
          <w:szCs w:val="24"/>
          <w:highlight w:val="none"/>
        </w:rPr>
        <w:t>10%的违约金。违约金不足以补偿损失的，甲方有权要求乙方赔偿损失。</w:t>
      </w:r>
    </w:p>
    <w:p>
      <w:pPr>
        <w:pStyle w:val="2"/>
        <w:keepNext w:val="0"/>
        <w:keepLines w:val="0"/>
        <w:pageBreakBefore w:val="0"/>
        <w:wordWrap/>
        <w:overflowPunct/>
        <w:topLinePunct w:val="0"/>
        <w:autoSpaceDE w:val="0"/>
        <w:autoSpaceDN w:val="0"/>
        <w:bidi w:val="0"/>
        <w:adjustRightInd w:val="0"/>
        <w:spacing w:line="300" w:lineRule="auto"/>
        <w:ind w:left="0" w:leftChars="0" w:firstLine="480" w:firstLineChars="200"/>
        <w:rPr>
          <w:rFonts w:hint="eastAsia" w:ascii="仿宋" w:hAnsi="仿宋" w:eastAsia="仿宋" w:cs="仿宋"/>
          <w:sz w:val="24"/>
          <w:szCs w:val="24"/>
          <w:highlight w:val="none"/>
          <w:lang w:val="en-US" w:eastAsia="zh-CN"/>
        </w:rPr>
      </w:pPr>
      <w:r>
        <w:rPr>
          <w:rFonts w:hint="eastAsia" w:ascii="仿宋" w:hAnsi="仿宋" w:eastAsia="仿宋" w:cs="仿宋"/>
          <w:kern w:val="0"/>
          <w:sz w:val="24"/>
          <w:szCs w:val="24"/>
          <w:highlight w:val="none"/>
          <w:lang w:val="en-US" w:eastAsia="zh-CN"/>
        </w:rPr>
        <w:t>3、若乙方交付的货物经甲方验收合格后但在质保期内，在甲方在使用过程中发现货物质量不合格，则乙方应向甲方赔偿合同总金额10%的违约金。</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1" w:name="_Toc13162"/>
      <w:bookmarkStart w:id="142" w:name="_Toc1304"/>
      <w:bookmarkStart w:id="143" w:name="_Toc5658"/>
      <w:bookmarkStart w:id="144" w:name="_Toc27259"/>
      <w:bookmarkStart w:id="145" w:name="_Toc10678"/>
      <w:r>
        <w:rPr>
          <w:rFonts w:hint="eastAsia" w:ascii="仿宋" w:hAnsi="仿宋" w:eastAsia="仿宋" w:cs="仿宋"/>
          <w:kern w:val="0"/>
          <w:sz w:val="24"/>
          <w:szCs w:val="24"/>
        </w:rPr>
        <w:t>十</w:t>
      </w:r>
      <w:r>
        <w:rPr>
          <w:rFonts w:hint="eastAsia" w:ascii="仿宋" w:hAnsi="仿宋" w:eastAsia="仿宋" w:cs="仿宋"/>
          <w:kern w:val="0"/>
          <w:sz w:val="24"/>
          <w:szCs w:val="24"/>
          <w:lang w:eastAsia="zh-CN"/>
        </w:rPr>
        <w:t>一</w:t>
      </w:r>
      <w:r>
        <w:rPr>
          <w:rFonts w:hint="eastAsia" w:ascii="仿宋" w:hAnsi="仿宋" w:eastAsia="仿宋" w:cs="仿宋"/>
          <w:kern w:val="0"/>
          <w:sz w:val="24"/>
          <w:szCs w:val="24"/>
        </w:rPr>
        <w:t>、违约终止合同</w:t>
      </w:r>
      <w:bookmarkEnd w:id="141"/>
      <w:bookmarkEnd w:id="142"/>
      <w:bookmarkEnd w:id="143"/>
      <w:bookmarkEnd w:id="144"/>
      <w:bookmarkEnd w:id="145"/>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1</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在补救违约而采取的任何其他措施未能实现的情况下，即在甲方发出的违约通知后30天内（或经甲方书面确认的更长时间内）仍未纠正其下述任何一种违约行为，甲方有权向乙方发出书面违约通知，同时甲方有权单方解除本合同。</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如果乙方未能在合同规定的期限内或双方另行确定的延期交货时间内交付合同约定的货物。</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乙方未能履行合同项下的</w:t>
      </w:r>
      <w:r>
        <w:rPr>
          <w:rFonts w:hint="eastAsia" w:ascii="仿宋" w:hAnsi="仿宋" w:eastAsia="仿宋" w:cs="仿宋"/>
          <w:kern w:val="0"/>
          <w:sz w:val="24"/>
          <w:szCs w:val="24"/>
          <w:lang w:eastAsia="zh-CN"/>
        </w:rPr>
        <w:t>任何其他</w:t>
      </w:r>
      <w:r>
        <w:rPr>
          <w:rFonts w:hint="eastAsia" w:ascii="仿宋" w:hAnsi="仿宋" w:eastAsia="仿宋" w:cs="仿宋"/>
          <w:kern w:val="0"/>
          <w:sz w:val="24"/>
          <w:szCs w:val="24"/>
        </w:rPr>
        <w:t>义务。</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sz w:val="24"/>
          <w:szCs w:val="24"/>
          <w:lang w:val="en-US" w:eastAsia="zh-CN"/>
        </w:rPr>
      </w:pPr>
      <w:r>
        <w:rPr>
          <w:rFonts w:hint="eastAsia" w:ascii="仿宋" w:hAnsi="仿宋" w:eastAsia="仿宋" w:cs="仿宋"/>
          <w:kern w:val="0"/>
          <w:sz w:val="24"/>
          <w:szCs w:val="24"/>
          <w:lang w:val="en-US" w:eastAsia="zh-CN"/>
        </w:rPr>
        <w:t>4、</w:t>
      </w:r>
      <w:r>
        <w:rPr>
          <w:rFonts w:hint="eastAsia" w:ascii="仿宋" w:hAnsi="仿宋" w:eastAsia="仿宋" w:cs="仿宋"/>
          <w:kern w:val="0"/>
          <w:sz w:val="24"/>
          <w:szCs w:val="24"/>
          <w:lang w:val="zh-CN"/>
        </w:rPr>
        <w:t>因上述原因造成的合同解除，因</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方责任时应全额退还</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方已付货款，并双倍返还合同预付款。当只能提供部分货物时，视为</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方违约，</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方可另购其余部分</w:t>
      </w:r>
      <w:r>
        <w:rPr>
          <w:rFonts w:hint="eastAsia" w:ascii="仿宋" w:hAnsi="仿宋" w:eastAsia="仿宋" w:cs="仿宋"/>
          <w:kern w:val="0"/>
          <w:sz w:val="24"/>
          <w:szCs w:val="24"/>
          <w:lang w:val="en-US" w:eastAsia="zh-CN"/>
        </w:rPr>
        <w:t>材料</w:t>
      </w:r>
      <w:r>
        <w:rPr>
          <w:rFonts w:hint="eastAsia" w:ascii="仿宋" w:hAnsi="仿宋" w:eastAsia="仿宋" w:cs="仿宋"/>
          <w:kern w:val="0"/>
          <w:sz w:val="24"/>
          <w:szCs w:val="24"/>
          <w:lang w:val="zh-CN"/>
        </w:rPr>
        <w:t>，</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方应承担购置费用和给</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方带来的相关经济损失并按照合同约定向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方支付违约金。</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46" w:name="_Toc8305"/>
      <w:bookmarkStart w:id="147" w:name="_Toc12356"/>
      <w:bookmarkStart w:id="148" w:name="_Toc18225"/>
      <w:bookmarkStart w:id="149" w:name="_Toc23293"/>
      <w:bookmarkStart w:id="150" w:name="_Toc21446"/>
      <w:r>
        <w:rPr>
          <w:rFonts w:hint="eastAsia" w:ascii="仿宋" w:hAnsi="仿宋" w:eastAsia="仿宋" w:cs="仿宋"/>
          <w:kern w:val="0"/>
          <w:sz w:val="24"/>
          <w:szCs w:val="24"/>
          <w:lang w:eastAsia="zh-CN"/>
        </w:rPr>
        <w:t>十二、</w:t>
      </w:r>
      <w:r>
        <w:rPr>
          <w:rFonts w:hint="eastAsia" w:ascii="仿宋" w:hAnsi="仿宋" w:eastAsia="仿宋" w:cs="仿宋"/>
          <w:kern w:val="0"/>
          <w:sz w:val="24"/>
          <w:szCs w:val="24"/>
        </w:rPr>
        <w:t>不可抗力</w:t>
      </w:r>
      <w:bookmarkEnd w:id="146"/>
      <w:bookmarkEnd w:id="147"/>
      <w:bookmarkEnd w:id="148"/>
      <w:bookmarkEnd w:id="149"/>
      <w:bookmarkEnd w:id="150"/>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因不可抗力造成违约的，遭受不可抗力一方应及时向对方通报不能履行或不能完全履行的理由，并在随后取得有关主管机关证明后的15日内向另一方提供不可抗力发生以及持续期间的充分证据。</w:t>
      </w:r>
      <w:r>
        <w:rPr>
          <w:rFonts w:hint="eastAsia" w:ascii="仿宋" w:hAnsi="仿宋" w:eastAsia="仿宋" w:cs="仿宋"/>
          <w:kern w:val="0"/>
          <w:sz w:val="24"/>
          <w:szCs w:val="24"/>
          <w:lang w:eastAsia="zh-CN"/>
        </w:rPr>
        <w:t>基于</w:t>
      </w:r>
      <w:r>
        <w:rPr>
          <w:rFonts w:hint="eastAsia" w:ascii="仿宋" w:hAnsi="仿宋" w:eastAsia="仿宋" w:cs="仿宋"/>
          <w:kern w:val="0"/>
          <w:sz w:val="24"/>
          <w:szCs w:val="24"/>
        </w:rPr>
        <w:t>以上行为，允许遭受不可抗力一方延期履行、部分履行或者不履行合同，并根据情况可部分或全部免于承担违约责任。</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rPr>
        <w:t>本合同中的不可抗力指不能预见、不能避免并不能克服的客观情况。包括但不限于：自然灾害如地震、台风、洪水、火灾；政府行为、法律规定或其适用的变化或者其他任何无法预见、避免或者控制的事件。</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rPr>
      </w:pPr>
      <w:bookmarkStart w:id="151" w:name="_Toc27170"/>
      <w:bookmarkStart w:id="152" w:name="_Toc8302"/>
      <w:bookmarkStart w:id="153" w:name="_Toc11998"/>
      <w:bookmarkStart w:id="154" w:name="_Toc22964"/>
      <w:bookmarkStart w:id="155" w:name="_Toc18123"/>
      <w:r>
        <w:rPr>
          <w:rFonts w:hint="eastAsia" w:ascii="仿宋" w:hAnsi="仿宋" w:eastAsia="仿宋" w:cs="仿宋"/>
          <w:kern w:val="0"/>
          <w:sz w:val="24"/>
          <w:szCs w:val="24"/>
          <w:lang w:val="en-US" w:eastAsia="zh-CN"/>
        </w:rPr>
        <w:t>十三、</w:t>
      </w:r>
      <w:r>
        <w:rPr>
          <w:rFonts w:hint="eastAsia" w:ascii="仿宋" w:hAnsi="仿宋" w:eastAsia="仿宋" w:cs="仿宋"/>
          <w:kern w:val="0"/>
          <w:sz w:val="24"/>
          <w:szCs w:val="24"/>
        </w:rPr>
        <w:t>权利义务转移和违法违规条款</w:t>
      </w:r>
      <w:bookmarkEnd w:id="151"/>
      <w:bookmarkEnd w:id="152"/>
      <w:bookmarkEnd w:id="153"/>
      <w:bookmarkEnd w:id="154"/>
      <w:bookmarkEnd w:id="155"/>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1、</w:t>
      </w:r>
      <w:r>
        <w:rPr>
          <w:rFonts w:hint="eastAsia" w:ascii="仿宋" w:hAnsi="仿宋" w:eastAsia="仿宋" w:cs="仿宋"/>
          <w:kern w:val="0"/>
          <w:sz w:val="24"/>
          <w:szCs w:val="24"/>
        </w:rPr>
        <w:t>基于诚信原则，本合同项下未经</w:t>
      </w:r>
      <w:r>
        <w:rPr>
          <w:rFonts w:hint="eastAsia" w:ascii="仿宋" w:hAnsi="仿宋" w:eastAsia="仿宋" w:cs="仿宋"/>
          <w:kern w:val="0"/>
          <w:sz w:val="24"/>
          <w:szCs w:val="24"/>
          <w:lang w:eastAsia="zh-CN"/>
        </w:rPr>
        <w:t>甲方</w:t>
      </w:r>
      <w:r>
        <w:rPr>
          <w:rFonts w:hint="eastAsia" w:ascii="仿宋" w:hAnsi="仿宋" w:eastAsia="仿宋" w:cs="仿宋"/>
          <w:kern w:val="0"/>
          <w:sz w:val="24"/>
          <w:szCs w:val="24"/>
        </w:rPr>
        <w:t>书面同意，</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方不得转让或者变相转让本合同的权利义务，否则向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方支付合同总金额30％的违约金。</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2、</w:t>
      </w:r>
      <w:r>
        <w:rPr>
          <w:rFonts w:hint="eastAsia" w:ascii="仿宋" w:hAnsi="仿宋" w:eastAsia="仿宋" w:cs="仿宋"/>
          <w:kern w:val="0"/>
          <w:sz w:val="24"/>
          <w:szCs w:val="24"/>
        </w:rPr>
        <w:t>在本合同项下如</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方违法违规造成</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方损失的，</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方须全额赔偿，赔偿金额从</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方货款或者履约保证金等款项中扣除，不足部分，</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rPr>
        <w:t>方依法享有向</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rPr>
        <w:t>方追索的权利。</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szCs w:val="24"/>
          <w:lang w:val="zh-CN"/>
        </w:rPr>
      </w:pPr>
      <w:bookmarkStart w:id="156" w:name="_Toc15574"/>
      <w:bookmarkStart w:id="157" w:name="_Toc16587"/>
      <w:bookmarkStart w:id="158" w:name="_Toc19723"/>
      <w:bookmarkStart w:id="159" w:name="_Toc4875"/>
      <w:bookmarkStart w:id="160" w:name="_Toc22793"/>
      <w:r>
        <w:rPr>
          <w:rFonts w:hint="eastAsia" w:ascii="仿宋" w:hAnsi="仿宋" w:eastAsia="仿宋" w:cs="仿宋"/>
          <w:kern w:val="0"/>
          <w:sz w:val="24"/>
          <w:szCs w:val="24"/>
          <w:lang w:eastAsia="zh-CN"/>
        </w:rPr>
        <w:t>十四、</w:t>
      </w:r>
      <w:r>
        <w:rPr>
          <w:rFonts w:hint="eastAsia" w:ascii="仿宋" w:hAnsi="仿宋" w:eastAsia="仿宋" w:cs="仿宋"/>
          <w:kern w:val="0"/>
          <w:sz w:val="24"/>
          <w:szCs w:val="24"/>
          <w:lang w:val="zh-CN"/>
        </w:rPr>
        <w:t>反商业贿赂条款</w:t>
      </w:r>
      <w:bookmarkEnd w:id="156"/>
      <w:bookmarkEnd w:id="157"/>
      <w:bookmarkEnd w:id="158"/>
      <w:bookmarkEnd w:id="159"/>
      <w:bookmarkEnd w:id="160"/>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zh-CN"/>
        </w:rPr>
        <w:t>为保障双方合法权益不受侵害，保持</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双方长久、良好的合作关系，根据《中华人民共和国反不正当竞争法》《关于禁止商业贿赂行为的暂行规定》及有关法律法规的规定，</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双方约定如下：</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1、甲乙</w:t>
      </w:r>
      <w:r>
        <w:rPr>
          <w:rFonts w:hint="eastAsia" w:ascii="仿宋" w:hAnsi="仿宋" w:eastAsia="仿宋" w:cs="仿宋"/>
          <w:kern w:val="0"/>
          <w:sz w:val="24"/>
          <w:szCs w:val="24"/>
          <w:lang w:val="zh-CN"/>
        </w:rPr>
        <w:t>双方共同约定，不论在任何情况下，禁止提议、给予、索取或者接受任何形式的商业贿赂，亦不寻求通过给予商业贿赂或者其他酬谢而谋取任何利益。</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双方均有义务拒绝对方员工的索贿、行贿行为。</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2、甲乙</w:t>
      </w:r>
      <w:r>
        <w:rPr>
          <w:rFonts w:hint="eastAsia" w:ascii="仿宋" w:hAnsi="仿宋" w:eastAsia="仿宋" w:cs="仿宋"/>
          <w:kern w:val="0"/>
          <w:sz w:val="24"/>
          <w:szCs w:val="24"/>
          <w:lang w:val="zh-CN"/>
        </w:rPr>
        <w:t>双方员工按照商业惯例收取对方的礼品、纪念品，必须统一上交各自所在公司，由公司负责处理。双方互有义务将此事通知对方。</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lang w:val="zh-CN"/>
        </w:rPr>
        <w:t>在合作过程中，如出现</w:t>
      </w:r>
      <w:r>
        <w:rPr>
          <w:rFonts w:hint="eastAsia" w:ascii="仿宋" w:hAnsi="仿宋" w:eastAsia="仿宋" w:cs="仿宋"/>
          <w:kern w:val="0"/>
          <w:sz w:val="24"/>
          <w:szCs w:val="24"/>
          <w:lang w:val="en-US" w:eastAsia="zh-CN"/>
        </w:rPr>
        <w:t>甲方</w:t>
      </w:r>
      <w:r>
        <w:rPr>
          <w:rFonts w:hint="eastAsia" w:ascii="仿宋" w:hAnsi="仿宋" w:eastAsia="仿宋" w:cs="仿宋"/>
          <w:kern w:val="0"/>
          <w:sz w:val="24"/>
          <w:szCs w:val="24"/>
          <w:lang w:val="zh-CN"/>
        </w:rPr>
        <w:t>员工索贿、接受贿赂的现象，</w:t>
      </w:r>
      <w:r>
        <w:rPr>
          <w:rFonts w:hint="eastAsia" w:ascii="仿宋" w:hAnsi="仿宋" w:eastAsia="仿宋" w:cs="仿宋"/>
          <w:kern w:val="0"/>
          <w:sz w:val="24"/>
          <w:szCs w:val="24"/>
          <w:lang w:val="en-US" w:eastAsia="zh-CN"/>
        </w:rPr>
        <w:t>乙</w:t>
      </w:r>
      <w:r>
        <w:rPr>
          <w:rFonts w:hint="eastAsia" w:ascii="仿宋" w:hAnsi="仿宋" w:eastAsia="仿宋" w:cs="仿宋"/>
          <w:kern w:val="0"/>
          <w:sz w:val="24"/>
          <w:szCs w:val="24"/>
          <w:lang w:val="zh-CN"/>
        </w:rPr>
        <w:t>方应及时向</w:t>
      </w:r>
      <w:r>
        <w:rPr>
          <w:rFonts w:hint="eastAsia" w:ascii="仿宋" w:hAnsi="仿宋" w:eastAsia="仿宋" w:cs="仿宋"/>
          <w:kern w:val="0"/>
          <w:sz w:val="24"/>
          <w:szCs w:val="24"/>
          <w:lang w:val="en-US" w:eastAsia="zh-CN"/>
        </w:rPr>
        <w:t>甲</w:t>
      </w:r>
      <w:r>
        <w:rPr>
          <w:rFonts w:hint="eastAsia" w:ascii="仿宋" w:hAnsi="仿宋" w:eastAsia="仿宋" w:cs="仿宋"/>
          <w:kern w:val="0"/>
          <w:sz w:val="24"/>
          <w:szCs w:val="24"/>
          <w:lang w:val="zh-CN"/>
        </w:rPr>
        <w:t>方进行举报。</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szCs w:val="24"/>
          <w:lang w:val="zh-CN"/>
        </w:rPr>
      </w:pPr>
      <w:r>
        <w:rPr>
          <w:rFonts w:hint="eastAsia" w:ascii="仿宋" w:hAnsi="仿宋" w:eastAsia="仿宋" w:cs="仿宋"/>
          <w:kern w:val="0"/>
          <w:sz w:val="24"/>
          <w:szCs w:val="24"/>
          <w:lang w:val="en-US" w:eastAsia="zh-CN"/>
        </w:rPr>
        <w:t>4、甲乙</w:t>
      </w:r>
      <w:r>
        <w:rPr>
          <w:rFonts w:hint="eastAsia" w:ascii="仿宋" w:hAnsi="仿宋" w:eastAsia="仿宋" w:cs="仿宋"/>
          <w:kern w:val="0"/>
          <w:sz w:val="24"/>
          <w:szCs w:val="24"/>
          <w:lang w:val="zh-CN"/>
        </w:rPr>
        <w:t>双方承诺愿意配合对其员工索取、接受贿赂的行为进行调查。</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lang w:val="zh-CN"/>
        </w:rPr>
        <w:t>如</w:t>
      </w:r>
      <w:r>
        <w:rPr>
          <w:rFonts w:hint="eastAsia" w:ascii="仿宋" w:hAnsi="仿宋" w:eastAsia="仿宋" w:cs="仿宋"/>
          <w:kern w:val="0"/>
          <w:sz w:val="24"/>
          <w:szCs w:val="24"/>
          <w:lang w:val="en-US" w:eastAsia="zh-CN"/>
        </w:rPr>
        <w:t>甲乙</w:t>
      </w:r>
      <w:r>
        <w:rPr>
          <w:rFonts w:hint="eastAsia" w:ascii="仿宋" w:hAnsi="仿宋" w:eastAsia="仿宋" w:cs="仿宋"/>
          <w:kern w:val="0"/>
          <w:sz w:val="24"/>
          <w:szCs w:val="24"/>
          <w:lang w:val="zh-CN"/>
        </w:rPr>
        <w:t>双方为谋取商业利益给对方员工贿赂或者不拒绝对方员工索取贿赂的，违</w:t>
      </w:r>
      <w:r>
        <w:rPr>
          <w:rFonts w:hint="eastAsia" w:ascii="仿宋" w:hAnsi="仿宋" w:eastAsia="仿宋" w:cs="仿宋"/>
          <w:kern w:val="0"/>
          <w:sz w:val="24"/>
          <w:lang w:val="zh-CN"/>
        </w:rPr>
        <w:t>约方承担相关法律责任。</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6、</w:t>
      </w:r>
      <w:r>
        <w:rPr>
          <w:rFonts w:hint="eastAsia" w:ascii="仿宋" w:hAnsi="仿宋" w:eastAsia="仿宋" w:cs="仿宋"/>
          <w:kern w:val="0"/>
          <w:sz w:val="24"/>
          <w:lang w:val="zh-CN"/>
        </w:rPr>
        <w:t>如</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双方违反本条约定，任何一方有权单方解除合同或协议，并不承担任何违约责任及赔偿责任，但提出解除合同方应向对方出具司法机关出具的证据。</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en-US" w:eastAsia="zh-CN"/>
        </w:rPr>
        <w:t>7、甲乙</w:t>
      </w:r>
      <w:r>
        <w:rPr>
          <w:rFonts w:hint="eastAsia" w:ascii="仿宋" w:hAnsi="仿宋" w:eastAsia="仿宋" w:cs="仿宋"/>
          <w:kern w:val="0"/>
          <w:sz w:val="24"/>
          <w:lang w:val="zh-CN"/>
        </w:rPr>
        <w:t>双方积极全面履行协议，并能向对方举报其员工索取、收受贿赂事实的，</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双方将优先与其发展合作关系，给予在同等条件下优先采购及优惠条件；如果举报与事实不符，</w:t>
      </w:r>
      <w:r>
        <w:rPr>
          <w:rFonts w:hint="eastAsia" w:ascii="仿宋" w:hAnsi="仿宋" w:eastAsia="仿宋" w:cs="仿宋"/>
          <w:kern w:val="0"/>
          <w:sz w:val="24"/>
          <w:lang w:val="en-US" w:eastAsia="zh-CN"/>
        </w:rPr>
        <w:t>甲乙</w:t>
      </w:r>
      <w:r>
        <w:rPr>
          <w:rFonts w:hint="eastAsia" w:ascii="仿宋" w:hAnsi="仿宋" w:eastAsia="仿宋" w:cs="仿宋"/>
          <w:kern w:val="0"/>
          <w:sz w:val="24"/>
          <w:lang w:val="zh-CN"/>
        </w:rPr>
        <w:t>双方有权终止与其商业合作关系，并承担法律责任。</w:t>
      </w:r>
    </w:p>
    <w:p>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lang w:val="en-US" w:eastAsia="zh-CN"/>
        </w:rPr>
        <w:t>8、甲乙</w:t>
      </w:r>
      <w:r>
        <w:rPr>
          <w:rFonts w:hint="eastAsia" w:ascii="仿宋" w:hAnsi="仿宋" w:eastAsia="仿宋" w:cs="仿宋"/>
          <w:kern w:val="0"/>
          <w:sz w:val="24"/>
          <w:lang w:val="zh-CN"/>
        </w:rPr>
        <w:t>双方均有义务约束本方员工不得以抬高对方采购商品的报价达到退给对方经办员工个人一定比例的商品价款的行为发生；双方更不得以账外方式暗中以现金、实物或者其他方式退给对方员工个人一定比例的商品价款。</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十五、本合同的任何变更，均应以书面形式提出，并由双方授权人等协商一致后书面达成协议方有效。</w:t>
      </w:r>
    </w:p>
    <w:p>
      <w:pPr>
        <w:keepNext w:val="0"/>
        <w:keepLines w:val="0"/>
        <w:pageBreakBefore w:val="0"/>
        <w:kinsoku/>
        <w:wordWrap/>
        <w:overflowPunct/>
        <w:topLinePunct w:val="0"/>
        <w:autoSpaceDE w:val="0"/>
        <w:autoSpaceDN w:val="0"/>
        <w:bidi w:val="0"/>
        <w:adjustRightInd w:val="0"/>
        <w:spacing w:line="300" w:lineRule="auto"/>
        <w:ind w:firstLine="480"/>
        <w:rPr>
          <w:rFonts w:hint="eastAsia" w:ascii="仿宋" w:hAnsi="仿宋" w:eastAsia="仿宋" w:cs="仿宋"/>
          <w:kern w:val="0"/>
          <w:sz w:val="24"/>
          <w:lang w:val="zh-CN"/>
        </w:rPr>
      </w:pPr>
      <w:r>
        <w:rPr>
          <w:rFonts w:hint="eastAsia" w:ascii="仿宋" w:hAnsi="仿宋" w:eastAsia="仿宋" w:cs="仿宋"/>
          <w:kern w:val="0"/>
          <w:sz w:val="24"/>
          <w:lang w:val="zh-CN"/>
        </w:rPr>
        <w:t>十六、甲乙双方应对在本合同谈判期间、履行期间从另一方获得或收到的价格、资料、信息及其他商业秘密进行保密，未经对方书面事先同意不得向任何第三方以任何方式披露。</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1" w:name="_Toc15421"/>
      <w:bookmarkStart w:id="162" w:name="_Toc9618"/>
      <w:bookmarkStart w:id="163" w:name="_Toc30433"/>
      <w:bookmarkStart w:id="164" w:name="_Toc6500"/>
      <w:bookmarkStart w:id="165" w:name="_Toc12487"/>
      <w:r>
        <w:rPr>
          <w:rFonts w:hint="eastAsia" w:ascii="仿宋" w:hAnsi="仿宋" w:eastAsia="仿宋" w:cs="仿宋"/>
          <w:kern w:val="0"/>
          <w:sz w:val="24"/>
          <w:lang w:val="en-US" w:eastAsia="zh-CN"/>
        </w:rPr>
        <w:t>十七、</w:t>
      </w:r>
      <w:r>
        <w:rPr>
          <w:rFonts w:hint="eastAsia" w:ascii="仿宋" w:hAnsi="仿宋" w:eastAsia="仿宋" w:cs="仿宋"/>
          <w:kern w:val="0"/>
          <w:sz w:val="24"/>
        </w:rPr>
        <w:t>本合同适用中华人民共和国法律，并据其进行解释。</w:t>
      </w:r>
      <w:bookmarkEnd w:id="161"/>
      <w:bookmarkEnd w:id="162"/>
      <w:bookmarkEnd w:id="163"/>
      <w:bookmarkEnd w:id="164"/>
      <w:bookmarkEnd w:id="165"/>
    </w:p>
    <w:p>
      <w:pPr>
        <w:keepNext w:val="0"/>
        <w:keepLines w:val="0"/>
        <w:pageBreakBefore w:val="0"/>
        <w:kinsoku/>
        <w:wordWrap/>
        <w:overflowPunct/>
        <w:topLinePunct w:val="0"/>
        <w:autoSpaceDE w:val="0"/>
        <w:autoSpaceDN w:val="0"/>
        <w:bidi w:val="0"/>
        <w:adjustRightInd w:val="0"/>
        <w:spacing w:line="300" w:lineRule="auto"/>
        <w:ind w:firstLine="480"/>
        <w:rPr>
          <w:rFonts w:hint="eastAsia" w:eastAsia="仿宋"/>
          <w:lang w:val="en-US" w:eastAsia="zh-CN"/>
        </w:rPr>
      </w:pPr>
      <w:r>
        <w:rPr>
          <w:rFonts w:hint="eastAsia" w:ascii="仿宋" w:hAnsi="仿宋" w:eastAsia="仿宋" w:cs="仿宋"/>
          <w:kern w:val="0"/>
          <w:sz w:val="24"/>
        </w:rPr>
        <w:t>合同履行过程中，若发生争议，双方应协商解决；如协商不成均由</w:t>
      </w:r>
      <w:r>
        <w:rPr>
          <w:rFonts w:hint="eastAsia" w:ascii="仿宋" w:hAnsi="仿宋" w:eastAsia="仿宋" w:cs="仿宋"/>
          <w:kern w:val="0"/>
          <w:sz w:val="24"/>
          <w:lang w:val="en-US" w:eastAsia="zh-CN"/>
        </w:rPr>
        <w:t>三明市沙县区</w:t>
      </w:r>
      <w:r>
        <w:rPr>
          <w:rFonts w:hint="eastAsia" w:ascii="仿宋" w:hAnsi="仿宋" w:eastAsia="仿宋" w:cs="仿宋"/>
          <w:kern w:val="0"/>
          <w:sz w:val="24"/>
        </w:rPr>
        <w:t>人民法院</w:t>
      </w:r>
      <w:r>
        <w:rPr>
          <w:rFonts w:hint="eastAsia" w:ascii="仿宋" w:hAnsi="仿宋" w:eastAsia="仿宋" w:cs="仿宋"/>
          <w:kern w:val="0"/>
          <w:sz w:val="24"/>
          <w:lang w:val="en-US" w:eastAsia="zh-CN"/>
        </w:rPr>
        <w:t>管辖</w:t>
      </w:r>
      <w:r>
        <w:rPr>
          <w:rFonts w:hint="eastAsia" w:ascii="仿宋" w:hAnsi="仿宋" w:eastAsia="仿宋" w:cs="仿宋"/>
          <w:kern w:val="0"/>
          <w:sz w:val="24"/>
        </w:rPr>
        <w:t>。</w:t>
      </w:r>
    </w:p>
    <w:p>
      <w:pPr>
        <w:keepNext w:val="0"/>
        <w:keepLines w:val="0"/>
        <w:pageBreakBefore w:val="0"/>
        <w:kinsoku/>
        <w:wordWrap/>
        <w:overflowPunct/>
        <w:topLinePunct w:val="0"/>
        <w:autoSpaceDE w:val="0"/>
        <w:autoSpaceDN w:val="0"/>
        <w:bidi w:val="0"/>
        <w:adjustRightInd w:val="0"/>
        <w:spacing w:line="300" w:lineRule="auto"/>
        <w:ind w:firstLine="480"/>
        <w:outlineLvl w:val="0"/>
        <w:rPr>
          <w:rFonts w:hint="eastAsia" w:ascii="仿宋" w:hAnsi="仿宋" w:eastAsia="仿宋" w:cs="仿宋"/>
          <w:kern w:val="0"/>
          <w:sz w:val="24"/>
        </w:rPr>
      </w:pPr>
      <w:bookmarkStart w:id="166" w:name="_Toc12952"/>
      <w:bookmarkStart w:id="167" w:name="_Toc30202"/>
      <w:bookmarkStart w:id="168" w:name="_Toc31672"/>
      <w:bookmarkStart w:id="169" w:name="_Toc6113"/>
      <w:bookmarkStart w:id="170" w:name="_Toc1878"/>
      <w:r>
        <w:rPr>
          <w:rFonts w:hint="eastAsia" w:ascii="仿宋" w:hAnsi="仿宋" w:eastAsia="仿宋" w:cs="仿宋"/>
          <w:kern w:val="0"/>
          <w:sz w:val="24"/>
          <w:lang w:val="zh-CN"/>
        </w:rPr>
        <w:t>十八、</w:t>
      </w:r>
      <w:r>
        <w:rPr>
          <w:rFonts w:hint="eastAsia" w:ascii="仿宋" w:hAnsi="仿宋" w:eastAsia="仿宋" w:cs="仿宋"/>
          <w:kern w:val="0"/>
          <w:sz w:val="24"/>
        </w:rPr>
        <w:t>其他</w:t>
      </w:r>
      <w:bookmarkEnd w:id="166"/>
      <w:bookmarkEnd w:id="167"/>
      <w:bookmarkEnd w:id="168"/>
      <w:bookmarkEnd w:id="169"/>
      <w:bookmarkEnd w:id="170"/>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1、</w:t>
      </w:r>
      <w:r>
        <w:rPr>
          <w:rFonts w:hint="eastAsia" w:ascii="仿宋" w:hAnsi="仿宋" w:eastAsia="仿宋" w:cs="仿宋"/>
          <w:kern w:val="0"/>
          <w:sz w:val="24"/>
        </w:rPr>
        <w:t>合同附件为本合同不可分割的一部分，与本合同具有同等的法律效力，补充协议与本协议有冲突的，以补充协议为准。</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2、</w:t>
      </w:r>
      <w:r>
        <w:rPr>
          <w:rFonts w:hint="eastAsia" w:ascii="仿宋" w:hAnsi="仿宋" w:eastAsia="仿宋" w:cs="仿宋"/>
          <w:kern w:val="0"/>
          <w:sz w:val="24"/>
        </w:rPr>
        <w:t>本合同一经生效，非经</w:t>
      </w:r>
      <w:r>
        <w:rPr>
          <w:rFonts w:hint="eastAsia" w:ascii="仿宋" w:hAnsi="仿宋" w:eastAsia="仿宋" w:cs="仿宋"/>
          <w:kern w:val="0"/>
          <w:sz w:val="24"/>
          <w:lang w:val="en-US" w:eastAsia="zh-CN"/>
        </w:rPr>
        <w:t>甲乙</w:t>
      </w:r>
      <w:r>
        <w:rPr>
          <w:rFonts w:hint="eastAsia" w:ascii="仿宋" w:hAnsi="仿宋" w:eastAsia="仿宋" w:cs="仿宋"/>
          <w:kern w:val="0"/>
          <w:sz w:val="24"/>
        </w:rPr>
        <w:t>双方签署书面补充协议同意，任何一方以其他方式对合同条款的增减及其他变更均无约束力。</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3、</w:t>
      </w:r>
      <w:r>
        <w:rPr>
          <w:rFonts w:hint="eastAsia" w:ascii="仿宋" w:hAnsi="仿宋" w:eastAsia="仿宋" w:cs="仿宋"/>
          <w:kern w:val="0"/>
          <w:sz w:val="24"/>
        </w:rPr>
        <w:t>本合同的内容及其有关的附件是</w:t>
      </w:r>
      <w:r>
        <w:rPr>
          <w:rFonts w:hint="eastAsia" w:ascii="仿宋" w:hAnsi="仿宋" w:eastAsia="仿宋" w:cs="仿宋"/>
          <w:kern w:val="0"/>
          <w:sz w:val="24"/>
          <w:lang w:val="en-US" w:eastAsia="zh-CN"/>
        </w:rPr>
        <w:t>甲乙</w:t>
      </w:r>
      <w:r>
        <w:rPr>
          <w:rFonts w:hint="eastAsia" w:ascii="仿宋" w:hAnsi="仿宋" w:eastAsia="仿宋" w:cs="仿宋"/>
          <w:kern w:val="0"/>
          <w:sz w:val="24"/>
        </w:rPr>
        <w:t>双方关于此次合作所最终确定的全部内容，双方均承认其已审阅、理解本合同及相关附件的内容，并同意取代</w:t>
      </w:r>
      <w:r>
        <w:rPr>
          <w:rFonts w:hint="eastAsia" w:ascii="仿宋" w:hAnsi="仿宋" w:eastAsia="仿宋" w:cs="仿宋"/>
          <w:kern w:val="0"/>
          <w:sz w:val="24"/>
          <w:lang w:val="en-US" w:eastAsia="zh-CN"/>
        </w:rPr>
        <w:t>甲乙</w:t>
      </w:r>
      <w:r>
        <w:rPr>
          <w:rFonts w:hint="eastAsia" w:ascii="仿宋" w:hAnsi="仿宋" w:eastAsia="仿宋" w:cs="仿宋"/>
          <w:kern w:val="0"/>
          <w:sz w:val="24"/>
        </w:rPr>
        <w:t>双方之间此前关于此次合作所做出的任何口头或书面的承诺。</w:t>
      </w:r>
    </w:p>
    <w:p>
      <w:pPr>
        <w:keepNext w:val="0"/>
        <w:keepLines w:val="0"/>
        <w:pageBreakBefore w:val="0"/>
        <w:kinsoku/>
        <w:wordWrap/>
        <w:overflowPunct/>
        <w:topLinePunct w:val="0"/>
        <w:autoSpaceDE w:val="0"/>
        <w:autoSpaceDN w:val="0"/>
        <w:bidi w:val="0"/>
        <w:adjustRightIn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4、</w:t>
      </w:r>
      <w:r>
        <w:rPr>
          <w:rFonts w:hint="eastAsia" w:ascii="仿宋" w:hAnsi="仿宋" w:eastAsia="仿宋" w:cs="仿宋"/>
          <w:kern w:val="0"/>
          <w:sz w:val="24"/>
        </w:rPr>
        <w:t>本合同自双方加盖公章或合同专用章后生效，</w:t>
      </w:r>
      <w:r>
        <w:rPr>
          <w:rFonts w:hint="eastAsia" w:ascii="仿宋" w:hAnsi="仿宋" w:eastAsia="仿宋" w:cs="仿宋"/>
          <w:kern w:val="0"/>
          <w:sz w:val="24"/>
          <w:lang w:val="en-US" w:eastAsia="zh-CN"/>
        </w:rPr>
        <w:t>合同有效期为三年，</w:t>
      </w:r>
      <w:r>
        <w:rPr>
          <w:rFonts w:hint="eastAsia" w:ascii="仿宋" w:hAnsi="仿宋" w:eastAsia="仿宋" w:cs="仿宋"/>
          <w:kern w:val="0"/>
          <w:sz w:val="24"/>
        </w:rPr>
        <w:t>合同约定所有义务履行完毕后</w:t>
      </w:r>
      <w:r>
        <w:rPr>
          <w:rFonts w:hint="eastAsia" w:ascii="仿宋" w:hAnsi="仿宋" w:eastAsia="仿宋" w:cs="仿宋"/>
          <w:kern w:val="0"/>
          <w:sz w:val="24"/>
          <w:lang w:val="en-US" w:eastAsia="zh-CN"/>
        </w:rPr>
        <w:t>或者合同有效期到期</w:t>
      </w:r>
      <w:r>
        <w:rPr>
          <w:rFonts w:hint="eastAsia" w:ascii="仿宋" w:hAnsi="仿宋" w:eastAsia="仿宋" w:cs="仿宋"/>
          <w:kern w:val="0"/>
          <w:sz w:val="24"/>
        </w:rPr>
        <w:t>自行终止。合同的终止并不影响保密义务的继续履行。</w:t>
      </w:r>
    </w:p>
    <w:p>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rPr>
      </w:pPr>
      <w:r>
        <w:rPr>
          <w:rFonts w:hint="eastAsia" w:ascii="仿宋" w:hAnsi="仿宋" w:eastAsia="仿宋" w:cs="仿宋"/>
          <w:kern w:val="0"/>
          <w:sz w:val="24"/>
          <w:lang w:val="en-US" w:eastAsia="zh-CN"/>
        </w:rPr>
        <w:t>5、</w:t>
      </w:r>
      <w:r>
        <w:rPr>
          <w:rFonts w:hint="eastAsia" w:ascii="仿宋" w:hAnsi="仿宋" w:eastAsia="仿宋" w:cs="仿宋"/>
          <w:kern w:val="0"/>
          <w:sz w:val="24"/>
        </w:rPr>
        <w:t>本合同及附件一式</w:t>
      </w:r>
      <w:r>
        <w:rPr>
          <w:rFonts w:hint="eastAsia" w:ascii="仿宋" w:hAnsi="仿宋" w:eastAsia="仿宋" w:cs="仿宋"/>
          <w:kern w:val="0"/>
          <w:sz w:val="24"/>
          <w:lang w:val="en-US" w:eastAsia="zh-CN"/>
        </w:rPr>
        <w:t>肆</w:t>
      </w:r>
      <w:r>
        <w:rPr>
          <w:rFonts w:hint="eastAsia" w:ascii="仿宋" w:hAnsi="仿宋" w:eastAsia="仿宋" w:cs="仿宋"/>
          <w:kern w:val="0"/>
          <w:sz w:val="24"/>
        </w:rPr>
        <w:t>份，</w:t>
      </w:r>
      <w:r>
        <w:rPr>
          <w:rFonts w:hint="eastAsia" w:ascii="仿宋" w:hAnsi="仿宋" w:eastAsia="仿宋" w:cs="仿宋"/>
          <w:kern w:val="0"/>
          <w:sz w:val="24"/>
          <w:lang w:val="en-US" w:eastAsia="zh-CN"/>
        </w:rPr>
        <w:t>甲</w:t>
      </w:r>
      <w:r>
        <w:rPr>
          <w:rFonts w:hint="eastAsia" w:ascii="仿宋" w:hAnsi="仿宋" w:eastAsia="仿宋" w:cs="仿宋"/>
          <w:kern w:val="0"/>
          <w:sz w:val="24"/>
        </w:rPr>
        <w:t>方</w:t>
      </w:r>
      <w:r>
        <w:rPr>
          <w:rFonts w:hint="eastAsia" w:ascii="仿宋" w:hAnsi="仿宋" w:eastAsia="仿宋" w:cs="仿宋"/>
          <w:kern w:val="0"/>
          <w:sz w:val="24"/>
          <w:lang w:val="en-US" w:eastAsia="zh-CN"/>
        </w:rPr>
        <w:t>叁</w:t>
      </w:r>
      <w:r>
        <w:rPr>
          <w:rFonts w:hint="eastAsia" w:ascii="仿宋" w:hAnsi="仿宋" w:eastAsia="仿宋" w:cs="仿宋"/>
          <w:kern w:val="0"/>
          <w:sz w:val="24"/>
        </w:rPr>
        <w:t>份，</w:t>
      </w:r>
      <w:r>
        <w:rPr>
          <w:rFonts w:hint="eastAsia" w:ascii="仿宋" w:hAnsi="仿宋" w:eastAsia="仿宋" w:cs="仿宋"/>
          <w:kern w:val="0"/>
          <w:sz w:val="24"/>
          <w:lang w:val="en-US" w:eastAsia="zh-CN"/>
        </w:rPr>
        <w:t>乙方壹</w:t>
      </w:r>
      <w:r>
        <w:rPr>
          <w:rFonts w:hint="eastAsia" w:ascii="仿宋" w:hAnsi="仿宋" w:eastAsia="仿宋" w:cs="仿宋"/>
          <w:kern w:val="0"/>
          <w:sz w:val="24"/>
        </w:rPr>
        <w:t>份，每份具有同等的法律效力。</w:t>
      </w:r>
    </w:p>
    <w:p>
      <w:pPr>
        <w:keepNext w:val="0"/>
        <w:keepLines w:val="0"/>
        <w:pageBreakBefore w:val="0"/>
        <w:shd w:val="clear" w:color="auto" w:fill="FFFFFF"/>
        <w:kinsoku/>
        <w:wordWrap/>
        <w:overflowPunct/>
        <w:topLinePunct w:val="0"/>
        <w:autoSpaceDE w:val="0"/>
        <w:autoSpaceDN w:val="0"/>
        <w:bidi w:val="0"/>
        <w:adjustRightInd w:val="0"/>
        <w:snapToGrid w:val="0"/>
        <w:spacing w:line="300" w:lineRule="auto"/>
        <w:ind w:firstLine="480" w:firstLineChars="200"/>
        <w:rPr>
          <w:rFonts w:hint="eastAsia" w:ascii="仿宋" w:hAnsi="仿宋" w:eastAsia="仿宋" w:cs="仿宋"/>
          <w:kern w:val="0"/>
          <w:sz w:val="24"/>
          <w:lang w:val="zh-CN"/>
        </w:rPr>
      </w:pPr>
      <w:r>
        <w:rPr>
          <w:rFonts w:hint="eastAsia" w:ascii="仿宋" w:hAnsi="仿宋" w:eastAsia="仿宋" w:cs="仿宋"/>
          <w:kern w:val="0"/>
          <w:sz w:val="24"/>
          <w:lang w:val="zh-CN"/>
        </w:rPr>
        <w:t>（以下无正文）</w:t>
      </w:r>
    </w:p>
    <w:p>
      <w:pPr>
        <w:pStyle w:val="2"/>
        <w:keepNext w:val="0"/>
        <w:keepLines w:val="0"/>
        <w:pageBreakBefore w:val="0"/>
        <w:wordWrap/>
        <w:overflowPunct/>
        <w:topLinePunct w:val="0"/>
        <w:autoSpaceDE w:val="0"/>
        <w:autoSpaceDN w:val="0"/>
        <w:bidi w:val="0"/>
        <w:adjustRightInd w:val="0"/>
        <w:spacing w:line="300" w:lineRule="auto"/>
        <w:ind w:firstLine="480"/>
        <w:rPr>
          <w:rFonts w:hint="eastAsia"/>
          <w:lang w:val="zh-CN"/>
        </w:rPr>
      </w:pPr>
    </w:p>
    <w:tbl>
      <w:tblPr>
        <w:tblStyle w:val="16"/>
        <w:tblW w:w="99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1"/>
        <w:gridCol w:w="51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5" w:hRule="atLeast"/>
          <w:jc w:val="center"/>
        </w:trPr>
        <w:tc>
          <w:tcPr>
            <w:tcW w:w="4801"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甲  方</w:t>
            </w:r>
          </w:p>
          <w:p>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名称（公章）：中国机械总院集团海西（福建）分院有限公司</w:t>
            </w:r>
            <w:r>
              <w:rPr>
                <w:rFonts w:hint="eastAsia" w:ascii="仿宋" w:hAnsi="仿宋" w:eastAsia="仿宋" w:cs="华文仿宋"/>
                <w:sz w:val="24"/>
              </w:rPr>
              <w:t xml:space="preserve"> </w:t>
            </w:r>
          </w:p>
          <w:p>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 xml:space="preserve">地址：福建省三明市沙县区金沙园开发区创新东路413号 </w:t>
            </w:r>
          </w:p>
          <w:p>
            <w:pPr>
              <w:keepNext w:val="0"/>
              <w:keepLines w:val="0"/>
              <w:pageBreakBefore w:val="0"/>
              <w:tabs>
                <w:tab w:val="left" w:pos="180"/>
              </w:tabs>
              <w:wordWrap/>
              <w:overflowPunct/>
              <w:topLinePunct w:val="0"/>
              <w:autoSpaceDE w:val="0"/>
              <w:autoSpaceDN w:val="0"/>
              <w:bidi w:val="0"/>
              <w:adjustRightInd w:val="0"/>
              <w:spacing w:line="300" w:lineRule="auto"/>
              <w:rPr>
                <w:rFonts w:ascii="仿宋" w:hAnsi="仿宋" w:eastAsia="仿宋" w:cs="仿宋"/>
                <w:sz w:val="24"/>
              </w:rPr>
            </w:pPr>
            <w:r>
              <w:rPr>
                <w:rFonts w:hint="eastAsia" w:ascii="仿宋" w:hAnsi="仿宋" w:eastAsia="仿宋" w:cs="仿宋"/>
                <w:sz w:val="24"/>
              </w:rPr>
              <w:t xml:space="preserve">法定代表人：薛松海 </w:t>
            </w:r>
          </w:p>
          <w:p>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电话：0598-8863008 </w:t>
            </w:r>
            <w:r>
              <w:rPr>
                <w:rFonts w:ascii="仿宋" w:hAnsi="仿宋" w:eastAsia="仿宋" w:cs="仿宋"/>
                <w:sz w:val="24"/>
              </w:rPr>
              <w:t xml:space="preserve"> </w:t>
            </w:r>
          </w:p>
          <w:p>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 xml:space="preserve">开户银行：中国农业银行沙县支行 </w:t>
            </w:r>
          </w:p>
          <w:p>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lang w:eastAsia="zh-CN"/>
              </w:rPr>
              <w:t>银行账号</w:t>
            </w:r>
            <w:r>
              <w:rPr>
                <w:rFonts w:hint="eastAsia" w:ascii="仿宋" w:hAnsi="仿宋" w:eastAsia="仿宋" w:cs="仿宋"/>
                <w:sz w:val="24"/>
              </w:rPr>
              <w:t xml:space="preserve">：13840101040017600 </w:t>
            </w:r>
            <w:r>
              <w:rPr>
                <w:rFonts w:ascii="仿宋" w:hAnsi="仿宋" w:eastAsia="仿宋" w:cs="仿宋"/>
                <w:sz w:val="24"/>
              </w:rPr>
              <w:t xml:space="preserve"> </w:t>
            </w:r>
          </w:p>
          <w:p>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税号：913504270603757361</w:t>
            </w:r>
            <w:r>
              <w:rPr>
                <w:rFonts w:ascii="仿宋" w:hAnsi="仿宋" w:eastAsia="仿宋" w:cs="仿宋"/>
              </w:rPr>
              <w:t xml:space="preserve"> </w:t>
            </w:r>
          </w:p>
        </w:tc>
        <w:tc>
          <w:tcPr>
            <w:tcW w:w="5156" w:type="dxa"/>
            <w:tcBorders>
              <w:top w:val="single" w:color="auto" w:sz="4" w:space="0"/>
              <w:left w:val="single" w:color="auto" w:sz="4" w:space="0"/>
              <w:bottom w:val="single" w:color="auto" w:sz="4" w:space="0"/>
              <w:right w:val="single" w:color="auto" w:sz="4" w:space="0"/>
            </w:tcBorders>
            <w:noWrap w:val="0"/>
            <w:vAlign w:val="top"/>
          </w:tcPr>
          <w:p>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乙  方</w:t>
            </w:r>
          </w:p>
          <w:p>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仿宋"/>
                <w:sz w:val="24"/>
              </w:rPr>
            </w:pPr>
            <w:r>
              <w:rPr>
                <w:rFonts w:hint="eastAsia" w:ascii="仿宋" w:hAnsi="仿宋" w:eastAsia="仿宋" w:cs="仿宋"/>
                <w:sz w:val="24"/>
              </w:rPr>
              <w:t>名称（公章）：</w:t>
            </w:r>
          </w:p>
          <w:p>
            <w:pPr>
              <w:keepNext w:val="0"/>
              <w:keepLines w:val="0"/>
              <w:pageBreakBefore w:val="0"/>
              <w:wordWrap/>
              <w:overflowPunct/>
              <w:topLinePunct w:val="0"/>
              <w:autoSpaceDE w:val="0"/>
              <w:autoSpaceDN w:val="0"/>
              <w:bidi w:val="0"/>
              <w:adjustRightInd w:val="0"/>
              <w:spacing w:line="300" w:lineRule="auto"/>
              <w:ind w:left="600" w:hanging="600" w:hangingChars="250"/>
              <w:rPr>
                <w:rFonts w:hint="eastAsia" w:ascii="仿宋" w:hAnsi="仿宋" w:eastAsia="仿宋" w:cs="华文仿宋"/>
                <w:sz w:val="24"/>
              </w:rPr>
            </w:pPr>
            <w:r>
              <w:rPr>
                <w:rFonts w:hint="eastAsia" w:ascii="仿宋" w:hAnsi="仿宋" w:eastAsia="仿宋" w:cs="华文仿宋"/>
                <w:sz w:val="24"/>
              </w:rPr>
              <w:t xml:space="preserve">地址： </w:t>
            </w:r>
          </w:p>
          <w:p>
            <w:pPr>
              <w:keepNext w:val="0"/>
              <w:keepLines w:val="0"/>
              <w:pageBreakBefore w:val="0"/>
              <w:tabs>
                <w:tab w:val="left" w:pos="180"/>
              </w:tabs>
              <w:wordWrap/>
              <w:overflowPunct/>
              <w:topLinePunct w:val="0"/>
              <w:autoSpaceDE w:val="0"/>
              <w:autoSpaceDN w:val="0"/>
              <w:bidi w:val="0"/>
              <w:adjustRightInd w:val="0"/>
              <w:spacing w:line="300" w:lineRule="auto"/>
              <w:rPr>
                <w:rFonts w:hint="eastAsia" w:ascii="仿宋" w:hAnsi="仿宋" w:eastAsia="仿宋" w:cs="仿宋"/>
                <w:sz w:val="24"/>
                <w:lang w:val="en-US" w:eastAsia="zh-CN"/>
              </w:rPr>
            </w:pPr>
            <w:r>
              <w:rPr>
                <w:rFonts w:hint="eastAsia" w:ascii="仿宋" w:hAnsi="仿宋" w:eastAsia="仿宋" w:cs="仿宋"/>
                <w:sz w:val="24"/>
              </w:rPr>
              <w:t>法定代表人：</w:t>
            </w:r>
          </w:p>
          <w:p>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委托代理人：</w:t>
            </w:r>
          </w:p>
          <w:p>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电话：</w:t>
            </w:r>
          </w:p>
          <w:p>
            <w:pPr>
              <w:pStyle w:val="3"/>
              <w:keepNext w:val="0"/>
              <w:keepLines w:val="0"/>
              <w:pageBreakBefore w:val="0"/>
              <w:tabs>
                <w:tab w:val="left" w:pos="180"/>
              </w:tabs>
              <w:wordWrap/>
              <w:overflowPunct/>
              <w:topLinePunct w:val="0"/>
              <w:autoSpaceDE w:val="0"/>
              <w:autoSpaceDN w:val="0"/>
              <w:bidi w:val="0"/>
              <w:adjustRightInd w:val="0"/>
              <w:spacing w:line="300" w:lineRule="auto"/>
              <w:ind w:firstLine="0" w:firstLineChars="0"/>
              <w:rPr>
                <w:rFonts w:hint="eastAsia" w:ascii="仿宋" w:hAnsi="仿宋" w:eastAsia="仿宋" w:cs="仿宋"/>
              </w:rPr>
            </w:pPr>
            <w:r>
              <w:rPr>
                <w:rFonts w:hint="eastAsia" w:ascii="仿宋" w:hAnsi="仿宋" w:eastAsia="仿宋" w:cs="仿宋"/>
              </w:rPr>
              <w:t>传真：</w:t>
            </w:r>
          </w:p>
          <w:p>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开户银行：</w:t>
            </w:r>
          </w:p>
          <w:p>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银行</w:t>
            </w:r>
            <w:r>
              <w:rPr>
                <w:rFonts w:hint="eastAsia" w:ascii="仿宋" w:hAnsi="仿宋" w:eastAsia="仿宋" w:cs="仿宋"/>
                <w:sz w:val="24"/>
                <w:lang w:eastAsia="zh-CN"/>
              </w:rPr>
              <w:t>账号</w:t>
            </w:r>
            <w:r>
              <w:rPr>
                <w:rFonts w:hint="eastAsia" w:ascii="仿宋" w:hAnsi="仿宋" w:eastAsia="仿宋" w:cs="仿宋"/>
                <w:sz w:val="24"/>
              </w:rPr>
              <w:t>：</w:t>
            </w:r>
          </w:p>
          <w:p>
            <w:pPr>
              <w:keepNext w:val="0"/>
              <w:keepLines w:val="0"/>
              <w:pageBreakBefore w:val="0"/>
              <w:wordWrap/>
              <w:overflowPunct/>
              <w:topLinePunct w:val="0"/>
              <w:autoSpaceDE w:val="0"/>
              <w:autoSpaceDN w:val="0"/>
              <w:bidi w:val="0"/>
              <w:adjustRightInd w:val="0"/>
              <w:spacing w:line="300" w:lineRule="auto"/>
              <w:rPr>
                <w:rFonts w:hint="eastAsia" w:ascii="仿宋" w:hAnsi="仿宋" w:eastAsia="仿宋" w:cs="仿宋"/>
                <w:sz w:val="24"/>
              </w:rPr>
            </w:pPr>
            <w:r>
              <w:rPr>
                <w:rFonts w:hint="eastAsia" w:ascii="仿宋" w:hAnsi="仿宋" w:eastAsia="仿宋" w:cs="仿宋"/>
                <w:sz w:val="24"/>
              </w:rPr>
              <w:t>税号：</w:t>
            </w:r>
          </w:p>
        </w:tc>
      </w:tr>
    </w:tbl>
    <w:p>
      <w:pPr>
        <w:pStyle w:val="2"/>
        <w:keepNext w:val="0"/>
        <w:keepLines w:val="0"/>
        <w:pageBreakBefore w:val="0"/>
        <w:wordWrap/>
        <w:overflowPunct/>
        <w:topLinePunct w:val="0"/>
        <w:autoSpaceDE w:val="0"/>
        <w:autoSpaceDN w:val="0"/>
        <w:bidi w:val="0"/>
        <w:adjustRightInd w:val="0"/>
        <w:spacing w:line="300" w:lineRule="auto"/>
        <w:ind w:firstLine="480"/>
        <w:rPr>
          <w:rFonts w:ascii="仿宋" w:hAnsi="仿宋" w:eastAsia="仿宋"/>
        </w:rPr>
      </w:pPr>
    </w:p>
    <w:p>
      <w:pPr>
        <w:keepNext w:val="0"/>
        <w:keepLines w:val="0"/>
        <w:pageBreakBefore w:val="0"/>
        <w:wordWrap/>
        <w:overflowPunct/>
        <w:topLinePunct w:val="0"/>
        <w:autoSpaceDE w:val="0"/>
        <w:autoSpaceDN w:val="0"/>
        <w:bidi w:val="0"/>
        <w:adjustRightInd w:val="0"/>
        <w:spacing w:line="300" w:lineRule="auto"/>
        <w:rPr>
          <w:rFonts w:hint="eastAsia" w:ascii="宋体" w:hAnsi="宋体" w:eastAsia="宋体" w:cs="宋体"/>
        </w:rPr>
      </w:pPr>
    </w:p>
    <w:sectPr>
      <w:pgSz w:w="11905" w:h="16838"/>
      <w:pgMar w:top="1440" w:right="1080" w:bottom="1440" w:left="1080" w:header="851" w:footer="1020" w:gutter="0"/>
      <w:pgNumType w:fmt="decimal"/>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仿宋">
    <w:altName w:val="宋体"/>
    <w:panose1 w:val="00000000000000000000"/>
    <w:charset w:val="86"/>
    <w:family w:val="roman"/>
    <w:pitch w:val="default"/>
    <w:sig w:usb0="00000000" w:usb1="00000000" w:usb2="00000000" w:usb3="00000000" w:csb0="00040001" w:csb1="00000000"/>
  </w:font>
  <w:font w:name="宋体;SimSun">
    <w:altName w:val="宋体"/>
    <w:panose1 w:val="00000000000000000000"/>
    <w:charset w:val="86"/>
    <w:family w:val="roman"/>
    <w:pitch w:val="default"/>
    <w:sig w:usb0="00000000" w:usb1="00000000" w:usb2="00000000" w:usb3="00000000" w:csb0="00040001" w:csb1="00000000"/>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ascii="宋体" w:hAnsi="宋体" w:eastAsia="宋体" w:cs="宋体"/>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5826760" cy="675640"/>
          <wp:effectExtent l="0" t="0" r="10160" b="10160"/>
          <wp:docPr id="1" name="图片 1"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海西常用LOGO=中英文版"/>
                  <pic:cNvPicPr>
                    <a:picLocks noChangeAspect="1"/>
                  </pic:cNvPicPr>
                </pic:nvPicPr>
                <pic:blipFill>
                  <a:blip r:embed="rId1"/>
                  <a:stretch>
                    <a:fillRect/>
                  </a:stretch>
                </pic:blipFill>
                <pic:spPr>
                  <a:xfrm>
                    <a:off x="0" y="0"/>
                    <a:ext cx="5826760" cy="67564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224" w:line="185" w:lineRule="auto"/>
      <w:rPr>
        <w:rFonts w:hint="eastAsia" w:ascii="宋体" w:hAnsi="宋体" w:eastAsia="宋体" w:cs="宋体"/>
        <w:sz w:val="28"/>
        <w:szCs w:val="28"/>
        <w:lang w:eastAsia="zh-CN"/>
      </w:rPr>
    </w:pPr>
    <w:r>
      <w:rPr>
        <w:rFonts w:hint="eastAsia" w:ascii="宋体" w:hAnsi="宋体" w:eastAsia="宋体" w:cs="宋体"/>
        <w:sz w:val="28"/>
        <w:szCs w:val="28"/>
        <w:lang w:eastAsia="zh-CN"/>
      </w:rPr>
      <w:drawing>
        <wp:inline distT="0" distB="0" distL="114300" distR="114300">
          <wp:extent cx="6183630" cy="717550"/>
          <wp:effectExtent l="0" t="0" r="3810" b="13970"/>
          <wp:docPr id="3" name="图片 3" descr="海西常用LOGO=中英文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海西常用LOGO=中英文版"/>
                  <pic:cNvPicPr>
                    <a:picLocks noChangeAspect="1"/>
                  </pic:cNvPicPr>
                </pic:nvPicPr>
                <pic:blipFill>
                  <a:blip r:embed="rId1"/>
                  <a:stretch>
                    <a:fillRect/>
                  </a:stretch>
                </pic:blipFill>
                <pic:spPr>
                  <a:xfrm>
                    <a:off x="0" y="0"/>
                    <a:ext cx="6183630" cy="7175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F7D25"/>
    <w:multiLevelType w:val="multilevel"/>
    <w:tmpl w:val="1B3F7D2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9204AB2"/>
    <w:multiLevelType w:val="multilevel"/>
    <w:tmpl w:val="39204AB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F8643EB"/>
    <w:multiLevelType w:val="multilevel"/>
    <w:tmpl w:val="3F8643E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3676FDE"/>
    <w:multiLevelType w:val="multilevel"/>
    <w:tmpl w:val="53676FD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55847FE"/>
    <w:multiLevelType w:val="multilevel"/>
    <w:tmpl w:val="555847F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D1F4886"/>
    <w:multiLevelType w:val="singleLevel"/>
    <w:tmpl w:val="6D1F4886"/>
    <w:lvl w:ilvl="0" w:tentative="0">
      <w:start w:val="1"/>
      <w:numFmt w:val="bullet"/>
      <w:lvlText w:val=""/>
      <w:lvlJc w:val="left"/>
      <w:pPr>
        <w:ind w:left="420" w:hanging="420"/>
      </w:pPr>
      <w:rPr>
        <w:rFonts w:hint="default" w:ascii="Wingdings" w:hAnsi="Wingdings"/>
      </w:rPr>
    </w:lvl>
  </w:abstractNum>
  <w:abstractNum w:abstractNumId="6">
    <w:nsid w:val="7370642E"/>
    <w:multiLevelType w:val="multilevel"/>
    <w:tmpl w:val="7370642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C3A1781"/>
    <w:multiLevelType w:val="multilevel"/>
    <w:tmpl w:val="7C3A178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5"/>
  </w:num>
  <w:num w:numId="4">
    <w:abstractNumId w:val="2"/>
  </w:num>
  <w:num w:numId="5">
    <w:abstractNumId w:val="4"/>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wMjNjZjdhYjkzZjc2N2M1YWIxNmNhYzI1ODY0NDEifQ=="/>
    <w:docVar w:name="KSO_WPS_MARK_KEY" w:val="efe4a8de-2d24-4b3b-85d1-d5a629d17fef"/>
  </w:docVars>
  <w:rsids>
    <w:rsidRoot w:val="78EE6CAC"/>
    <w:rsid w:val="000243C9"/>
    <w:rsid w:val="000E6220"/>
    <w:rsid w:val="00130750"/>
    <w:rsid w:val="00177563"/>
    <w:rsid w:val="0017764E"/>
    <w:rsid w:val="0019086B"/>
    <w:rsid w:val="001A28DA"/>
    <w:rsid w:val="00241B37"/>
    <w:rsid w:val="002A64B2"/>
    <w:rsid w:val="00303A41"/>
    <w:rsid w:val="003360EA"/>
    <w:rsid w:val="003362E1"/>
    <w:rsid w:val="0034421A"/>
    <w:rsid w:val="00360C78"/>
    <w:rsid w:val="004269BE"/>
    <w:rsid w:val="004574D5"/>
    <w:rsid w:val="004B1EE3"/>
    <w:rsid w:val="004D40C6"/>
    <w:rsid w:val="00526E07"/>
    <w:rsid w:val="00565001"/>
    <w:rsid w:val="00732474"/>
    <w:rsid w:val="00740B87"/>
    <w:rsid w:val="00753CE8"/>
    <w:rsid w:val="007B144B"/>
    <w:rsid w:val="007B7E52"/>
    <w:rsid w:val="007F7F34"/>
    <w:rsid w:val="00801FF0"/>
    <w:rsid w:val="00850FBC"/>
    <w:rsid w:val="0086421B"/>
    <w:rsid w:val="0087144D"/>
    <w:rsid w:val="00927037"/>
    <w:rsid w:val="00927DAB"/>
    <w:rsid w:val="00940DEE"/>
    <w:rsid w:val="00972536"/>
    <w:rsid w:val="009E110A"/>
    <w:rsid w:val="009E7ADB"/>
    <w:rsid w:val="00A04F46"/>
    <w:rsid w:val="00A22BB1"/>
    <w:rsid w:val="00A561A6"/>
    <w:rsid w:val="00A6000F"/>
    <w:rsid w:val="00A613B3"/>
    <w:rsid w:val="00AB679A"/>
    <w:rsid w:val="00B26138"/>
    <w:rsid w:val="00B31813"/>
    <w:rsid w:val="00BB4E4C"/>
    <w:rsid w:val="00BB4FD3"/>
    <w:rsid w:val="00BD1563"/>
    <w:rsid w:val="00CF3790"/>
    <w:rsid w:val="00CF4E62"/>
    <w:rsid w:val="00D0289F"/>
    <w:rsid w:val="00D02D28"/>
    <w:rsid w:val="00D23398"/>
    <w:rsid w:val="00D331CD"/>
    <w:rsid w:val="00D80CD9"/>
    <w:rsid w:val="00DC42AF"/>
    <w:rsid w:val="00E952F6"/>
    <w:rsid w:val="00E97194"/>
    <w:rsid w:val="00F02DC0"/>
    <w:rsid w:val="00F055FE"/>
    <w:rsid w:val="00F0694F"/>
    <w:rsid w:val="00F84343"/>
    <w:rsid w:val="00F90427"/>
    <w:rsid w:val="00F90A9E"/>
    <w:rsid w:val="00F96AA0"/>
    <w:rsid w:val="00FA1312"/>
    <w:rsid w:val="00FB596A"/>
    <w:rsid w:val="00FF02E1"/>
    <w:rsid w:val="00FF0855"/>
    <w:rsid w:val="00FF35BD"/>
    <w:rsid w:val="01DE5DA6"/>
    <w:rsid w:val="031A62F1"/>
    <w:rsid w:val="063D2047"/>
    <w:rsid w:val="06555C4C"/>
    <w:rsid w:val="06BF6017"/>
    <w:rsid w:val="06CB7FCC"/>
    <w:rsid w:val="06DF3FC3"/>
    <w:rsid w:val="082216E1"/>
    <w:rsid w:val="087052F4"/>
    <w:rsid w:val="08E31B8A"/>
    <w:rsid w:val="0904205A"/>
    <w:rsid w:val="0A362956"/>
    <w:rsid w:val="0B3D3052"/>
    <w:rsid w:val="0BD75BB1"/>
    <w:rsid w:val="0C97306B"/>
    <w:rsid w:val="0C9E047D"/>
    <w:rsid w:val="0D3C1DC3"/>
    <w:rsid w:val="0E0137ED"/>
    <w:rsid w:val="0F184516"/>
    <w:rsid w:val="0F66217A"/>
    <w:rsid w:val="10EE5DF2"/>
    <w:rsid w:val="10F82212"/>
    <w:rsid w:val="12E6250F"/>
    <w:rsid w:val="13C95DDF"/>
    <w:rsid w:val="13DD4624"/>
    <w:rsid w:val="143516C6"/>
    <w:rsid w:val="1441006B"/>
    <w:rsid w:val="15BE749A"/>
    <w:rsid w:val="187A6CED"/>
    <w:rsid w:val="19416EE3"/>
    <w:rsid w:val="19E54C84"/>
    <w:rsid w:val="1A2B2E16"/>
    <w:rsid w:val="1A584361"/>
    <w:rsid w:val="1CA53035"/>
    <w:rsid w:val="1CB72E06"/>
    <w:rsid w:val="1D406077"/>
    <w:rsid w:val="1DA8231C"/>
    <w:rsid w:val="1F9B0ADF"/>
    <w:rsid w:val="1FC00470"/>
    <w:rsid w:val="213B2D65"/>
    <w:rsid w:val="21B97B04"/>
    <w:rsid w:val="22345F2D"/>
    <w:rsid w:val="223760ED"/>
    <w:rsid w:val="229A5157"/>
    <w:rsid w:val="22F1792F"/>
    <w:rsid w:val="23C06ACA"/>
    <w:rsid w:val="24087AE2"/>
    <w:rsid w:val="25040E17"/>
    <w:rsid w:val="25C0013E"/>
    <w:rsid w:val="260C548A"/>
    <w:rsid w:val="26E80DFA"/>
    <w:rsid w:val="28845678"/>
    <w:rsid w:val="28872C4F"/>
    <w:rsid w:val="28AB7D51"/>
    <w:rsid w:val="29156767"/>
    <w:rsid w:val="29BA649E"/>
    <w:rsid w:val="29DE5491"/>
    <w:rsid w:val="2C01798C"/>
    <w:rsid w:val="2C7C594D"/>
    <w:rsid w:val="2CD14227"/>
    <w:rsid w:val="2EA636D0"/>
    <w:rsid w:val="2F8512FC"/>
    <w:rsid w:val="302A1EA4"/>
    <w:rsid w:val="30943860"/>
    <w:rsid w:val="31650116"/>
    <w:rsid w:val="374B4BD9"/>
    <w:rsid w:val="38557A9F"/>
    <w:rsid w:val="3A4A73CA"/>
    <w:rsid w:val="3AED42A1"/>
    <w:rsid w:val="3C440F6E"/>
    <w:rsid w:val="3DCC7449"/>
    <w:rsid w:val="3DE83A67"/>
    <w:rsid w:val="42BD2F8E"/>
    <w:rsid w:val="435B1499"/>
    <w:rsid w:val="440A6827"/>
    <w:rsid w:val="45976840"/>
    <w:rsid w:val="47100713"/>
    <w:rsid w:val="474C1085"/>
    <w:rsid w:val="474C1DDB"/>
    <w:rsid w:val="48B325A9"/>
    <w:rsid w:val="49203109"/>
    <w:rsid w:val="4A7A55DF"/>
    <w:rsid w:val="4ABB39CC"/>
    <w:rsid w:val="4B5E45B8"/>
    <w:rsid w:val="4BF71DFE"/>
    <w:rsid w:val="4C0E5B77"/>
    <w:rsid w:val="4C25253E"/>
    <w:rsid w:val="4DC57782"/>
    <w:rsid w:val="4DF810AC"/>
    <w:rsid w:val="4F141553"/>
    <w:rsid w:val="4FC652ED"/>
    <w:rsid w:val="4FF456D9"/>
    <w:rsid w:val="50054BB6"/>
    <w:rsid w:val="500951DA"/>
    <w:rsid w:val="50390222"/>
    <w:rsid w:val="50FD54C5"/>
    <w:rsid w:val="523D2901"/>
    <w:rsid w:val="53DA53DB"/>
    <w:rsid w:val="543A1E06"/>
    <w:rsid w:val="55480D13"/>
    <w:rsid w:val="55CA11C1"/>
    <w:rsid w:val="55F029F4"/>
    <w:rsid w:val="5621082A"/>
    <w:rsid w:val="56625644"/>
    <w:rsid w:val="56B90D23"/>
    <w:rsid w:val="58324C4B"/>
    <w:rsid w:val="594C782E"/>
    <w:rsid w:val="5A13454B"/>
    <w:rsid w:val="5D2574A1"/>
    <w:rsid w:val="5D294756"/>
    <w:rsid w:val="5DC2080A"/>
    <w:rsid w:val="5F6B1E45"/>
    <w:rsid w:val="5FC078B7"/>
    <w:rsid w:val="5FD22F39"/>
    <w:rsid w:val="64032E7A"/>
    <w:rsid w:val="646451EA"/>
    <w:rsid w:val="64FF7375"/>
    <w:rsid w:val="65B23EF2"/>
    <w:rsid w:val="65D57105"/>
    <w:rsid w:val="67FF3F88"/>
    <w:rsid w:val="6905258B"/>
    <w:rsid w:val="696A45A4"/>
    <w:rsid w:val="69AB353C"/>
    <w:rsid w:val="69DF74C2"/>
    <w:rsid w:val="6A6D4009"/>
    <w:rsid w:val="6B9F29DB"/>
    <w:rsid w:val="6C242CBC"/>
    <w:rsid w:val="6C2947E2"/>
    <w:rsid w:val="6C4A4810"/>
    <w:rsid w:val="6CAD0BB5"/>
    <w:rsid w:val="6D9B34BE"/>
    <w:rsid w:val="6DD6696E"/>
    <w:rsid w:val="6E6B7E58"/>
    <w:rsid w:val="70DE50A1"/>
    <w:rsid w:val="70E231B1"/>
    <w:rsid w:val="714F5BD7"/>
    <w:rsid w:val="72D07765"/>
    <w:rsid w:val="73830C7C"/>
    <w:rsid w:val="73DA76D3"/>
    <w:rsid w:val="750A0CFF"/>
    <w:rsid w:val="77687477"/>
    <w:rsid w:val="778D3071"/>
    <w:rsid w:val="77BA6C36"/>
    <w:rsid w:val="78E77DBC"/>
    <w:rsid w:val="78EE6CAC"/>
    <w:rsid w:val="796E7CD8"/>
    <w:rsid w:val="79D42231"/>
    <w:rsid w:val="79F214BE"/>
    <w:rsid w:val="7A7953A0"/>
    <w:rsid w:val="7AED01B2"/>
    <w:rsid w:val="7B2C1BF9"/>
    <w:rsid w:val="7C603C27"/>
    <w:rsid w:val="7D691CDB"/>
    <w:rsid w:val="7EBD3628"/>
    <w:rsid w:val="7F030EC6"/>
    <w:rsid w:val="7FB328E9"/>
    <w:rsid w:val="7FD1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9"/>
    <w:pPr>
      <w:keepNext/>
      <w:spacing w:line="240" w:lineRule="auto"/>
      <w:ind w:firstLine="0" w:firstLineChars="0"/>
      <w:outlineLvl w:val="1"/>
    </w:pPr>
    <w:rPr>
      <w:rFonts w:cstheme="majorBidi"/>
      <w:b/>
      <w:bCs/>
      <w:color w:val="000000" w:themeColor="text1"/>
      <w:sz w:val="28"/>
      <w:szCs w:val="32"/>
      <w14:textFill>
        <w14:solidFill>
          <w14:schemeClr w14:val="tx1"/>
        </w14:solidFill>
      </w14:textFill>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6">
    <w:name w:val="annotation text"/>
    <w:basedOn w:val="1"/>
    <w:link w:val="25"/>
    <w:qFormat/>
    <w:uiPriority w:val="0"/>
  </w:style>
  <w:style w:type="paragraph" w:styleId="7">
    <w:name w:val="Salutation"/>
    <w:basedOn w:val="1"/>
    <w:next w:val="1"/>
    <w:qFormat/>
    <w:uiPriority w:val="0"/>
    <w:rPr>
      <w:rFonts w:ascii="仿宋_GB2312;仿宋" w:hAnsi="仿宋_GB2312;仿宋" w:eastAsia="仿宋_GB2312;仿宋" w:cs="宋体;SimSun"/>
      <w:sz w:val="24"/>
      <w:lang w:val="zh-CN"/>
    </w:rPr>
  </w:style>
  <w:style w:type="paragraph" w:styleId="8">
    <w:name w:val="Body Text"/>
    <w:basedOn w:val="1"/>
    <w:qFormat/>
    <w:uiPriority w:val="1"/>
    <w:rPr>
      <w:rFonts w:ascii="宋体" w:hAnsi="宋体" w:eastAsia="宋体" w:cs="宋体"/>
      <w:sz w:val="24"/>
      <w:szCs w:val="24"/>
      <w:lang w:val="zh-CN" w:bidi="zh-CN"/>
    </w:rPr>
  </w:style>
  <w:style w:type="paragraph" w:styleId="9">
    <w:name w:val="toc 3"/>
    <w:basedOn w:val="1"/>
    <w:next w:val="1"/>
    <w:qFormat/>
    <w:uiPriority w:val="39"/>
    <w:pPr>
      <w:ind w:left="840" w:leftChars="400"/>
    </w:p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pPr>
    <w:rPr>
      <w:sz w:val="18"/>
    </w:rPr>
  </w:style>
  <w:style w:type="paragraph" w:styleId="12">
    <w:name w:val="header"/>
    <w:basedOn w:val="1"/>
    <w:link w:val="30"/>
    <w:qFormat/>
    <w:uiPriority w:val="0"/>
    <w:pPr>
      <w:pBdr>
        <w:bottom w:val="single" w:color="auto" w:sz="6" w:space="1"/>
      </w:pBdr>
      <w:tabs>
        <w:tab w:val="center" w:pos="4153"/>
        <w:tab w:val="right" w:pos="8306"/>
      </w:tabs>
      <w:jc w:val="center"/>
    </w:pPr>
    <w:rPr>
      <w:sz w:val="18"/>
      <w:szCs w:val="18"/>
    </w:rPr>
  </w:style>
  <w:style w:type="paragraph" w:styleId="13">
    <w:name w:val="toc 1"/>
    <w:basedOn w:val="1"/>
    <w:next w:val="1"/>
    <w:qFormat/>
    <w:uiPriority w:val="39"/>
  </w:style>
  <w:style w:type="paragraph" w:styleId="14">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rPr>
  </w:style>
  <w:style w:type="paragraph" w:styleId="15">
    <w:name w:val="annotation subject"/>
    <w:basedOn w:val="6"/>
    <w:next w:val="6"/>
    <w:link w:val="26"/>
    <w:qFormat/>
    <w:uiPriority w:val="0"/>
    <w:rPr>
      <w:b/>
      <w:bCs/>
    </w:rPr>
  </w:style>
  <w:style w:type="character" w:styleId="18">
    <w:name w:val="Strong"/>
    <w:basedOn w:val="17"/>
    <w:qFormat/>
    <w:uiPriority w:val="22"/>
    <w:rPr>
      <w:b/>
      <w:bCs/>
    </w:rPr>
  </w:style>
  <w:style w:type="character" w:styleId="19">
    <w:name w:val="Hyperlink"/>
    <w:basedOn w:val="17"/>
    <w:unhideWhenUsed/>
    <w:qFormat/>
    <w:uiPriority w:val="99"/>
    <w:rPr>
      <w:color w:val="0563C1" w:themeColor="hyperlink"/>
      <w:u w:val="single"/>
      <w14:textFill>
        <w14:solidFill>
          <w14:schemeClr w14:val="hlink"/>
        </w14:solidFill>
      </w14:textFill>
    </w:rPr>
  </w:style>
  <w:style w:type="character" w:styleId="20">
    <w:name w:val="annotation reference"/>
    <w:basedOn w:val="17"/>
    <w:qFormat/>
    <w:uiPriority w:val="0"/>
    <w:rPr>
      <w:sz w:val="21"/>
      <w:szCs w:val="21"/>
    </w:rPr>
  </w:style>
  <w:style w:type="table" w:customStyle="1" w:styleId="21">
    <w:name w:val="Table Normal"/>
    <w:semiHidden/>
    <w:unhideWhenUsed/>
    <w:qFormat/>
    <w:uiPriority w:val="0"/>
    <w:tblPr>
      <w:tblCellMar>
        <w:top w:w="0" w:type="dxa"/>
        <w:left w:w="0" w:type="dxa"/>
        <w:bottom w:w="0" w:type="dxa"/>
        <w:right w:w="0" w:type="dxa"/>
      </w:tblCellMar>
    </w:tblPr>
  </w:style>
  <w:style w:type="character" w:customStyle="1" w:styleId="22">
    <w:name w:val="font01"/>
    <w:basedOn w:val="17"/>
    <w:qFormat/>
    <w:uiPriority w:val="0"/>
    <w:rPr>
      <w:rFonts w:hint="eastAsia" w:ascii="宋体" w:hAnsi="宋体" w:eastAsia="宋体" w:cs="宋体"/>
      <w:color w:val="000000"/>
      <w:sz w:val="24"/>
      <w:szCs w:val="24"/>
      <w:u w:val="none"/>
      <w:vertAlign w:val="superscript"/>
    </w:rPr>
  </w:style>
  <w:style w:type="paragraph" w:customStyle="1" w:styleId="23">
    <w:name w:val="报告正文"/>
    <w:basedOn w:val="1"/>
    <w:qFormat/>
    <w:uiPriority w:val="99"/>
    <w:pPr>
      <w:spacing w:line="360" w:lineRule="auto"/>
      <w:ind w:firstLine="560" w:firstLineChars="200"/>
    </w:pPr>
    <w:rPr>
      <w:sz w:val="28"/>
      <w:szCs w:val="28"/>
    </w:rPr>
  </w:style>
  <w:style w:type="paragraph" w:customStyle="1" w:styleId="24">
    <w:name w:val="WPSOffice手动目录 1"/>
    <w:qFormat/>
    <w:uiPriority w:val="0"/>
    <w:rPr>
      <w:rFonts w:ascii="Times New Roman" w:hAnsi="Times New Roman" w:eastAsia="宋体" w:cs="Times New Roman"/>
      <w:lang w:val="en-US" w:eastAsia="zh-CN" w:bidi="ar-SA"/>
    </w:rPr>
  </w:style>
  <w:style w:type="character" w:customStyle="1" w:styleId="25">
    <w:name w:val="批注文字 字符"/>
    <w:basedOn w:val="17"/>
    <w:link w:val="6"/>
    <w:qFormat/>
    <w:uiPriority w:val="0"/>
    <w:rPr>
      <w:rFonts w:ascii="Arial" w:hAnsi="Arial" w:eastAsia="Arial" w:cs="Arial"/>
      <w:snapToGrid w:val="0"/>
      <w:color w:val="000000"/>
      <w:sz w:val="21"/>
      <w:szCs w:val="21"/>
    </w:rPr>
  </w:style>
  <w:style w:type="character" w:customStyle="1" w:styleId="26">
    <w:name w:val="批注主题 字符"/>
    <w:basedOn w:val="25"/>
    <w:link w:val="15"/>
    <w:qFormat/>
    <w:uiPriority w:val="0"/>
    <w:rPr>
      <w:rFonts w:ascii="Arial" w:hAnsi="Arial" w:eastAsia="Arial" w:cs="Arial"/>
      <w:b/>
      <w:bCs/>
      <w:snapToGrid w:val="0"/>
      <w:color w:val="000000"/>
      <w:sz w:val="21"/>
      <w:szCs w:val="21"/>
    </w:rPr>
  </w:style>
  <w:style w:type="paragraph" w:styleId="27">
    <w:name w:val="List Paragraph"/>
    <w:basedOn w:val="1"/>
    <w:qFormat/>
    <w:uiPriority w:val="99"/>
    <w:pPr>
      <w:ind w:firstLine="420" w:firstLineChars="200"/>
    </w:pPr>
  </w:style>
  <w:style w:type="character" w:customStyle="1" w:styleId="28">
    <w:name w:val="标题 1 字符"/>
    <w:basedOn w:val="17"/>
    <w:link w:val="4"/>
    <w:qFormat/>
    <w:uiPriority w:val="0"/>
    <w:rPr>
      <w:rFonts w:ascii="Arial" w:hAnsi="Arial" w:eastAsia="Arial" w:cs="Arial"/>
      <w:b/>
      <w:bCs/>
      <w:snapToGrid w:val="0"/>
      <w:color w:val="000000"/>
      <w:kern w:val="44"/>
      <w:sz w:val="44"/>
      <w:szCs w:val="44"/>
    </w:rPr>
  </w:style>
  <w:style w:type="paragraph" w:customStyle="1" w:styleId="29">
    <w:name w:val="TOC 标题1"/>
    <w:basedOn w:val="4"/>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rPr>
  </w:style>
  <w:style w:type="character" w:customStyle="1" w:styleId="30">
    <w:name w:val="页眉 字符"/>
    <w:basedOn w:val="17"/>
    <w:link w:val="12"/>
    <w:qFormat/>
    <w:uiPriority w:val="0"/>
    <w:rPr>
      <w:rFonts w:ascii="Arial" w:hAnsi="Arial" w:eastAsia="Arial" w:cs="Arial"/>
      <w:snapToGrid w:val="0"/>
      <w:color w:val="000000"/>
      <w:sz w:val="18"/>
      <w:szCs w:val="18"/>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标题A"/>
    <w:basedOn w:val="27"/>
    <w:qFormat/>
    <w:uiPriority w:val="0"/>
    <w:pPr>
      <w:widowControl/>
      <w:adjustRightInd w:val="0"/>
      <w:snapToGrid w:val="0"/>
      <w:spacing w:before="100" w:beforeAutospacing="1" w:after="100" w:afterAutospacing="1" w:line="360" w:lineRule="auto"/>
      <w:ind w:firstLine="0" w:firstLineChars="0"/>
      <w:jc w:val="left"/>
    </w:pPr>
    <w:rPr>
      <w:rFonts w:ascii="宋体" w:hAnsi="宋体"/>
      <w:b/>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6975</Words>
  <Characters>7221</Characters>
  <Lines>28</Lines>
  <Paragraphs>7</Paragraphs>
  <TotalTime>4</TotalTime>
  <ScaleCrop>false</ScaleCrop>
  <LinksUpToDate>false</LinksUpToDate>
  <CharactersWithSpaces>7440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2022-12-03T00:45:00Z</dcterms:created>
  <dc:creator>Mr.Guang</dc:creator>
  <cp:lastModifiedBy>黄丰强</cp:lastModifiedBy>
  <cp:lastPrinted>2022-12-05T07:10:00Z</cp:lastPrinted>
  <dcterms:modified xsi:type="dcterms:W3CDTF">2024-11-01T01:55:52Z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EBE96ED05D0E428A8096A909612081A2</vt:lpwstr>
  </property>
</Properties>
</file>