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黑体"/>
        </w:rPr>
      </w:pPr>
    </w:p>
    <w:p>
      <w:pPr>
        <w:spacing w:line="277" w:lineRule="auto"/>
        <w:rPr>
          <w:rFonts w:ascii="黑体"/>
        </w:rPr>
      </w:pPr>
    </w:p>
    <w:p>
      <w:pPr>
        <w:spacing w:line="277" w:lineRule="auto"/>
        <w:rPr>
          <w:rFonts w:ascii="黑体"/>
        </w:rPr>
      </w:pPr>
    </w:p>
    <w:p>
      <w:pPr>
        <w:spacing w:line="277" w:lineRule="auto"/>
        <w:rPr>
          <w:rFonts w:ascii="黑体"/>
        </w:rPr>
      </w:pPr>
    </w:p>
    <w:p>
      <w:pPr>
        <w:spacing w:line="278" w:lineRule="auto"/>
        <w:rPr>
          <w:rFonts w:ascii="黑体"/>
        </w:rPr>
      </w:pPr>
    </w:p>
    <w:p>
      <w:pPr>
        <w:spacing w:line="278" w:lineRule="auto"/>
        <w:rPr>
          <w:rFonts w:ascii="黑体"/>
        </w:rPr>
      </w:pPr>
    </w:p>
    <w:p>
      <w:pPr>
        <w:tabs>
          <w:tab w:val="left" w:pos="5882"/>
        </w:tabs>
        <w:spacing w:before="169" w:line="185" w:lineRule="auto"/>
        <w:jc w:val="center"/>
        <w:outlineLvl w:val="0"/>
        <w:rPr>
          <w:rFonts w:ascii="宋体" w:hAnsi="宋体" w:eastAsia="宋体" w:cs="宋体"/>
          <w:sz w:val="52"/>
          <w:szCs w:val="52"/>
        </w:rPr>
      </w:pPr>
      <w:r>
        <w:rPr>
          <w:rFonts w:hint="eastAsia" w:ascii="黑体" w:hAnsi="黑体" w:eastAsia="黑体" w:cs="黑体"/>
          <w:sz w:val="52"/>
          <w:szCs w:val="52"/>
        </w:rPr>
        <w:t xml:space="preserve"> </w:t>
      </w:r>
      <w:r>
        <w:rPr>
          <w:rFonts w:hint="eastAsia" w:ascii="黑体" w:hAnsi="黑体" w:eastAsia="黑体" w:cs="黑体"/>
          <w:color w:val="auto"/>
          <w:sz w:val="52"/>
          <w:szCs w:val="52"/>
          <w:u w:val="single"/>
        </w:rPr>
        <w:t xml:space="preserve"> </w:t>
      </w:r>
      <w:bookmarkStart w:id="0" w:name="_Toc16784"/>
      <w:r>
        <w:rPr>
          <w:rFonts w:hint="eastAsia" w:ascii="黑体" w:hAnsi="黑体" w:eastAsia="黑体" w:cs="黑体"/>
          <w:color w:val="auto"/>
          <w:sz w:val="52"/>
          <w:szCs w:val="52"/>
          <w:u w:val="single"/>
          <w:lang w:val="en-US" w:eastAsia="zh-CN"/>
        </w:rPr>
        <w:t xml:space="preserve"> 机床零部件铸造件 </w:t>
      </w:r>
      <w:r>
        <w:rPr>
          <w:rFonts w:hint="eastAsia" w:ascii="黑体" w:hAnsi="黑体" w:eastAsia="黑体" w:cs="黑体"/>
          <w:color w:val="auto"/>
          <w:sz w:val="52"/>
          <w:szCs w:val="52"/>
          <w:u w:val="single"/>
        </w:rPr>
        <w:t xml:space="preserve"> </w:t>
      </w:r>
      <w:r>
        <w:rPr>
          <w:rFonts w:ascii="宋体" w:hAnsi="宋体" w:eastAsia="宋体" w:cs="宋体"/>
          <w:spacing w:val="-3"/>
          <w:sz w:val="52"/>
          <w:szCs w:val="52"/>
        </w:rPr>
        <w:t>采购项目</w:t>
      </w:r>
      <w:bookmarkEnd w:id="0"/>
    </w:p>
    <w:p>
      <w:pPr>
        <w:spacing w:line="248" w:lineRule="auto"/>
        <w:rPr>
          <w:rFonts w:ascii="黑体"/>
        </w:rPr>
      </w:pPr>
    </w:p>
    <w:p>
      <w:pPr>
        <w:spacing w:line="248" w:lineRule="auto"/>
        <w:rPr>
          <w:rFonts w:ascii="黑体"/>
        </w:rPr>
      </w:pPr>
    </w:p>
    <w:p>
      <w:pPr>
        <w:spacing w:before="92" w:line="185" w:lineRule="auto"/>
        <w:jc w:val="center"/>
        <w:outlineLvl w:val="0"/>
        <w:rPr>
          <w:rFonts w:hint="default" w:ascii="黑体"/>
          <w:sz w:val="52"/>
          <w:szCs w:val="52"/>
          <w:lang w:val="en-US"/>
        </w:rPr>
      </w:pPr>
      <w:bookmarkStart w:id="1" w:name="_Toc5886"/>
      <w:r>
        <w:rPr>
          <w:rFonts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ascii="宋体" w:hAnsi="宋体" w:eastAsia="宋体" w:cs="宋体"/>
          <w:spacing w:val="-2"/>
          <w:sz w:val="52"/>
          <w:szCs w:val="52"/>
        </w:rPr>
        <w:t>：</w:t>
      </w:r>
      <w:bookmarkEnd w:id="1"/>
      <w:r>
        <w:rPr>
          <w:rFonts w:hint="eastAsia" w:ascii="宋体" w:hAnsi="宋体" w:eastAsia="宋体" w:cs="宋体"/>
          <w:spacing w:val="-2"/>
          <w:sz w:val="52"/>
          <w:szCs w:val="52"/>
          <w:lang w:val="en-US" w:eastAsia="zh-CN"/>
        </w:rPr>
        <w:t xml:space="preserve"> </w:t>
      </w:r>
      <w:r>
        <w:rPr>
          <w:rFonts w:hint="eastAsia" w:asciiTheme="minorEastAsia" w:hAnsiTheme="minorEastAsia" w:eastAsiaTheme="minorEastAsia"/>
          <w:b w:val="0"/>
          <w:bCs w:val="0"/>
          <w:sz w:val="52"/>
          <w:szCs w:val="52"/>
          <w:highlight w:val="none"/>
        </w:rPr>
        <w:t>HXZB202</w:t>
      </w:r>
      <w:r>
        <w:rPr>
          <w:rFonts w:hint="eastAsia" w:asciiTheme="minorEastAsia" w:hAnsiTheme="minorEastAsia" w:eastAsiaTheme="minorEastAsia"/>
          <w:b w:val="0"/>
          <w:bCs w:val="0"/>
          <w:sz w:val="52"/>
          <w:szCs w:val="52"/>
          <w:highlight w:val="none"/>
          <w:lang w:val="en-US" w:eastAsia="zh-CN"/>
        </w:rPr>
        <w:t>40119</w:t>
      </w:r>
      <w:r>
        <w:rPr>
          <w:rFonts w:asciiTheme="minorEastAsia" w:hAnsiTheme="minorEastAsia" w:eastAsiaTheme="minorEastAsia"/>
          <w:b w:val="0"/>
          <w:bCs w:val="0"/>
          <w:sz w:val="52"/>
          <w:szCs w:val="52"/>
          <w:highlight w:val="none"/>
        </w:rPr>
        <w:t>0</w:t>
      </w:r>
      <w:r>
        <w:rPr>
          <w:rFonts w:hint="eastAsia" w:asciiTheme="minorEastAsia" w:hAnsiTheme="minorEastAsia" w:eastAsiaTheme="minorEastAsia"/>
          <w:b w:val="0"/>
          <w:bCs w:val="0"/>
          <w:sz w:val="52"/>
          <w:szCs w:val="52"/>
          <w:highlight w:val="none"/>
        </w:rPr>
        <w:t>1</w:t>
      </w:r>
    </w:p>
    <w:p>
      <w:pPr>
        <w:spacing w:line="248" w:lineRule="auto"/>
        <w:rPr>
          <w:rFonts w:ascii="黑体"/>
        </w:rPr>
      </w:pPr>
    </w:p>
    <w:p>
      <w:pPr>
        <w:spacing w:line="248" w:lineRule="auto"/>
        <w:rPr>
          <w:rFonts w:ascii="黑体"/>
        </w:rPr>
      </w:pPr>
    </w:p>
    <w:p>
      <w:pPr>
        <w:spacing w:line="248" w:lineRule="auto"/>
        <w:rPr>
          <w:rFonts w:ascii="黑体"/>
        </w:rPr>
      </w:pPr>
    </w:p>
    <w:p>
      <w:pPr>
        <w:spacing w:line="249" w:lineRule="auto"/>
        <w:rPr>
          <w:rFonts w:ascii="黑体"/>
        </w:rPr>
      </w:pPr>
    </w:p>
    <w:p>
      <w:pPr>
        <w:spacing w:line="249" w:lineRule="auto"/>
        <w:rPr>
          <w:rFonts w:ascii="黑体"/>
        </w:rPr>
      </w:pPr>
    </w:p>
    <w:p>
      <w:pPr>
        <w:spacing w:before="274" w:line="185" w:lineRule="auto"/>
        <w:ind w:firstLine="1646"/>
        <w:outlineLvl w:val="0"/>
        <w:rPr>
          <w:rFonts w:ascii="宋体" w:hAnsi="宋体" w:eastAsia="宋体" w:cs="宋体"/>
          <w:sz w:val="84"/>
          <w:szCs w:val="84"/>
        </w:rPr>
      </w:pPr>
      <w:bookmarkStart w:id="2" w:name="_Toc13557"/>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招</w:t>
      </w:r>
      <w:r>
        <w:rPr>
          <w:rFonts w:ascii="宋体" w:hAnsi="宋体" w:eastAsia="宋体" w:cs="宋体"/>
          <w:spacing w:val="21"/>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标</w:t>
      </w:r>
      <w:r>
        <w:rPr>
          <w:rFonts w:ascii="宋体" w:hAnsi="宋体" w:eastAsia="宋体" w:cs="宋体"/>
          <w:spacing w:val="24"/>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文</w:t>
      </w:r>
      <w:r>
        <w:rPr>
          <w:rFonts w:ascii="宋体" w:hAnsi="宋体" w:eastAsia="宋体" w:cs="宋体"/>
          <w:spacing w:val="18"/>
          <w:sz w:val="84"/>
          <w:szCs w:val="84"/>
        </w:rPr>
        <w:t xml:space="preserve">  </w:t>
      </w:r>
      <w:r>
        <w:rPr>
          <w:rFonts w:ascii="宋体" w:hAnsi="宋体" w:eastAsia="宋体" w:cs="宋体"/>
          <w:spacing w:val="-28"/>
          <w:sz w:val="84"/>
          <w:szCs w:val="84"/>
          <w14:textOutline w14:w="15240" w14:cap="flat" w14:cmpd="sng" w14:algn="ctr">
            <w14:solidFill>
              <w14:srgbClr w14:val="000000"/>
            </w14:solidFill>
            <w14:prstDash w14:val="solid"/>
            <w14:miter w14:val="0"/>
          </w14:textOutline>
        </w:rPr>
        <w:t>件</w:t>
      </w:r>
      <w:bookmarkEnd w:id="2"/>
    </w:p>
    <w:p>
      <w:pPr>
        <w:spacing w:line="252" w:lineRule="auto"/>
        <w:rPr>
          <w:rFonts w:ascii="黑体"/>
        </w:rPr>
      </w:pPr>
    </w:p>
    <w:p>
      <w:pPr>
        <w:spacing w:line="252" w:lineRule="auto"/>
        <w:rPr>
          <w:rFonts w:ascii="黑体"/>
        </w:rPr>
      </w:pPr>
    </w:p>
    <w:p>
      <w:pPr>
        <w:spacing w:line="252" w:lineRule="auto"/>
        <w:rPr>
          <w:rFonts w:ascii="黑体"/>
        </w:rPr>
      </w:pPr>
    </w:p>
    <w:p>
      <w:pPr>
        <w:spacing w:line="252"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line="253" w:lineRule="auto"/>
        <w:rPr>
          <w:rFonts w:ascii="黑体"/>
        </w:rPr>
      </w:pPr>
    </w:p>
    <w:p>
      <w:pPr>
        <w:spacing w:before="104" w:line="188" w:lineRule="auto"/>
        <w:rPr>
          <w:rFonts w:ascii="仿宋" w:hAnsi="仿宋" w:eastAsia="仿宋" w:cs="仿宋"/>
          <w:spacing w:val="-18"/>
          <w:sz w:val="32"/>
          <w:szCs w:val="32"/>
        </w:rPr>
      </w:pPr>
    </w:p>
    <w:p>
      <w:pPr>
        <w:spacing w:before="104" w:line="188" w:lineRule="auto"/>
        <w:jc w:val="center"/>
        <w:outlineLvl w:val="0"/>
        <w:rPr>
          <w:rFonts w:ascii="仿宋" w:hAnsi="仿宋" w:eastAsia="仿宋" w:cs="仿宋"/>
          <w:sz w:val="32"/>
          <w:szCs w:val="32"/>
        </w:rPr>
      </w:pPr>
      <w:bookmarkStart w:id="3" w:name="_Toc12968"/>
      <w:r>
        <w:rPr>
          <w:rFonts w:ascii="仿宋" w:hAnsi="仿宋" w:eastAsia="仿宋" w:cs="仿宋"/>
          <w:sz w:val="32"/>
          <w:szCs w:val="32"/>
        </w:rPr>
        <w:t>招标人：</w:t>
      </w:r>
      <w:r>
        <w:rPr>
          <w:rFonts w:hint="eastAsia" w:ascii="仿宋" w:hAnsi="仿宋" w:eastAsia="仿宋" w:cs="仿宋"/>
          <w:sz w:val="32"/>
          <w:szCs w:val="32"/>
        </w:rPr>
        <w:t>中国机械总院集团海西（福建）分院有限公司</w:t>
      </w:r>
      <w:bookmarkEnd w:id="3"/>
    </w:p>
    <w:p>
      <w:pPr>
        <w:spacing w:line="409" w:lineRule="auto"/>
        <w:rPr>
          <w:rFonts w:ascii="黑体"/>
        </w:rPr>
      </w:pPr>
    </w:p>
    <w:p>
      <w:pPr>
        <w:spacing w:before="104" w:line="188" w:lineRule="auto"/>
        <w:jc w:val="center"/>
        <w:outlineLvl w:val="0"/>
        <w:rPr>
          <w:rFonts w:ascii="仿宋" w:hAnsi="仿宋" w:eastAsia="仿宋" w:cs="仿宋"/>
          <w:color w:val="FF0000"/>
          <w:sz w:val="32"/>
          <w:szCs w:val="32"/>
        </w:rPr>
      </w:pPr>
      <w:bookmarkStart w:id="4" w:name="_Toc24157"/>
      <w:r>
        <w:rPr>
          <w:rFonts w:hint="eastAsia" w:ascii="仿宋" w:hAnsi="仿宋" w:eastAsia="仿宋" w:cs="仿宋"/>
          <w:color w:val="auto"/>
          <w:sz w:val="32"/>
          <w:szCs w:val="32"/>
          <w:lang w:val="en-US" w:eastAsia="zh-CN"/>
        </w:rPr>
        <w:t>2024</w:t>
      </w:r>
      <w:r>
        <w:rPr>
          <w:rFonts w:ascii="仿宋" w:hAnsi="仿宋" w:eastAsia="仿宋" w:cs="仿宋"/>
          <w:color w:val="auto"/>
          <w:sz w:val="32"/>
          <w:szCs w:val="32"/>
        </w:rPr>
        <w:t>年</w:t>
      </w:r>
      <w:r>
        <w:rPr>
          <w:rFonts w:hint="eastAsia" w:ascii="仿宋" w:hAnsi="仿宋" w:eastAsia="仿宋" w:cs="仿宋"/>
          <w:color w:val="auto"/>
          <w:sz w:val="32"/>
          <w:szCs w:val="32"/>
          <w:lang w:val="en-US" w:eastAsia="zh-CN"/>
        </w:rPr>
        <w:t>01</w:t>
      </w:r>
      <w:r>
        <w:rPr>
          <w:rFonts w:ascii="仿宋" w:hAnsi="仿宋" w:eastAsia="仿宋" w:cs="仿宋"/>
          <w:color w:val="auto"/>
          <w:sz w:val="32"/>
          <w:szCs w:val="32"/>
        </w:rPr>
        <w:t>月</w:t>
      </w:r>
      <w:r>
        <w:rPr>
          <w:rFonts w:hint="eastAsia" w:ascii="仿宋" w:hAnsi="仿宋" w:eastAsia="仿宋" w:cs="仿宋"/>
          <w:color w:val="auto"/>
          <w:sz w:val="32"/>
          <w:szCs w:val="32"/>
          <w:lang w:val="en-US" w:eastAsia="zh-CN"/>
        </w:rPr>
        <w:t>19</w:t>
      </w:r>
      <w:r>
        <w:rPr>
          <w:rFonts w:ascii="仿宋" w:hAnsi="仿宋" w:eastAsia="仿宋" w:cs="仿宋"/>
          <w:color w:val="auto"/>
          <w:sz w:val="32"/>
          <w:szCs w:val="32"/>
        </w:rPr>
        <w:t>日</w:t>
      </w:r>
      <w:bookmarkEnd w:id="4"/>
    </w:p>
    <w:p>
      <w:r>
        <w:br w:type="page"/>
      </w:r>
    </w:p>
    <w:p>
      <w:pPr>
        <w:spacing w:line="600" w:lineRule="auto"/>
        <w:rPr>
          <w:rFonts w:asciiTheme="minorEastAsia" w:hAnsiTheme="minorEastAsia" w:eastAsiaTheme="minorEastAsia"/>
          <w:sz w:val="24"/>
          <w:szCs w:val="24"/>
        </w:rPr>
        <w:sectPr>
          <w:headerReference r:id="rId3" w:type="default"/>
          <w:pgSz w:w="11907" w:h="16839"/>
          <w:pgMar w:top="1432" w:right="1389" w:bottom="1201" w:left="1389" w:header="852" w:footer="1021" w:gutter="0"/>
          <w:cols w:space="720" w:num="1"/>
        </w:sectPr>
      </w:pPr>
    </w:p>
    <w:p>
      <w:pPr>
        <w:spacing w:before="240" w:beforeLines="100" w:after="120" w:afterLines="50" w:line="360" w:lineRule="auto"/>
        <w:jc w:val="center"/>
        <w:outlineLvl w:val="0"/>
        <w:rPr>
          <w:rFonts w:ascii="宋体" w:hAnsi="宋体" w:eastAsia="宋体" w:cs="宋体"/>
          <w:sz w:val="36"/>
          <w:szCs w:val="36"/>
        </w:rPr>
      </w:pPr>
      <w:bookmarkStart w:id="5" w:name="_Toc1011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5"/>
    </w:p>
    <w:p>
      <w:pPr>
        <w:tabs>
          <w:tab w:val="left" w:pos="2648"/>
        </w:tabs>
        <w:spacing w:line="360" w:lineRule="auto"/>
        <w:rPr>
          <w:rFonts w:ascii="宋体" w:hAnsi="宋体" w:eastAsia="宋体" w:cs="宋体"/>
          <w:sz w:val="24"/>
          <w:szCs w:val="24"/>
        </w:rPr>
      </w:pPr>
      <w:bookmarkStart w:id="6" w:name="_Hlk121147898"/>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sz w:val="24"/>
          <w:szCs w:val="24"/>
          <w:u w:val="single"/>
        </w:rPr>
        <w:t xml:space="preserve"> </w:t>
      </w:r>
      <w:r>
        <w:rPr>
          <w:rFonts w:hint="eastAsia" w:asciiTheme="minorEastAsia" w:hAnsiTheme="minorEastAsia" w:eastAsiaTheme="minorEastAsia"/>
          <w:b w:val="0"/>
          <w:bCs w:val="0"/>
          <w:sz w:val="28"/>
          <w:szCs w:val="28"/>
          <w:highlight w:val="none"/>
          <w:u w:val="single"/>
        </w:rPr>
        <w:t>HXZB202</w:t>
      </w:r>
      <w:r>
        <w:rPr>
          <w:rFonts w:hint="eastAsia" w:asciiTheme="minorEastAsia" w:hAnsiTheme="minorEastAsia" w:eastAsiaTheme="minorEastAsia"/>
          <w:b w:val="0"/>
          <w:bCs w:val="0"/>
          <w:sz w:val="28"/>
          <w:szCs w:val="28"/>
          <w:highlight w:val="none"/>
          <w:u w:val="single"/>
          <w:lang w:val="en-US" w:eastAsia="zh-CN"/>
        </w:rPr>
        <w:t>40119</w:t>
      </w:r>
      <w:r>
        <w:rPr>
          <w:rFonts w:asciiTheme="minorEastAsia" w:hAnsiTheme="minorEastAsia" w:eastAsiaTheme="minorEastAsia"/>
          <w:b w:val="0"/>
          <w:bCs w:val="0"/>
          <w:sz w:val="28"/>
          <w:szCs w:val="28"/>
          <w:highlight w:val="none"/>
          <w:u w:val="single"/>
        </w:rPr>
        <w:t>0</w:t>
      </w:r>
      <w:r>
        <w:rPr>
          <w:rFonts w:hint="eastAsia" w:asciiTheme="minorEastAsia" w:hAnsiTheme="minorEastAsia" w:eastAsiaTheme="minorEastAsia"/>
          <w:b w:val="0"/>
          <w:bCs w:val="0"/>
          <w:sz w:val="28"/>
          <w:szCs w:val="28"/>
          <w:highlight w:val="none"/>
          <w:u w:val="single"/>
        </w:rPr>
        <w:t>1</w:t>
      </w:r>
      <w:r>
        <w:rPr>
          <w:rFonts w:hint="eastAsia" w:ascii="宋体" w:hAnsi="宋体" w:eastAsia="宋体" w:cs="宋体"/>
          <w:spacing w:val="-2"/>
          <w:sz w:val="28"/>
          <w:szCs w:val="28"/>
          <w:u w:val="single"/>
        </w:rPr>
        <w:t xml:space="preserve"> </w:t>
      </w:r>
      <w:r>
        <w:rPr>
          <w:rFonts w:hint="eastAsia" w:ascii="宋体" w:hAnsi="宋体" w:eastAsia="宋体" w:cs="宋体"/>
          <w:sz w:val="24"/>
          <w:szCs w:val="24"/>
        </w:rPr>
        <w:t xml:space="preserve"> ，项目名称：</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 xml:space="preserve"> 机床零部件铸造件采购项目 </w:t>
      </w:r>
      <w:r>
        <w:rPr>
          <w:rFonts w:hint="eastAsia" w:ascii="宋体" w:hAnsi="宋体" w:eastAsia="宋体" w:cs="宋体"/>
          <w:sz w:val="24"/>
          <w:szCs w:val="24"/>
          <w:u w:val="single"/>
        </w:rPr>
        <w:t xml:space="preserve"> </w:t>
      </w:r>
      <w:r>
        <w:rPr>
          <w:rFonts w:ascii="宋体" w:hAnsi="宋体" w:eastAsia="宋体" w:cs="宋体"/>
          <w:sz w:val="24"/>
          <w:szCs w:val="24"/>
        </w:rPr>
        <w:t>。经过对多个单位的初步资格审查，贵单位被</w:t>
      </w:r>
      <w:bookmarkEnd w:id="6"/>
      <w:r>
        <w:rPr>
          <w:rFonts w:ascii="宋体" w:hAnsi="宋体" w:eastAsia="宋体" w:cs="宋体"/>
          <w:sz w:val="24"/>
          <w:szCs w:val="24"/>
        </w:rPr>
        <w:t>选为具有承担提供该采购项目能力的被邀请单位之一</w:t>
      </w:r>
      <w:r>
        <w:rPr>
          <w:rFonts w:hint="eastAsia" w:ascii="宋体" w:hAnsi="宋体" w:eastAsia="宋体" w:cs="宋体"/>
          <w:sz w:val="24"/>
          <w:szCs w:val="24"/>
        </w:rPr>
        <w:t>，</w:t>
      </w:r>
      <w:r>
        <w:rPr>
          <w:rFonts w:ascii="宋体" w:hAnsi="宋体" w:eastAsia="宋体" w:cs="宋体"/>
          <w:sz w:val="24"/>
          <w:szCs w:val="24"/>
        </w:rPr>
        <w:t>特致函邀请贵单位参加该采购项目的投标活动。我们将通过邀请招标方式，最后确定中标单位。</w:t>
      </w:r>
    </w:p>
    <w:p>
      <w:pPr>
        <w:pStyle w:val="25"/>
        <w:numPr>
          <w:ilvl w:val="0"/>
          <w:numId w:val="1"/>
        </w:numPr>
        <w:kinsoku/>
        <w:spacing w:line="360" w:lineRule="auto"/>
        <w:ind w:left="0" w:firstLine="480"/>
        <w:outlineLvl w:val="0"/>
        <w:rPr>
          <w:rFonts w:ascii="宋体" w:hAnsi="宋体" w:eastAsia="宋体" w:cs="宋体"/>
          <w:sz w:val="24"/>
          <w:szCs w:val="24"/>
        </w:rPr>
      </w:pPr>
      <w:bookmarkStart w:id="7" w:name="_Toc30525"/>
      <w:r>
        <w:rPr>
          <w:rFonts w:ascii="宋体" w:hAnsi="宋体" w:eastAsia="宋体" w:cs="宋体"/>
          <w:sz w:val="24"/>
          <w:szCs w:val="24"/>
        </w:rPr>
        <w:t>招标内容、型号规格（见下表）</w:t>
      </w:r>
      <w:bookmarkEnd w:id="7"/>
    </w:p>
    <w:tbl>
      <w:tblPr>
        <w:tblStyle w:val="14"/>
        <w:tblpPr w:leftFromText="180" w:rightFromText="180" w:vertAnchor="text" w:horzAnchor="page" w:tblpXSpec="center" w:tblpY="204"/>
        <w:tblOverlap w:val="never"/>
        <w:tblW w:w="10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5"/>
        <w:gridCol w:w="890"/>
        <w:gridCol w:w="904"/>
        <w:gridCol w:w="640"/>
        <w:gridCol w:w="860"/>
        <w:gridCol w:w="790"/>
        <w:gridCol w:w="720"/>
        <w:gridCol w:w="1720"/>
        <w:gridCol w:w="950"/>
        <w:gridCol w:w="1040"/>
        <w:gridCol w:w="1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lang w:val="en-US" w:eastAsia="zh-CN"/>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名称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产品型号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图号</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材 料</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数量</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规格.mm</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单件重Kg/理论</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6"/>
                <w:szCs w:val="16"/>
                <w:u w:val="none"/>
                <w:lang w:val="en-US"/>
              </w:rPr>
            </w:pPr>
            <w:r>
              <w:rPr>
                <w:rFonts w:hint="eastAsia" w:ascii="宋体" w:hAnsi="宋体" w:eastAsia="宋体" w:cs="宋体"/>
                <w:b/>
                <w:bCs/>
                <w:i w:val="0"/>
                <w:iCs w:val="0"/>
                <w:snapToGrid w:val="0"/>
                <w:color w:val="000000"/>
                <w:kern w:val="0"/>
                <w:sz w:val="16"/>
                <w:szCs w:val="16"/>
                <w:u w:val="none"/>
                <w:lang w:val="en-US" w:eastAsia="zh-CN" w:bidi="ar"/>
              </w:rPr>
              <w:t>小计重量KG</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第一部分</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底座</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G3020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015</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7805×3000×650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11000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33000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工作台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G3020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034</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3000×1600×235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3150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9450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工作台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G2216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031-1</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2200×1400×200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1960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9800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底座</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G2520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013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6805×3000×650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7333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21999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工作台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G2520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033</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2500×1600×235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1975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5925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门桥</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G2520/3020-加高</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052</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3100×800×2430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5193</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15579</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滑鞍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G2520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020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830×640×1210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811</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2433</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滑枕</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G2520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070</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16"/>
                <w:szCs w:val="16"/>
                <w:u w:val="none"/>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450×400×1923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602</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1806</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木模铸造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第一部分重量小计：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b/>
                <w:bCs/>
                <w:i/>
                <w:iCs/>
                <w:snapToGrid w:val="0"/>
                <w:color w:val="000000"/>
                <w:kern w:val="0"/>
                <w:sz w:val="20"/>
                <w:szCs w:val="20"/>
                <w:u w:val="none"/>
                <w:lang w:val="en-US" w:eastAsia="zh-CN" w:bidi="ar"/>
              </w:rPr>
              <w:t>99992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以实际重量结算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第二部分</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底座</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GC1612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3000×1950×480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2386</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7158</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工作台</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GC1612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1600×1000×180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725</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2175</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门桥</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GC1612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2170×560×2300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2307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6921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滑鞍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GC1612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780×595×1210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697</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2091</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滑枕</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GC1612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400×322×1830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454</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1362</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门桥</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GCU3020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3100×3008×800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9000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27000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滑鞍</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900-IV-5A</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1450×965×840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1450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11600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滑枕</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900-IV-5A</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8</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450×400×2490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830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6640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底座</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GCU2016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5305×2650×630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5220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26100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门桥</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GCU2016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HT300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napToGrid w:val="0"/>
                <w:color w:val="000000"/>
                <w:kern w:val="0"/>
                <w:sz w:val="16"/>
                <w:szCs w:val="16"/>
                <w:u w:val="none"/>
                <w:lang w:val="en-US" w:eastAsia="zh-CN" w:bidi="ar"/>
              </w:rPr>
            </w:pPr>
            <w:r>
              <w:rPr>
                <w:rFonts w:hint="eastAsia" w:ascii="宋体" w:hAnsi="宋体" w:eastAsia="宋体" w:cs="宋体"/>
                <w:b w:val="0"/>
                <w:bCs w:val="0"/>
                <w:i w:val="0"/>
                <w:iCs w:val="0"/>
                <w:snapToGrid w:val="0"/>
                <w:color w:val="000000"/>
                <w:kern w:val="0"/>
                <w:sz w:val="16"/>
                <w:szCs w:val="16"/>
                <w:u w:val="none"/>
                <w:lang w:val="en-US" w:eastAsia="zh-CN" w:bidi="ar"/>
              </w:rPr>
              <w:t>5</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2750×3008×800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8400</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42000</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消失模铸造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jc w:val="center"/>
        </w:trPr>
        <w:tc>
          <w:tcPr>
            <w:tcW w:w="61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snapToGrid w:val="0"/>
                <w:color w:val="000000"/>
                <w:kern w:val="0"/>
                <w:sz w:val="16"/>
                <w:szCs w:val="16"/>
                <w:u w:val="none"/>
                <w:lang w:val="en-US" w:eastAsia="zh-CN" w:bidi="ar"/>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6"/>
                <w:szCs w:val="16"/>
                <w:u w:val="none"/>
                <w:lang w:val="en-US" w:eastAsia="zh-CN" w:bidi="ar"/>
              </w:rPr>
            </w:pPr>
          </w:p>
        </w:tc>
        <w:tc>
          <w:tcPr>
            <w:tcW w:w="26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第二部分重量小计：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b/>
                <w:bCs/>
                <w:i/>
                <w:iCs/>
                <w:snapToGrid w:val="0"/>
                <w:color w:val="000000"/>
                <w:kern w:val="0"/>
                <w:sz w:val="20"/>
                <w:szCs w:val="20"/>
                <w:u w:val="none"/>
                <w:lang w:val="en-US" w:eastAsia="zh-CN" w:bidi="ar"/>
              </w:rPr>
              <w:t>133047</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以实际重量结算</w:t>
            </w:r>
          </w:p>
        </w:tc>
      </w:tr>
    </w:tbl>
    <w:p>
      <w:pPr>
        <w:spacing w:before="120" w:beforeLines="50" w:line="360" w:lineRule="auto"/>
        <w:ind w:firstLine="480" w:firstLineChars="200"/>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lang w:val="en-US" w:eastAsia="zh-CN"/>
        </w:rPr>
        <w:t>注：以上明细重量均为理论重量，最终铸件结算均已实际重量结算；</w:t>
      </w:r>
      <w:r>
        <w:rPr>
          <w:rFonts w:ascii="宋体" w:hAnsi="宋体" w:eastAsia="宋体" w:cs="宋体"/>
          <w:sz w:val="24"/>
          <w:szCs w:val="24"/>
        </w:rPr>
        <w:t>具体相关信息如技术参数、规格、质量标准、包装、运输费等要求请与我单位相关人员联系，联系人：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吴光潭</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15959849898</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sz w:val="24"/>
          <w:szCs w:val="24"/>
        </w:rPr>
        <w:t>交货地</w:t>
      </w:r>
      <w:r>
        <w:rPr>
          <w:rFonts w:ascii="宋体" w:hAnsi="宋体" w:eastAsia="宋体" w:cs="宋体"/>
          <w:color w:val="auto"/>
          <w:sz w:val="24"/>
          <w:szCs w:val="24"/>
        </w:rPr>
        <w:t>点：</w:t>
      </w:r>
      <w:r>
        <w:rPr>
          <w:rFonts w:hint="eastAsia" w:ascii="宋体" w:hAnsi="宋体" w:eastAsia="宋体" w:cs="宋体"/>
          <w:color w:val="auto"/>
          <w:sz w:val="24"/>
          <w:szCs w:val="24"/>
        </w:rPr>
        <w:t>中国机械总院集团海西（福建）分院有限公司</w:t>
      </w:r>
      <w:r>
        <w:rPr>
          <w:rFonts w:ascii="宋体" w:hAnsi="宋体" w:eastAsia="宋体" w:cs="宋体"/>
          <w:color w:val="auto"/>
          <w:sz w:val="24"/>
          <w:szCs w:val="24"/>
        </w:rPr>
        <w:t>指定地点。</w:t>
      </w:r>
    </w:p>
    <w:p>
      <w:pPr>
        <w:pStyle w:val="25"/>
        <w:numPr>
          <w:ilvl w:val="0"/>
          <w:numId w:val="1"/>
        </w:numPr>
        <w:kinsoku/>
        <w:spacing w:line="360" w:lineRule="auto"/>
        <w:ind w:left="0" w:firstLine="480"/>
        <w:rPr>
          <w:rFonts w:ascii="宋体" w:hAnsi="宋体" w:eastAsia="宋体" w:cs="宋体"/>
          <w:color w:val="auto"/>
          <w:sz w:val="24"/>
          <w:szCs w:val="24"/>
        </w:rPr>
      </w:pPr>
      <w:bookmarkStart w:id="8" w:name="_Toc5828"/>
      <w:r>
        <w:rPr>
          <w:rFonts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29</w:t>
      </w:r>
      <w:r>
        <w:rPr>
          <w:rFonts w:ascii="宋体" w:hAnsi="宋体" w:eastAsia="宋体" w:cs="宋体"/>
          <w:color w:val="auto"/>
          <w:sz w:val="24"/>
          <w:szCs w:val="24"/>
        </w:rPr>
        <w:t>日</w:t>
      </w:r>
      <w:bookmarkEnd w:id="8"/>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w:t>
      </w:r>
      <w:r>
        <w:rPr>
          <w:rFonts w:hint="eastAsia" w:ascii="宋体" w:hAnsi="宋体" w:eastAsia="宋体" w:cs="宋体"/>
          <w:color w:val="auto"/>
          <w:sz w:val="24"/>
          <w:szCs w:val="24"/>
        </w:rPr>
        <w:t>，副本四份</w:t>
      </w:r>
      <w:r>
        <w:rPr>
          <w:rFonts w:ascii="宋体" w:hAnsi="宋体" w:eastAsia="宋体" w:cs="宋体"/>
          <w:color w:val="auto"/>
          <w:sz w:val="24"/>
          <w:szCs w:val="24"/>
        </w:rPr>
        <w:t>），原则上不接受当面递送。</w:t>
      </w:r>
    </w:p>
    <w:p>
      <w:pPr>
        <w:pStyle w:val="25"/>
        <w:numPr>
          <w:ilvl w:val="0"/>
          <w:numId w:val="1"/>
        </w:numPr>
        <w:kinsoku/>
        <w:spacing w:line="360" w:lineRule="auto"/>
        <w:ind w:left="0" w:firstLine="480"/>
        <w:rPr>
          <w:rFonts w:ascii="宋体" w:hAnsi="宋体" w:eastAsia="宋体" w:cs="宋体"/>
          <w:color w:val="auto"/>
          <w:sz w:val="24"/>
          <w:szCs w:val="24"/>
        </w:rPr>
      </w:pPr>
      <w:r>
        <w:rPr>
          <w:rFonts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2024 </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29</w:t>
      </w:r>
      <w:r>
        <w:rPr>
          <w:rFonts w:ascii="宋体" w:hAnsi="宋体" w:eastAsia="宋体" w:cs="宋体"/>
          <w:color w:val="auto"/>
          <w:sz w:val="24"/>
          <w:szCs w:val="24"/>
        </w:rPr>
        <w:t>日</w:t>
      </w:r>
      <w:r>
        <w:rPr>
          <w:rFonts w:hint="eastAsia" w:ascii="宋体" w:hAnsi="宋体" w:eastAsia="宋体" w:cs="宋体"/>
          <w:color w:val="auto"/>
          <w:sz w:val="24"/>
          <w:szCs w:val="24"/>
          <w:lang w:val="en-US" w:eastAsia="zh-CN"/>
        </w:rPr>
        <w:t xml:space="preserve"> </w:t>
      </w:r>
    </w:p>
    <w:p>
      <w:pPr>
        <w:pStyle w:val="25"/>
        <w:numPr>
          <w:ilvl w:val="0"/>
          <w:numId w:val="1"/>
        </w:numPr>
        <w:kinsoku/>
        <w:spacing w:line="360" w:lineRule="auto"/>
        <w:ind w:left="0" w:firstLine="480"/>
        <w:outlineLvl w:val="0"/>
        <w:rPr>
          <w:rFonts w:ascii="宋体" w:hAnsi="宋体" w:eastAsia="宋体" w:cs="宋体"/>
          <w:sz w:val="24"/>
          <w:szCs w:val="24"/>
        </w:rPr>
      </w:pPr>
      <w:bookmarkStart w:id="9" w:name="_Toc7018"/>
      <w:r>
        <w:rPr>
          <w:rFonts w:ascii="宋体" w:hAnsi="宋体" w:eastAsia="宋体" w:cs="宋体"/>
          <w:sz w:val="24"/>
          <w:szCs w:val="24"/>
        </w:rPr>
        <w:t>相关要求：</w:t>
      </w:r>
      <w:bookmarkEnd w:id="9"/>
    </w:p>
    <w:p>
      <w:pPr>
        <w:widowControl w:val="0"/>
        <w:kinsoku/>
        <w:spacing w:line="360" w:lineRule="auto"/>
        <w:ind w:firstLine="420" w:firstLineChars="200"/>
        <w:rPr>
          <w:rFonts w:ascii="宋体" w:hAnsi="宋体" w:eastAsia="宋体" w:cs="宋体"/>
          <w:sz w:val="24"/>
          <w:szCs w:val="24"/>
        </w:rPr>
      </w:pPr>
      <w:r>
        <w:rPr>
          <w:rFonts w:hint="eastAsia" w:eastAsia="宋体"/>
          <w:lang w:eastAsia="zh-CN"/>
        </w:rPr>
        <w:t>（</w:t>
      </w:r>
      <w:r>
        <w:rPr>
          <w:rFonts w:hint="eastAsia" w:eastAsia="宋体"/>
          <w:lang w:val="en-US" w:eastAsia="zh-CN"/>
        </w:rPr>
        <w:t>1</w:t>
      </w:r>
      <w:r>
        <w:rPr>
          <w:rFonts w:hint="eastAsia" w:eastAsia="宋体"/>
          <w:lang w:eastAsia="zh-CN"/>
        </w:rPr>
        <w:t>）</w:t>
      </w:r>
      <w:r>
        <w:fldChar w:fldCharType="begin"/>
      </w:r>
      <w:r>
        <w:instrText xml:space="preserve"> HYPERLINK "http://www.haosou.com/s?q=%E6%8A%A5%E4%BB%B7%E5%8D%95&amp;ie=utf-8&amp;src=wenda_link" </w:instrText>
      </w:r>
      <w:r>
        <w:fldChar w:fldCharType="separate"/>
      </w:r>
      <w:r>
        <w:rPr>
          <w:rFonts w:ascii="宋体" w:hAnsi="宋体" w:eastAsia="宋体" w:cs="宋体"/>
          <w:sz w:val="24"/>
          <w:szCs w:val="24"/>
        </w:rPr>
        <w:t>投标报价单需按照我公司提供的样表填写，</w:t>
      </w:r>
      <w:r>
        <w:rPr>
          <w:rFonts w:ascii="宋体" w:hAnsi="宋体" w:eastAsia="宋体" w:cs="宋体"/>
          <w:sz w:val="24"/>
          <w:szCs w:val="24"/>
        </w:rPr>
        <w:fldChar w:fldCharType="end"/>
      </w:r>
      <w:r>
        <w:rPr>
          <w:rFonts w:ascii="宋体" w:hAnsi="宋体" w:eastAsia="宋体" w:cs="宋体"/>
          <w:sz w:val="24"/>
          <w:szCs w:val="24"/>
        </w:rPr>
        <w:t>特殊情况可稍作调整，内容必须填写完整、真实和准确。除投标报价表外，不得对文件格式和内容进行修改，如发现投标文件 未按我公司提供的招标文件格式填写，将视为废标。</w:t>
      </w:r>
    </w:p>
    <w:p>
      <w:pPr>
        <w:widowControl w:val="0"/>
        <w:kinsoku/>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密封文件袋上必须标注项目名称和投标单位名称,并注明“正式开标前，不得开启”字样</w:t>
      </w:r>
      <w:r>
        <w:rPr>
          <w:rFonts w:hint="eastAsia" w:ascii="宋体" w:hAnsi="宋体" w:eastAsia="宋体" w:cs="宋体"/>
          <w:sz w:val="24"/>
          <w:szCs w:val="24"/>
        </w:rPr>
        <w:t>。</w:t>
      </w:r>
      <w:r>
        <w:rPr>
          <w:rFonts w:ascii="宋体" w:hAnsi="宋体" w:eastAsia="宋体" w:cs="宋体"/>
          <w:sz w:val="24"/>
          <w:szCs w:val="24"/>
        </w:rPr>
        <w:t xml:space="preserve">投标人投标时应提供加盖单位公章的项目技术方案、供货业绩及营业执照副本、资质证书、 </w:t>
      </w:r>
      <w:r>
        <w:fldChar w:fldCharType="begin"/>
      </w:r>
      <w:r>
        <w:instrText xml:space="preserve"> HYPERLINK "https://baike.baidu.com/item/%E5%AE%89%E5%85%A8%E7%94%9F%E4%BA%A7%E8%AE%B8%E5%8F%AF%E8%AF%81" </w:instrText>
      </w:r>
      <w:r>
        <w:fldChar w:fldCharType="separate"/>
      </w:r>
      <w:r>
        <w:rPr>
          <w:rFonts w:ascii="宋体" w:hAnsi="宋体" w:eastAsia="宋体" w:cs="宋体"/>
          <w:sz w:val="24"/>
          <w:szCs w:val="24"/>
        </w:rPr>
        <w:t>安全生产许可证等</w:t>
      </w:r>
      <w:r>
        <w:rPr>
          <w:rFonts w:ascii="宋体" w:hAnsi="宋体" w:eastAsia="宋体" w:cs="宋体"/>
          <w:sz w:val="24"/>
          <w:szCs w:val="24"/>
        </w:rPr>
        <w:fldChar w:fldCharType="end"/>
      </w:r>
      <w:r>
        <w:rPr>
          <w:rFonts w:ascii="宋体" w:hAnsi="宋体" w:eastAsia="宋体" w:cs="宋体"/>
          <w:sz w:val="24"/>
          <w:szCs w:val="24"/>
        </w:rPr>
        <w:t>证书复印件。</w:t>
      </w:r>
    </w:p>
    <w:p>
      <w:pPr>
        <w:widowControl w:val="0"/>
        <w:kinsoku/>
        <w:spacing w:line="360" w:lineRule="auto"/>
        <w:ind w:firstLine="480" w:firstLineChars="200"/>
        <w:rPr>
          <w:rFonts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w:t>
      </w:r>
      <w:r>
        <w:rPr>
          <w:rFonts w:ascii="宋体" w:hAnsi="宋体" w:eastAsia="宋体" w:cs="宋体"/>
          <w:snapToGrid w:val="0"/>
          <w:color w:val="000000"/>
          <w:sz w:val="24"/>
          <w:szCs w:val="24"/>
          <w:lang w:val="en-US" w:eastAsia="zh-CN" w:bidi="ar-SA"/>
        </w:rPr>
        <w:t>13%</w:t>
      </w:r>
      <w:r>
        <w:rPr>
          <w:rFonts w:hint="eastAsia" w:ascii="宋体" w:hAnsi="宋体" w:eastAsia="宋体" w:cs="宋体"/>
          <w:snapToGrid w:val="0"/>
          <w:color w:val="000000"/>
          <w:sz w:val="24"/>
          <w:szCs w:val="24"/>
          <w:lang w:val="en-US" w:eastAsia="zh-CN" w:bidi="ar-SA"/>
        </w:rPr>
        <w:t>。</w:t>
      </w:r>
    </w:p>
    <w:p>
      <w:pPr>
        <w:pStyle w:val="25"/>
        <w:numPr>
          <w:ilvl w:val="0"/>
          <w:numId w:val="1"/>
        </w:numPr>
        <w:kinsoku/>
        <w:spacing w:line="360" w:lineRule="auto"/>
        <w:ind w:left="0" w:firstLine="480"/>
        <w:rPr>
          <w:rFonts w:ascii="宋体" w:hAnsi="宋体" w:eastAsia="宋体" w:cs="宋体"/>
          <w:sz w:val="24"/>
          <w:szCs w:val="24"/>
        </w:rPr>
      </w:pPr>
      <w:r>
        <w:rPr>
          <w:rFonts w:ascii="宋体" w:hAnsi="宋体" w:eastAsia="宋体" w:cs="宋体"/>
          <w:sz w:val="24"/>
          <w:szCs w:val="24"/>
        </w:rPr>
        <w:t>凡对本次招标的有关事项需要咨询或有异议时</w:t>
      </w:r>
      <w:r>
        <w:rPr>
          <w:rFonts w:hint="eastAsia" w:ascii="宋体" w:hAnsi="宋体" w:eastAsia="宋体" w:cs="宋体"/>
          <w:sz w:val="24"/>
          <w:szCs w:val="24"/>
        </w:rPr>
        <w:t>，</w:t>
      </w:r>
      <w:r>
        <w:rPr>
          <w:rFonts w:ascii="宋体" w:hAnsi="宋体" w:eastAsia="宋体" w:cs="宋体"/>
          <w:sz w:val="24"/>
          <w:szCs w:val="24"/>
        </w:rPr>
        <w:t>请</w:t>
      </w:r>
      <w:r>
        <w:rPr>
          <w:rFonts w:ascii="宋体" w:hAnsi="宋体" w:eastAsia="宋体" w:cs="宋体"/>
          <w:color w:val="auto"/>
          <w:sz w:val="24"/>
          <w:szCs w:val="24"/>
        </w:rPr>
        <w:t>在</w:t>
      </w:r>
      <w:r>
        <w:rPr>
          <w:rFonts w:hint="eastAsia" w:ascii="宋体" w:hAnsi="宋体" w:eastAsia="宋体" w:cs="宋体"/>
          <w:color w:val="auto"/>
          <w:sz w:val="24"/>
          <w:szCs w:val="24"/>
          <w:lang w:val="en-US" w:eastAsia="zh-CN"/>
        </w:rPr>
        <w:t>2024</w:t>
      </w:r>
      <w:r>
        <w:rPr>
          <w:rFonts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ascii="宋体" w:hAnsi="宋体" w:eastAsia="宋体" w:cs="宋体"/>
          <w:color w:val="auto"/>
          <w:sz w:val="24"/>
          <w:szCs w:val="24"/>
        </w:rPr>
        <w:t>日前</w:t>
      </w:r>
      <w:r>
        <w:rPr>
          <w:rFonts w:ascii="宋体" w:hAnsi="宋体" w:eastAsia="宋体" w:cs="宋体"/>
          <w:sz w:val="24"/>
          <w:szCs w:val="24"/>
        </w:rPr>
        <w:t>与相关负责人联系</w:t>
      </w:r>
      <w:r>
        <w:rPr>
          <w:rFonts w:hint="eastAsia" w:ascii="宋体" w:hAnsi="宋体" w:eastAsia="宋体" w:cs="宋体"/>
          <w:sz w:val="24"/>
          <w:szCs w:val="24"/>
        </w:rPr>
        <w:t>。关</w:t>
      </w:r>
      <w:r>
        <w:rPr>
          <w:rFonts w:ascii="宋体" w:hAnsi="宋体" w:eastAsia="宋体" w:cs="宋体"/>
          <w:sz w:val="24"/>
          <w:szCs w:val="24"/>
        </w:rPr>
        <w:t>于评标结果</w:t>
      </w:r>
      <w:r>
        <w:rPr>
          <w:rFonts w:hint="eastAsia" w:ascii="宋体" w:hAnsi="宋体" w:eastAsia="宋体" w:cs="宋体"/>
          <w:sz w:val="24"/>
          <w:szCs w:val="24"/>
        </w:rPr>
        <w:t>，</w:t>
      </w:r>
      <w:r>
        <w:rPr>
          <w:rFonts w:ascii="宋体" w:hAnsi="宋体" w:eastAsia="宋体" w:cs="宋体"/>
          <w:sz w:val="24"/>
          <w:szCs w:val="24"/>
        </w:rPr>
        <w:t>我们将会在评标结束之后第一时间告知。</w:t>
      </w:r>
    </w:p>
    <w:p>
      <w:pPr>
        <w:pStyle w:val="25"/>
        <w:numPr>
          <w:ilvl w:val="0"/>
          <w:numId w:val="1"/>
        </w:numPr>
        <w:kinsoku/>
        <w:spacing w:line="360" w:lineRule="auto"/>
        <w:ind w:left="0" w:firstLine="480"/>
        <w:outlineLvl w:val="0"/>
        <w:rPr>
          <w:rFonts w:ascii="宋体" w:hAnsi="宋体" w:eastAsia="宋体" w:cs="宋体"/>
          <w:sz w:val="24"/>
          <w:szCs w:val="24"/>
        </w:rPr>
      </w:pPr>
      <w:bookmarkStart w:id="10" w:name="_Toc30078"/>
      <w:r>
        <w:rPr>
          <w:rFonts w:ascii="宋体" w:hAnsi="宋体" w:eastAsia="宋体" w:cs="宋体"/>
          <w:sz w:val="24"/>
          <w:szCs w:val="24"/>
        </w:rPr>
        <w:t>联系方式</w:t>
      </w:r>
      <w:bookmarkEnd w:id="10"/>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招 标 人：中国机械总院集团海西（福建）分院有限公司</w:t>
      </w:r>
    </w:p>
    <w:p>
      <w:pPr>
        <w:tabs>
          <w:tab w:val="left" w:pos="1446"/>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李浩东</w:t>
      </w:r>
    </w:p>
    <w:p>
      <w:pPr>
        <w:tabs>
          <w:tab w:val="left" w:pos="1446"/>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联系电话：0598</w:t>
      </w:r>
      <w:r>
        <w:rPr>
          <w:rFonts w:ascii="宋体" w:hAnsi="宋体" w:eastAsia="宋体" w:cs="宋体"/>
          <w:sz w:val="24"/>
          <w:szCs w:val="24"/>
        </w:rPr>
        <w:t>-</w:t>
      </w:r>
      <w:r>
        <w:rPr>
          <w:rFonts w:hint="eastAsia" w:ascii="宋体" w:hAnsi="宋体" w:eastAsia="宋体" w:cs="宋体"/>
          <w:sz w:val="24"/>
          <w:szCs w:val="24"/>
        </w:rPr>
        <w:t>8050808、</w:t>
      </w:r>
      <w:r>
        <w:rPr>
          <w:rFonts w:hint="eastAsia" w:ascii="宋体" w:hAnsi="宋体" w:eastAsia="宋体" w:cs="宋体"/>
          <w:sz w:val="24"/>
          <w:szCs w:val="24"/>
          <w:lang w:val="en-US" w:eastAsia="zh-CN"/>
        </w:rPr>
        <w:t>18707194032</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纪检监督电话：0598</w:t>
      </w:r>
      <w:r>
        <w:rPr>
          <w:rFonts w:ascii="宋体" w:hAnsi="宋体" w:eastAsia="宋体" w:cs="宋体"/>
          <w:sz w:val="24"/>
          <w:szCs w:val="24"/>
        </w:rPr>
        <w:t>-</w:t>
      </w:r>
      <w:r>
        <w:rPr>
          <w:rFonts w:hint="eastAsia" w:ascii="宋体" w:hAnsi="宋体" w:eastAsia="宋体" w:cs="宋体"/>
          <w:sz w:val="24"/>
          <w:szCs w:val="24"/>
        </w:rPr>
        <w:t xml:space="preserve">8050668  </w:t>
      </w:r>
    </w:p>
    <w:p>
      <w:pPr>
        <w:tabs>
          <w:tab w:val="left" w:pos="1446"/>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    址：福建省三明市沙县区金沙园开发区创新东路413号</w:t>
      </w:r>
    </w:p>
    <w:p>
      <w:pPr>
        <w:spacing w:line="360" w:lineRule="auto"/>
        <w:rPr>
          <w:rFonts w:ascii="黑体"/>
        </w:rPr>
      </w:pPr>
    </w:p>
    <w:p>
      <w:pPr>
        <w:spacing w:line="360" w:lineRule="auto"/>
        <w:ind w:firstLine="459"/>
        <w:jc w:val="right"/>
        <w:rPr>
          <w:rFonts w:ascii="宋体" w:hAnsi="宋体" w:eastAsia="宋体" w:cs="宋体"/>
          <w:sz w:val="24"/>
          <w:szCs w:val="24"/>
        </w:rPr>
      </w:pPr>
      <w:r>
        <w:rPr>
          <w:rFonts w:hint="eastAsia" w:ascii="宋体" w:hAnsi="宋体" w:eastAsia="宋体" w:cs="宋体"/>
          <w:sz w:val="24"/>
          <w:szCs w:val="24"/>
        </w:rPr>
        <w:t>中国机械总院集团海西（福建）分院有限公司</w:t>
      </w:r>
      <w:r>
        <w:rPr>
          <w:rFonts w:ascii="宋体" w:hAnsi="宋体" w:eastAsia="宋体" w:cs="宋体"/>
          <w:sz w:val="24"/>
          <w:szCs w:val="24"/>
        </w:rPr>
        <w:t xml:space="preserve"> </w:t>
      </w:r>
    </w:p>
    <w:p>
      <w:pPr>
        <w:spacing w:line="360" w:lineRule="auto"/>
        <w:ind w:firstLine="459"/>
        <w:jc w:val="center"/>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 xml:space="preserve">  </w:t>
      </w:r>
      <w:r>
        <w:rPr>
          <w:rFonts w:ascii="宋体" w:hAnsi="宋体" w:eastAsia="宋体" w:cs="宋体"/>
          <w:sz w:val="24"/>
          <w:szCs w:val="24"/>
        </w:rPr>
        <w:t>招标委员会办公室</w:t>
      </w:r>
    </w:p>
    <w:p>
      <w:pPr>
        <w:spacing w:line="360" w:lineRule="auto"/>
        <w:ind w:firstLine="6480" w:firstLineChars="2700"/>
        <w:rPr>
          <w:rFonts w:ascii="宋体" w:hAnsi="宋体" w:eastAsia="宋体" w:cs="宋体"/>
          <w:sz w:val="24"/>
          <w:szCs w:val="24"/>
        </w:rPr>
      </w:pPr>
      <w:r>
        <w:rPr>
          <w:rFonts w:hint="eastAsia" w:ascii="宋体" w:hAnsi="宋体" w:eastAsia="宋体" w:cs="宋体"/>
          <w:sz w:val="24"/>
          <w:szCs w:val="24"/>
          <w:lang w:val="en-US" w:eastAsia="zh-CN"/>
        </w:rPr>
        <w:t>2024</w:t>
      </w:r>
      <w:r>
        <w:rPr>
          <w:rFonts w:ascii="宋体" w:hAnsi="宋体" w:eastAsia="宋体" w:cs="宋体"/>
          <w:sz w:val="24"/>
          <w:szCs w:val="24"/>
        </w:rPr>
        <w:t>年</w:t>
      </w:r>
      <w:r>
        <w:rPr>
          <w:rFonts w:hint="eastAsia" w:ascii="宋体" w:hAnsi="宋体" w:eastAsia="宋体" w:cs="宋体"/>
          <w:sz w:val="24"/>
          <w:szCs w:val="24"/>
          <w:lang w:val="en-US" w:eastAsia="zh-CN"/>
        </w:rPr>
        <w:t>01</w:t>
      </w:r>
      <w:r>
        <w:rPr>
          <w:rFonts w:ascii="宋体" w:hAnsi="宋体" w:eastAsia="宋体" w:cs="宋体"/>
          <w:sz w:val="24"/>
          <w:szCs w:val="24"/>
        </w:rPr>
        <w:t>月</w:t>
      </w:r>
      <w:r>
        <w:rPr>
          <w:rFonts w:hint="eastAsia" w:ascii="宋体" w:hAnsi="宋体" w:eastAsia="宋体" w:cs="宋体"/>
          <w:sz w:val="24"/>
          <w:szCs w:val="24"/>
          <w:lang w:val="en-US" w:eastAsia="zh-CN"/>
        </w:rPr>
        <w:t>19</w:t>
      </w:r>
      <w:r>
        <w:rPr>
          <w:rFonts w:ascii="宋体" w:hAnsi="宋体" w:eastAsia="宋体" w:cs="宋体"/>
          <w:sz w:val="24"/>
          <w:szCs w:val="24"/>
        </w:rPr>
        <w:t>日</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技术要求</w:t>
      </w:r>
    </w:p>
    <w:p>
      <w:pPr>
        <w:pStyle w:val="5"/>
        <w:spacing w:line="360" w:lineRule="auto"/>
      </w:pPr>
      <w:r>
        <w:rPr>
          <w:rFonts w:hint="eastAsia"/>
        </w:rPr>
        <w:t>投标人应满足以下要求：</w:t>
      </w:r>
    </w:p>
    <w:p>
      <w:pPr>
        <w:pStyle w:val="25"/>
        <w:numPr>
          <w:ilvl w:val="0"/>
          <w:numId w:val="2"/>
        </w:numPr>
        <w:kinsoku/>
        <w:spacing w:line="360" w:lineRule="auto"/>
        <w:ind w:left="0" w:firstLine="424" w:firstLineChars="177"/>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铸件材质牌号HT300。其余参考机械行业标准JB/T3997-2001执行。模具采用消失模浇铸，铸件浇注前铸造铁水应进行国家标准规定的相应检测以确保铸件化学成分。铸件浇铸完成后，供方应及时将铁水材质化验报告及浇注试样提供给甲方。甲方验收产品零件时，供方应向需方提供所有铸件相对应的化学成份化验报告和铸件硬度检测报告、铸件试样机械性能检测报告及尺寸检测报告，硬度必须在HB180~220之间。如无法完整提供上述资料，需方有权不予验收。</w:t>
      </w:r>
    </w:p>
    <w:p>
      <w:pPr>
        <w:pStyle w:val="25"/>
        <w:numPr>
          <w:ilvl w:val="0"/>
          <w:numId w:val="2"/>
        </w:numPr>
        <w:kinsoku/>
        <w:spacing w:line="360" w:lineRule="auto"/>
        <w:ind w:left="0" w:firstLine="424" w:firstLineChars="177"/>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铸件表面应平整，不得有砂眼、气孔、夹、冷隔、裂纹等铸造缺陷，铸件不得有缩松，尤其是导轨平面不允许有任何铸造缺陷，如砂眼、砂孔、裂纹、夹砂、冷隔及缩松，铸件必须清砂干净并按国家标准进行相应打磨。其余参考国际标准IS185:1988E执行。若供方制造铸件无法达到需方技术要求，需方有权不给予验收，并要求供方重新制造，由此产生的相应损失由供方承担。</w:t>
      </w:r>
    </w:p>
    <w:p>
      <w:pPr>
        <w:pStyle w:val="25"/>
        <w:numPr>
          <w:ilvl w:val="0"/>
          <w:numId w:val="2"/>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sz w:val="24"/>
          <w:szCs w:val="24"/>
          <w:lang w:val="en-US" w:eastAsia="zh-CN"/>
        </w:rPr>
        <w:t>铸件必须进行一次退火热时效处理，退火处理严格按国家及行业有关大型铸件退火工艺标准及规范处理，铸件清砂完成后第一次退火处理时，应通知甲方人员对退火过程进行监督。</w:t>
      </w:r>
    </w:p>
    <w:p>
      <w:pPr>
        <w:pStyle w:val="25"/>
        <w:numPr>
          <w:ilvl w:val="0"/>
          <w:numId w:val="2"/>
        </w:numPr>
        <w:kinsoku/>
        <w:spacing w:line="360" w:lineRule="auto"/>
        <w:ind w:left="0" w:firstLine="424" w:firstLineChars="177"/>
        <w:rPr>
          <w:rFonts w:hint="eastAsia" w:cs="宋体" w:asciiTheme="majorEastAsia" w:hAnsiTheme="majorEastAsia" w:eastAsiaTheme="majorEastAsia"/>
          <w:snapToGrid w:val="0"/>
          <w:color w:val="000000"/>
          <w:sz w:val="24"/>
          <w:szCs w:val="24"/>
          <w:lang w:val="en-US" w:eastAsia="zh-CN" w:bidi="ar-SA"/>
        </w:rPr>
      </w:pPr>
      <w:r>
        <w:rPr>
          <w:rFonts w:hint="eastAsia" w:cs="宋体" w:asciiTheme="majorEastAsia" w:hAnsiTheme="majorEastAsia" w:eastAsiaTheme="majorEastAsia"/>
          <w:color w:val="FF0000"/>
          <w:sz w:val="24"/>
          <w:szCs w:val="24"/>
          <w:lang w:val="en-US" w:eastAsia="zh-CN"/>
        </w:rPr>
        <w:t>*</w:t>
      </w:r>
      <w:r>
        <w:rPr>
          <w:rFonts w:hint="eastAsia" w:cs="宋体" w:asciiTheme="majorEastAsia" w:hAnsiTheme="majorEastAsia" w:eastAsiaTheme="majorEastAsia"/>
          <w:sz w:val="24"/>
          <w:szCs w:val="24"/>
          <w:lang w:val="en-US" w:eastAsia="zh-CN"/>
        </w:rPr>
        <w:t>铸造件交付时间：2024年3月20日前。</w:t>
      </w:r>
    </w:p>
    <w:p>
      <w:pPr>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br w:type="page"/>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p>
    <w:p>
      <w:pPr>
        <w:kinsoku/>
        <w:spacing w:line="360" w:lineRule="auto"/>
        <w:ind w:firstLine="439" w:firstLineChars="182"/>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一、投标要求</w:t>
      </w:r>
    </w:p>
    <w:p>
      <w:pPr>
        <w:pStyle w:val="25"/>
        <w:numPr>
          <w:ilvl w:val="0"/>
          <w:numId w:val="3"/>
        </w:numPr>
        <w:kinsoku/>
        <w:spacing w:line="360" w:lineRule="auto"/>
        <w:ind w:left="0" w:firstLine="436" w:firstLineChars="182"/>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投标人应遵守国家有关招标投标法律、法规、部门规章和规范性文件。</w:t>
      </w:r>
    </w:p>
    <w:p>
      <w:pPr>
        <w:pStyle w:val="25"/>
        <w:numPr>
          <w:ilvl w:val="0"/>
          <w:numId w:val="3"/>
        </w:numPr>
        <w:kinsoku/>
        <w:spacing w:line="360" w:lineRule="auto"/>
        <w:ind w:left="0" w:firstLine="424" w:firstLineChars="177"/>
        <w:outlineLvl w:val="0"/>
        <w:rPr>
          <w:rFonts w:cs="宋体" w:asciiTheme="majorEastAsia" w:hAnsiTheme="majorEastAsia" w:eastAsiaTheme="majorEastAsia"/>
          <w:sz w:val="24"/>
          <w:szCs w:val="24"/>
        </w:rPr>
      </w:pPr>
      <w:bookmarkStart w:id="11" w:name="_Toc14879"/>
      <w:r>
        <w:rPr>
          <w:rFonts w:cs="宋体" w:asciiTheme="majorEastAsia" w:hAnsiTheme="majorEastAsia" w:eastAsiaTheme="majorEastAsia"/>
          <w:sz w:val="24"/>
          <w:szCs w:val="24"/>
        </w:rPr>
        <w:t>投标资</w:t>
      </w:r>
      <w:r>
        <w:rPr>
          <w:rFonts w:hint="eastAsia" w:cs="宋体" w:asciiTheme="majorEastAsia" w:hAnsiTheme="majorEastAsia" w:eastAsiaTheme="majorEastAsia"/>
          <w:sz w:val="24"/>
          <w:szCs w:val="24"/>
        </w:rPr>
        <w:t>格（包括但不限于）：</w:t>
      </w:r>
      <w:bookmarkEnd w:id="11"/>
    </w:p>
    <w:p>
      <w:pPr>
        <w:numPr>
          <w:ilvl w:val="0"/>
          <w:numId w:val="4"/>
        </w:numPr>
        <w:kinsoku/>
        <w:spacing w:line="360" w:lineRule="auto"/>
        <w:ind w:left="0" w:firstLine="480" w:firstLineChars="200"/>
        <w:rPr>
          <w:rFonts w:cs="宋体" w:asciiTheme="majorEastAsia" w:hAnsiTheme="majorEastAsia" w:eastAsiaTheme="majorEastAsia"/>
          <w:color w:val="auto"/>
          <w:position w:val="5"/>
          <w:sz w:val="24"/>
          <w:szCs w:val="24"/>
        </w:rPr>
      </w:pPr>
      <w:r>
        <w:rPr>
          <w:rFonts w:hint="eastAsia" w:cs="宋体" w:asciiTheme="majorEastAsia" w:hAnsiTheme="majorEastAsia" w:eastAsiaTheme="majorEastAsia"/>
          <w:color w:val="auto"/>
          <w:position w:val="5"/>
          <w:sz w:val="24"/>
          <w:szCs w:val="24"/>
        </w:rPr>
        <w:t>投标人投标时应提供加盖其单位公章的营业执照副本、资质证书</w:t>
      </w:r>
      <w:r>
        <w:fldChar w:fldCharType="begin"/>
      </w:r>
      <w:r>
        <w:instrText xml:space="preserve"> HYPERLINK "https://baike.baidu.com/item/%E5%AE%89%E5%85%A8%E7%94%9F%E4%BA%A7%E8%AE%B8%E5%8F%AF%E8%AF%81" </w:instrText>
      </w:r>
      <w:r>
        <w:fldChar w:fldCharType="separate"/>
      </w:r>
      <w:r>
        <w:rPr>
          <w:rFonts w:hint="eastAsia" w:cs="宋体" w:asciiTheme="majorEastAsia" w:hAnsiTheme="majorEastAsia" w:eastAsiaTheme="majorEastAsia"/>
          <w:color w:val="auto"/>
          <w:position w:val="5"/>
          <w:sz w:val="24"/>
          <w:szCs w:val="24"/>
        </w:rPr>
        <w:t>等证书复印件</w:t>
      </w:r>
      <w:r>
        <w:rPr>
          <w:rFonts w:hint="eastAsia" w:cs="宋体" w:asciiTheme="majorEastAsia" w:hAnsiTheme="majorEastAsia" w:eastAsiaTheme="majorEastAsia"/>
          <w:color w:val="auto"/>
          <w:position w:val="5"/>
          <w:sz w:val="24"/>
          <w:szCs w:val="24"/>
        </w:rPr>
        <w:fldChar w:fldCharType="end"/>
      </w:r>
    </w:p>
    <w:p>
      <w:pPr>
        <w:numPr>
          <w:ilvl w:val="0"/>
          <w:numId w:val="4"/>
        </w:numPr>
        <w:tabs>
          <w:tab w:val="left" w:pos="620"/>
        </w:tabs>
        <w:kinsoku/>
        <w:spacing w:line="360" w:lineRule="auto"/>
        <w:ind w:left="0"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供货业绩</w:t>
      </w:r>
    </w:p>
    <w:p>
      <w:pPr>
        <w:kinsoku/>
        <w:spacing w:line="360" w:lineRule="auto"/>
        <w:ind w:left="1" w:right="64"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 投标费用：投标人应承担投标过程中所涉及的一切费用，不管投标结果如何，招标人对上述费用不负任何责任。</w:t>
      </w:r>
    </w:p>
    <w:p>
      <w:pPr>
        <w:kinsoku/>
        <w:spacing w:line="360" w:lineRule="auto"/>
        <w:ind w:firstLine="482" w:firstLineChars="20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二、投标报价</w:t>
      </w:r>
    </w:p>
    <w:p>
      <w:pPr>
        <w:pStyle w:val="25"/>
        <w:numPr>
          <w:ilvl w:val="0"/>
          <w:numId w:val="2"/>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投标报价要求按招标文件要求报价，并按招标文件中所</w:t>
      </w:r>
      <w:r>
        <w:rPr>
          <w:rFonts w:cs="宋体" w:asciiTheme="majorEastAsia" w:hAnsiTheme="majorEastAsia" w:eastAsiaTheme="majorEastAsia"/>
          <w:sz w:val="24"/>
          <w:szCs w:val="24"/>
        </w:rPr>
        <w:t>附《投标函》《投标报价表》格式填写。</w:t>
      </w:r>
      <w:bookmarkStart w:id="12" w:name="_Toc4816"/>
    </w:p>
    <w:p>
      <w:pPr>
        <w:pStyle w:val="25"/>
        <w:numPr>
          <w:ilvl w:val="0"/>
          <w:numId w:val="2"/>
        </w:numPr>
        <w:kinsoku/>
        <w:spacing w:line="360" w:lineRule="auto"/>
        <w:ind w:left="0" w:firstLine="439" w:firstLineChars="183"/>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所有投标均以人民币报价。</w:t>
      </w:r>
      <w:bookmarkEnd w:id="12"/>
    </w:p>
    <w:p>
      <w:pPr>
        <w:pStyle w:val="25"/>
        <w:numPr>
          <w:ilvl w:val="0"/>
          <w:numId w:val="2"/>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投标人所报单价在本招标文件项下的合同履行期间不能因市场变化因素而变动。</w:t>
      </w:r>
    </w:p>
    <w:p>
      <w:pPr>
        <w:pStyle w:val="25"/>
        <w:numPr>
          <w:ilvl w:val="0"/>
          <w:numId w:val="2"/>
        </w:numPr>
        <w:kinsoku/>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投标人所报的各种价格均为含税到招标人指定地点交货价（包含产品包装、运输、装卸</w:t>
      </w:r>
      <w:r>
        <w:rPr>
          <w:rFonts w:cs="宋体" w:asciiTheme="majorEastAsia" w:hAnsiTheme="majorEastAsia" w:eastAsiaTheme="majorEastAsia"/>
          <w:sz w:val="24"/>
          <w:szCs w:val="24"/>
        </w:rPr>
        <w:t xml:space="preserve"> 等相关费用）</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投标报价以元为单位，精确到小数点后两位数，超出两位按四舍五入计</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包装物投标人不回收，费用由投标人负担。</w:t>
      </w:r>
    </w:p>
    <w:p>
      <w:pPr>
        <w:pStyle w:val="25"/>
        <w:numPr>
          <w:ilvl w:val="0"/>
          <w:numId w:val="2"/>
        </w:numPr>
        <w:kinsoku/>
        <w:topLinePunct/>
        <w:autoSpaceDN/>
        <w:spacing w:line="360" w:lineRule="auto"/>
        <w:ind w:left="0" w:firstLine="424" w:firstLineChars="177"/>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招标人有权重视各投标人全部报价的合理性。所有投标人不能相互串通、哄抬报价，</w:t>
      </w:r>
      <w:r>
        <w:rPr>
          <w:rFonts w:cs="宋体" w:asciiTheme="majorEastAsia" w:hAnsiTheme="majorEastAsia" w:eastAsiaTheme="majorEastAsia"/>
          <w:sz w:val="24"/>
          <w:szCs w:val="24"/>
        </w:rPr>
        <w:t>若有发现，招标人有权宣布其投标无效。</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三、投标文件</w:t>
      </w:r>
    </w:p>
    <w:p>
      <w:pPr>
        <w:pStyle w:val="25"/>
        <w:numPr>
          <w:ilvl w:val="0"/>
          <w:numId w:val="5"/>
        </w:numPr>
        <w:kinsoku/>
        <w:spacing w:line="360" w:lineRule="auto"/>
        <w:ind w:left="0" w:firstLine="480"/>
        <w:outlineLvl w:val="0"/>
        <w:rPr>
          <w:rFonts w:cs="宋体" w:asciiTheme="majorEastAsia" w:hAnsiTheme="majorEastAsia" w:eastAsiaTheme="majorEastAsia"/>
          <w:sz w:val="24"/>
          <w:szCs w:val="24"/>
        </w:rPr>
      </w:pPr>
      <w:bookmarkStart w:id="13" w:name="_Toc30571"/>
      <w:r>
        <w:rPr>
          <w:rFonts w:cs="宋体" w:asciiTheme="majorEastAsia" w:hAnsiTheme="majorEastAsia" w:eastAsiaTheme="majorEastAsia"/>
          <w:sz w:val="24"/>
          <w:szCs w:val="24"/>
        </w:rPr>
        <w:t>投标人应填写其单位名称全称。</w:t>
      </w:r>
      <w:bookmarkEnd w:id="13"/>
    </w:p>
    <w:p>
      <w:pPr>
        <w:pStyle w:val="25"/>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投标文件包括《投标函》《投标报价表》</w:t>
      </w:r>
      <w:r>
        <w:rPr>
          <w:rFonts w:hint="eastAsia" w:cs="宋体" w:asciiTheme="majorEastAsia" w:hAnsiTheme="majorEastAsia" w:eastAsiaTheme="majorEastAsia"/>
          <w:sz w:val="24"/>
          <w:szCs w:val="24"/>
        </w:rPr>
        <w:t>《投标人产品质量承诺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和资格证明文件。资格证明文件包含上述投标资格要求中的所有资料。</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《投标函》《投标报价表》《投标人产品质量承诺</w:t>
      </w:r>
      <w:r>
        <w:rPr>
          <w:rFonts w:cs="宋体" w:asciiTheme="majorEastAsia" w:hAnsiTheme="majorEastAsia" w:eastAsiaTheme="majorEastAsia"/>
          <w:sz w:val="24"/>
          <w:szCs w:val="24"/>
        </w:rPr>
        <w:t>函</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须加盖投标人公章，由其法定代表人或其委托代理人亲笔签字。</w:t>
      </w:r>
    </w:p>
    <w:p>
      <w:pPr>
        <w:pStyle w:val="25"/>
        <w:widowControl w:val="0"/>
        <w:numPr>
          <w:ilvl w:val="0"/>
          <w:numId w:val="5"/>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自开标之日起60天内，投标文件应保持有效。有效期短于前述规定期限的投标，将被拒绝。</w:t>
      </w:r>
    </w:p>
    <w:p>
      <w:pPr>
        <w:kinsoku/>
        <w:spacing w:line="360" w:lineRule="auto"/>
        <w:ind w:firstLine="482" w:firstLineChars="200"/>
        <w:rPr>
          <w:rFonts w:cs="黑体" w:asciiTheme="majorEastAsia" w:hAnsiTheme="majorEastAsia" w:eastAsiaTheme="majorEastAsia"/>
          <w:b/>
          <w:bCs/>
          <w:sz w:val="24"/>
          <w:szCs w:val="24"/>
        </w:rPr>
      </w:pPr>
      <w:r>
        <w:rPr>
          <w:rFonts w:cs="黑体" w:asciiTheme="majorEastAsia" w:hAnsiTheme="majorEastAsia" w:eastAsiaTheme="majorEastAsia"/>
          <w:b/>
          <w:bCs/>
          <w:sz w:val="24"/>
          <w:szCs w:val="24"/>
        </w:rPr>
        <w:t>四、开标、评标、定标</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4" w:name="_Toc5695"/>
      <w:r>
        <w:rPr>
          <w:rFonts w:cs="宋体" w:asciiTheme="majorEastAsia" w:hAnsiTheme="majorEastAsia" w:eastAsiaTheme="majorEastAsia"/>
          <w:sz w:val="24"/>
          <w:szCs w:val="24"/>
        </w:rPr>
        <w:t>开标时，将按照招标人有关招投标规定执行。</w:t>
      </w:r>
      <w:bookmarkEnd w:id="14"/>
    </w:p>
    <w:p>
      <w:pPr>
        <w:pStyle w:val="25"/>
        <w:numPr>
          <w:ilvl w:val="0"/>
          <w:numId w:val="6"/>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开标后由招标人组建的评标委员会进行评标，以经评审的最低评标价法确定中标人。</w:t>
      </w:r>
    </w:p>
    <w:p>
      <w:pPr>
        <w:pStyle w:val="25"/>
        <w:numPr>
          <w:ilvl w:val="0"/>
          <w:numId w:val="6"/>
        </w:numPr>
        <w:kinsoku/>
        <w:spacing w:line="360" w:lineRule="auto"/>
        <w:ind w:left="0" w:firstLine="480"/>
        <w:outlineLvl w:val="0"/>
        <w:rPr>
          <w:rFonts w:cs="宋体" w:asciiTheme="majorEastAsia" w:hAnsiTheme="majorEastAsia" w:eastAsiaTheme="majorEastAsia"/>
          <w:sz w:val="24"/>
          <w:szCs w:val="24"/>
        </w:rPr>
      </w:pPr>
      <w:bookmarkStart w:id="15" w:name="_Toc18886"/>
      <w:r>
        <w:rPr>
          <w:rFonts w:cs="宋体" w:asciiTheme="majorEastAsia" w:hAnsiTheme="majorEastAsia" w:eastAsiaTheme="majorEastAsia"/>
          <w:sz w:val="24"/>
          <w:szCs w:val="24"/>
        </w:rPr>
        <w:t>招标人不对未中标的投标人作任何解释，不退还投标文件。</w:t>
      </w:r>
      <w:bookmarkEnd w:id="15"/>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五</w:t>
      </w:r>
      <w:r>
        <w:rPr>
          <w:rFonts w:cs="黑体" w:asciiTheme="majorEastAsia" w:hAnsiTheme="majorEastAsia" w:eastAsiaTheme="majorEastAsia"/>
          <w:b/>
          <w:bCs/>
          <w:sz w:val="24"/>
          <w:szCs w:val="24"/>
        </w:rPr>
        <w:t>、纪律要求</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投标人不得相互串通投标或者与招标人串通投标，不得向招标人或者评标委员会及其组成人员行贿谋取中标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不得以他人名义投标或者以其他方式弄虚作假骗取中标</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投标人不得以任何方式干扰、影响评标工作。</w:t>
      </w:r>
    </w:p>
    <w:p>
      <w:pPr>
        <w:pStyle w:val="25"/>
        <w:numPr>
          <w:ilvl w:val="0"/>
          <w:numId w:val="7"/>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评标委员会及其组成人员应严格自律</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严格遵守国家法律、法规</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并接受监察部门的监督。</w:t>
      </w:r>
    </w:p>
    <w:p>
      <w:pPr>
        <w:kinsoku/>
        <w:spacing w:line="360" w:lineRule="auto"/>
        <w:ind w:firstLine="482" w:firstLineChars="200"/>
        <w:rPr>
          <w:rFonts w:cs="黑体" w:asciiTheme="majorEastAsia" w:hAnsiTheme="majorEastAsia" w:eastAsiaTheme="majorEastAsia"/>
          <w:b/>
          <w:bCs/>
          <w:sz w:val="24"/>
          <w:szCs w:val="24"/>
        </w:rPr>
      </w:pPr>
      <w:r>
        <w:rPr>
          <w:rFonts w:hint="eastAsia" w:cs="黑体" w:asciiTheme="majorEastAsia" w:hAnsiTheme="majorEastAsia" w:eastAsiaTheme="majorEastAsia"/>
          <w:b/>
          <w:bCs/>
          <w:sz w:val="24"/>
          <w:szCs w:val="24"/>
        </w:rPr>
        <w:t>六</w:t>
      </w:r>
      <w:r>
        <w:rPr>
          <w:rFonts w:cs="黑体" w:asciiTheme="majorEastAsia" w:hAnsiTheme="majorEastAsia" w:eastAsiaTheme="majorEastAsia"/>
          <w:b/>
          <w:bCs/>
          <w:sz w:val="24"/>
          <w:szCs w:val="24"/>
        </w:rPr>
        <w:t>、其他</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中标人若改变原材料配方和生产工艺，需征得招标人同意，并需重新认可。</w:t>
      </w:r>
    </w:p>
    <w:p>
      <w:pPr>
        <w:pStyle w:val="25"/>
        <w:numPr>
          <w:ilvl w:val="0"/>
          <w:numId w:val="8"/>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参加招投标活动的各方应视本次招投标活动的任何信息为秘密，在没有事先征得对方的书面同意的情况下，任何一方不得以任何方式向第三人公布、传递或透露任何信息</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违者应对由此造成的后果承担法律责任。</w:t>
      </w:r>
    </w:p>
    <w:p>
      <w:pPr>
        <w:sectPr>
          <w:headerReference r:id="rId4" w:type="default"/>
          <w:footerReference r:id="rId5" w:type="default"/>
          <w:pgSz w:w="11907" w:h="16839"/>
          <w:pgMar w:top="1432" w:right="1335" w:bottom="1201" w:left="1389" w:header="852" w:footer="1021" w:gutter="0"/>
          <w:cols w:space="720" w:num="1"/>
        </w:sectPr>
      </w:pPr>
    </w:p>
    <w:p>
      <w:pPr>
        <w:pStyle w:val="5"/>
        <w:spacing w:before="3" w:after="156" w:afterLines="50" w:line="360" w:lineRule="auto"/>
        <w:jc w:val="center"/>
        <w:outlineLvl w:val="0"/>
        <w:rPr>
          <w:b/>
          <w:bCs/>
          <w:color w:val="auto"/>
          <w:spacing w:val="-3"/>
          <w:sz w:val="36"/>
          <w:szCs w:val="36"/>
          <w:lang w:val="en-US"/>
        </w:rPr>
      </w:pPr>
      <w:r>
        <w:rPr>
          <w:rFonts w:hint="eastAsia" w:ascii="仿宋" w:hAnsi="仿宋" w:eastAsia="仿宋" w:cs="仿宋"/>
          <w:b/>
          <w:bCs/>
          <w:color w:val="auto"/>
          <w:sz w:val="36"/>
          <w:szCs w:val="36"/>
          <w:lang w:val="en-US" w:eastAsia="zh-CN"/>
        </w:rPr>
        <w:t>四、</w:t>
      </w:r>
      <w:r>
        <w:rPr>
          <w:rFonts w:hint="eastAsia" w:ascii="仿宋" w:hAnsi="仿宋" w:eastAsia="仿宋" w:cs="仿宋"/>
          <w:b/>
          <w:bCs/>
          <w:color w:val="auto"/>
          <w:sz w:val="36"/>
          <w:szCs w:val="36"/>
        </w:rPr>
        <w:t>采购合同</w:t>
      </w:r>
      <w:r>
        <w:rPr>
          <w:rFonts w:hint="eastAsia"/>
          <w:b/>
          <w:bCs/>
          <w:color w:val="auto"/>
          <w:spacing w:val="-3"/>
          <w:sz w:val="36"/>
          <w:szCs w:val="36"/>
          <w:lang w:val="en-US"/>
        </w:rPr>
        <w:t>（模版）</w:t>
      </w:r>
    </w:p>
    <w:p>
      <w:pPr>
        <w:pStyle w:val="29"/>
        <w:spacing w:line="560" w:lineRule="exact"/>
        <w:jc w:val="center"/>
        <w:rPr>
          <w:rFonts w:ascii="仿宋" w:hAnsi="仿宋" w:eastAsia="仿宋" w:cs="仿宋"/>
          <w:b/>
          <w:bCs/>
          <w:color w:val="auto"/>
          <w:sz w:val="40"/>
          <w:szCs w:val="40"/>
        </w:rPr>
      </w:pPr>
    </w:p>
    <w:p>
      <w:pPr>
        <w:spacing w:line="560" w:lineRule="exact"/>
        <w:rPr>
          <w:rFonts w:ascii="仿宋" w:hAnsi="仿宋" w:eastAsia="仿宋" w:cs="华文仿宋"/>
          <w:b/>
          <w:bCs/>
          <w:color w:val="auto"/>
          <w:sz w:val="24"/>
        </w:rPr>
      </w:pPr>
      <w:r>
        <w:rPr>
          <w:rFonts w:hint="eastAsia" w:ascii="仿宋" w:hAnsi="仿宋" w:eastAsia="仿宋" w:cs="华文仿宋"/>
          <w:color w:val="auto"/>
          <w:sz w:val="24"/>
        </w:rPr>
        <w:t xml:space="preserve">合同编号：  </w:t>
      </w:r>
      <w:r>
        <w:rPr>
          <w:rFonts w:ascii="仿宋" w:hAnsi="仿宋" w:eastAsia="仿宋" w:cs="华文仿宋"/>
          <w:color w:val="auto"/>
          <w:sz w:val="24"/>
        </w:rPr>
        <w:t xml:space="preserve">                             </w:t>
      </w:r>
      <w:r>
        <w:rPr>
          <w:rFonts w:hint="eastAsia" w:ascii="仿宋" w:hAnsi="仿宋" w:eastAsia="仿宋" w:cs="华文仿宋"/>
          <w:color w:val="auto"/>
          <w:sz w:val="24"/>
        </w:rPr>
        <w:t>签订地点：福建省三明市沙县区</w:t>
      </w:r>
      <w:r>
        <w:rPr>
          <w:rFonts w:hint="eastAsia" w:ascii="仿宋" w:hAnsi="仿宋" w:eastAsia="仿宋"/>
          <w:color w:val="auto"/>
          <w:sz w:val="24"/>
          <w:shd w:val="clear" w:color="auto" w:fill="FFFFFF"/>
        </w:rPr>
        <w:t xml:space="preserve">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甲方（甲方）：中国机械总院集团海西（福建）分院有限公司 </w:t>
      </w:r>
    </w:p>
    <w:p>
      <w:pPr>
        <w:spacing w:line="560" w:lineRule="exact"/>
        <w:rPr>
          <w:rFonts w:ascii="仿宋" w:hAnsi="仿宋" w:eastAsia="仿宋" w:cs="华文仿宋"/>
          <w:color w:val="auto"/>
          <w:sz w:val="24"/>
        </w:rPr>
      </w:pPr>
      <w:r>
        <w:rPr>
          <w:rFonts w:hint="eastAsia" w:ascii="仿宋" w:hAnsi="仿宋" w:eastAsia="仿宋" w:cs="华文仿宋"/>
          <w:color w:val="auto"/>
          <w:sz w:val="24"/>
        </w:rPr>
        <w:t xml:space="preserve">乙方（乙方）：  </w:t>
      </w:r>
      <w:r>
        <w:rPr>
          <w:rFonts w:ascii="仿宋" w:hAnsi="仿宋" w:eastAsia="仿宋" w:cs="华文仿宋"/>
          <w:color w:val="auto"/>
          <w:sz w:val="24"/>
        </w:rPr>
        <w:t xml:space="preserve">                           </w:t>
      </w:r>
      <w:r>
        <w:rPr>
          <w:rFonts w:hint="eastAsia" w:ascii="仿宋" w:hAnsi="仿宋" w:eastAsia="仿宋" w:cs="华文仿宋"/>
          <w:color w:val="auto"/>
          <w:sz w:val="24"/>
        </w:rPr>
        <w:t xml:space="preserve">  </w:t>
      </w:r>
    </w:p>
    <w:p>
      <w:pPr>
        <w:spacing w:line="560" w:lineRule="exact"/>
        <w:ind w:firstLine="5040" w:firstLineChars="2100"/>
        <w:rPr>
          <w:rFonts w:ascii="仿宋" w:hAnsi="仿宋" w:eastAsia="仿宋" w:cs="华文仿宋"/>
          <w:color w:val="auto"/>
          <w:sz w:val="24"/>
        </w:rPr>
      </w:pPr>
      <w:r>
        <w:rPr>
          <w:rFonts w:hint="eastAsia" w:ascii="仿宋" w:hAnsi="仿宋" w:eastAsia="仿宋" w:cs="华文仿宋"/>
          <w:color w:val="auto"/>
          <w:sz w:val="24"/>
        </w:rPr>
        <w:t>签订日期：202</w:t>
      </w:r>
      <w:r>
        <w:rPr>
          <w:rFonts w:hint="eastAsia" w:ascii="仿宋" w:hAnsi="仿宋" w:eastAsia="仿宋" w:cs="华文仿宋"/>
          <w:color w:val="auto"/>
          <w:sz w:val="24"/>
          <w:lang w:val="en-US" w:eastAsia="zh-CN"/>
        </w:rPr>
        <w:t>4</w:t>
      </w:r>
      <w:r>
        <w:rPr>
          <w:rFonts w:hint="eastAsia" w:ascii="仿宋" w:hAnsi="仿宋" w:eastAsia="仿宋" w:cs="华文仿宋"/>
          <w:color w:val="auto"/>
          <w:sz w:val="24"/>
        </w:rPr>
        <w:t xml:space="preserve">年  月  日    </w:t>
      </w:r>
    </w:p>
    <w:p>
      <w:pPr>
        <w:pStyle w:val="29"/>
        <w:spacing w:line="560" w:lineRule="exact"/>
        <w:ind w:firstLine="480" w:firstLineChars="200"/>
        <w:rPr>
          <w:rFonts w:ascii="仿宋" w:hAnsi="仿宋" w:eastAsia="仿宋" w:cs="华文仿宋"/>
          <w:color w:val="auto"/>
        </w:rPr>
      </w:pPr>
      <w:r>
        <w:rPr>
          <w:rFonts w:hint="eastAsia" w:ascii="仿宋" w:hAnsi="仿宋" w:eastAsia="仿宋" w:cs="华文仿宋"/>
          <w:color w:val="auto"/>
        </w:rPr>
        <w:t>《中华人民共和国民法典》，并经甲乙双方友好协商，就以下事项达成一致并签订本合同：</w:t>
      </w:r>
    </w:p>
    <w:p>
      <w:pPr>
        <w:shd w:val="clear" w:color="auto" w:fill="FFFFFF"/>
        <w:spacing w:line="56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一、品种、型号、数量</w:t>
      </w:r>
    </w:p>
    <w:p>
      <w:pPr>
        <w:shd w:val="clear" w:color="auto" w:fill="FFFFFF"/>
        <w:spacing w:line="520" w:lineRule="exact"/>
        <w:ind w:firstLine="360" w:firstLineChars="150"/>
        <w:rPr>
          <w:rFonts w:ascii="仿宋" w:hAnsi="仿宋" w:eastAsia="仿宋" w:cs="华文仿宋"/>
          <w:color w:val="auto"/>
          <w:sz w:val="24"/>
        </w:rPr>
      </w:pPr>
      <w:r>
        <w:rPr>
          <w:rFonts w:hint="eastAsia" w:ascii="仿宋" w:hAnsi="仿宋" w:eastAsia="仿宋" w:cs="华文仿宋"/>
          <w:color w:val="auto"/>
          <w:sz w:val="24"/>
        </w:rPr>
        <w:t xml:space="preserve">1、该项目供应的材料按照设计预算规格、数量具体如下： </w:t>
      </w:r>
    </w:p>
    <w:tbl>
      <w:tblPr>
        <w:tblStyle w:val="14"/>
        <w:tblpPr w:leftFromText="180" w:rightFromText="180" w:vertAnchor="text" w:horzAnchor="page" w:tblpX="1480" w:tblpY="107"/>
        <w:tblOverlap w:val="never"/>
        <w:tblW w:w="9328" w:type="dxa"/>
        <w:tblInd w:w="0" w:type="dxa"/>
        <w:tblLayout w:type="fixed"/>
        <w:tblCellMar>
          <w:top w:w="0" w:type="dxa"/>
          <w:left w:w="108" w:type="dxa"/>
          <w:bottom w:w="0" w:type="dxa"/>
          <w:right w:w="108" w:type="dxa"/>
        </w:tblCellMar>
      </w:tblPr>
      <w:tblGrid>
        <w:gridCol w:w="2122"/>
        <w:gridCol w:w="1844"/>
        <w:gridCol w:w="851"/>
        <w:gridCol w:w="992"/>
        <w:gridCol w:w="1752"/>
        <w:gridCol w:w="1767"/>
      </w:tblGrid>
      <w:tr>
        <w:tblPrEx>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规格</w:t>
            </w: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单位</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数量</w:t>
            </w: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单价（万元）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总价（万元）</w:t>
            </w: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960" w:hRule="atLeast"/>
        </w:trPr>
        <w:tc>
          <w:tcPr>
            <w:tcW w:w="211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宋体" w:asciiTheme="minorEastAsia" w:hAnsiTheme="minorEastAsia" w:eastAsiaTheme="minorEastAsia"/>
                <w:color w:val="auto"/>
                <w:sz w:val="22"/>
                <w:szCs w:val="22"/>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inorEastAsia" w:hAnsiTheme="minorEastAsia" w:eastAsiaTheme="minorEastAsia"/>
                <w:color w:val="auto"/>
                <w:sz w:val="22"/>
                <w:szCs w:val="22"/>
              </w:rPr>
            </w:pPr>
          </w:p>
        </w:tc>
        <w:tc>
          <w:tcPr>
            <w:tcW w:w="851"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53"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lang w:bidi="ar"/>
              </w:rPr>
              <w:t>小写金额：</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宋体" w:asciiTheme="minorEastAsia" w:hAnsiTheme="minorEastAsia" w:eastAsiaTheme="minorEastAsia"/>
                <w:color w:val="auto"/>
                <w:sz w:val="22"/>
                <w:szCs w:val="22"/>
              </w:rPr>
            </w:pPr>
          </w:p>
        </w:tc>
      </w:tr>
      <w:tr>
        <w:tblPrEx>
          <w:tblCellMar>
            <w:top w:w="0" w:type="dxa"/>
            <w:left w:w="108" w:type="dxa"/>
            <w:bottom w:w="0" w:type="dxa"/>
            <w:right w:w="108" w:type="dxa"/>
          </w:tblCellMar>
        </w:tblPrEx>
        <w:trPr>
          <w:trHeight w:val="510" w:hRule="atLeast"/>
        </w:trPr>
        <w:tc>
          <w:tcPr>
            <w:tcW w:w="2122" w:type="dxa"/>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人民币大写：</w:t>
            </w:r>
          </w:p>
        </w:tc>
        <w:tc>
          <w:tcPr>
            <w:tcW w:w="7206" w:type="dxa"/>
            <w:gridSpan w:val="5"/>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p>
        </w:tc>
      </w:tr>
      <w:tr>
        <w:tblPrEx>
          <w:tblCellMar>
            <w:top w:w="0" w:type="dxa"/>
            <w:left w:w="108" w:type="dxa"/>
            <w:bottom w:w="0" w:type="dxa"/>
            <w:right w:w="108" w:type="dxa"/>
          </w:tblCellMar>
        </w:tblPrEx>
        <w:trPr>
          <w:trHeight w:val="510" w:hRule="atLeast"/>
        </w:trPr>
        <w:tc>
          <w:tcPr>
            <w:tcW w:w="9328" w:type="dxa"/>
            <w:gridSpan w:val="6"/>
            <w:tcBorders>
              <w:top w:val="single" w:color="000000" w:sz="4" w:space="0"/>
              <w:left w:val="single" w:color="000000" w:sz="4" w:space="0"/>
              <w:bottom w:val="single" w:color="000000" w:sz="4" w:space="0"/>
              <w:right w:val="single" w:color="000000" w:sz="4" w:space="0"/>
            </w:tcBorders>
            <w:noWrap/>
            <w:vAlign w:val="center"/>
          </w:tcPr>
          <w:p>
            <w:pPr>
              <w:textAlignment w:val="center"/>
              <w:rPr>
                <w:rFonts w:cs="宋体" w:asciiTheme="minorEastAsia" w:hAnsiTheme="minorEastAsia" w:eastAsiaTheme="minorEastAsia"/>
                <w:color w:val="auto"/>
                <w:sz w:val="22"/>
                <w:szCs w:val="22"/>
                <w:lang w:bidi="ar"/>
              </w:rPr>
            </w:pPr>
            <w:r>
              <w:rPr>
                <w:rFonts w:hint="eastAsia" w:cs="宋体" w:asciiTheme="minorEastAsia" w:hAnsiTheme="minorEastAsia" w:eastAsiaTheme="minorEastAsia"/>
                <w:color w:val="auto"/>
                <w:sz w:val="22"/>
                <w:szCs w:val="22"/>
                <w:lang w:bidi="ar"/>
              </w:rPr>
              <w:t>含13%增值税票</w:t>
            </w:r>
          </w:p>
        </w:tc>
      </w:tr>
    </w:tbl>
    <w:p>
      <w:pPr>
        <w:spacing w:line="440" w:lineRule="exact"/>
        <w:rPr>
          <w:rFonts w:ascii="仿宋" w:hAnsi="仿宋" w:eastAsia="仿宋" w:cs="华文仿宋"/>
          <w:color w:val="auto"/>
          <w:sz w:val="24"/>
        </w:rPr>
      </w:pP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以上货物价格为固定单价，货物价格包括产品制造、损耗、售后服务、税收，</w:t>
      </w:r>
      <w:r>
        <w:rPr>
          <w:rFonts w:hint="eastAsia" w:ascii="仿宋" w:hAnsi="仿宋" w:eastAsia="仿宋" w:cs="仿宋"/>
          <w:color w:val="auto"/>
          <w:sz w:val="24"/>
        </w:rPr>
        <w:t>乙方</w:t>
      </w:r>
      <w:r>
        <w:rPr>
          <w:rFonts w:hint="eastAsia" w:ascii="仿宋" w:hAnsi="仿宋" w:eastAsia="仿宋" w:cs="仿宋"/>
          <w:color w:val="auto"/>
          <w:sz w:val="24"/>
          <w:lang w:val="zh-CN"/>
        </w:rPr>
        <w:t xml:space="preserve">提供13%的增值税专用发票（若国家政策法规另有规定的，按新规定执行, 价格调整以不含税价为基准）以及相关规定须交纳的其它费用等。 </w:t>
      </w:r>
      <w:r>
        <w:rPr>
          <w:rFonts w:ascii="仿宋" w:hAnsi="仿宋" w:eastAsia="仿宋" w:cs="仿宋"/>
          <w:color w:val="auto"/>
          <w:sz w:val="24"/>
          <w:lang w:val="zh-CN"/>
        </w:rPr>
        <w:t xml:space="preserve"> </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 xml:space="preserve">二、质量要求、技术标准：按照甲方要求组织生产，产品符合标准编号为 </w:t>
      </w:r>
      <w:r>
        <w:rPr>
          <w:rFonts w:hint="eastAsia" w:ascii="仿宋" w:hAnsi="仿宋" w:eastAsia="仿宋" w:cs="仿宋"/>
          <w:color w:val="auto"/>
          <w:sz w:val="24"/>
          <w:u w:val="single"/>
        </w:rPr>
        <w:t>D</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C</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B</w:t>
      </w:r>
      <w:r>
        <w:rPr>
          <w:rFonts w:hint="eastAsia" w:ascii="仿宋" w:hAnsi="仿宋" w:eastAsia="仿宋" w:cs="仿宋"/>
          <w:color w:val="auto"/>
          <w:sz w:val="24"/>
          <w:u w:val="single"/>
          <w:lang w:val="zh-CN"/>
        </w:rPr>
        <w:t>、</w:t>
      </w:r>
      <w:r>
        <w:rPr>
          <w:rFonts w:hint="eastAsia" w:ascii="仿宋" w:hAnsi="仿宋" w:eastAsia="仿宋" w:cs="仿宋"/>
          <w:color w:val="auto"/>
          <w:sz w:val="24"/>
          <w:u w:val="single"/>
        </w:rPr>
        <w:t>A</w:t>
      </w:r>
      <w:r>
        <w:rPr>
          <w:rFonts w:hint="eastAsia" w:ascii="仿宋" w:hAnsi="仿宋" w:eastAsia="仿宋" w:cs="仿宋"/>
          <w:color w:val="auto"/>
          <w:sz w:val="24"/>
          <w:lang w:val="zh-CN"/>
        </w:rPr>
        <w:t>（A、国家标准；B、行业标准；C、出卖方企业标准；D、双方协议标准）。</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三、交货方式、交货地点、履行地点、接收单位：</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1、交货方式：由</w:t>
      </w:r>
      <w:r>
        <w:rPr>
          <w:rFonts w:hint="eastAsia" w:ascii="仿宋" w:hAnsi="仿宋" w:eastAsia="仿宋" w:cs="仿宋"/>
          <w:color w:val="auto"/>
          <w:sz w:val="24"/>
        </w:rPr>
        <w:t>乙</w:t>
      </w:r>
      <w:r>
        <w:rPr>
          <w:rFonts w:hint="eastAsia" w:ascii="仿宋" w:hAnsi="仿宋" w:eastAsia="仿宋" w:cs="仿宋"/>
          <w:color w:val="auto"/>
          <w:sz w:val="24"/>
          <w:lang w:val="zh-CN"/>
        </w:rPr>
        <w:t>方代办托运至指定地点，运费、</w:t>
      </w:r>
      <w:r>
        <w:rPr>
          <w:rFonts w:hint="eastAsia" w:ascii="仿宋" w:hAnsi="仿宋" w:eastAsia="仿宋" w:cs="仿宋"/>
          <w:color w:val="auto"/>
          <w:sz w:val="24"/>
        </w:rPr>
        <w:t>过磅</w:t>
      </w:r>
      <w:r>
        <w:rPr>
          <w:rFonts w:hint="eastAsia" w:ascii="仿宋" w:hAnsi="仿宋" w:eastAsia="仿宋" w:cs="仿宋"/>
          <w:color w:val="auto"/>
          <w:sz w:val="24"/>
          <w:lang w:val="zh-CN"/>
        </w:rPr>
        <w:t>费、和运输保险等费用由</w:t>
      </w:r>
      <w:r>
        <w:rPr>
          <w:rFonts w:hint="eastAsia" w:ascii="仿宋" w:hAnsi="仿宋" w:eastAsia="仿宋" w:cs="仿宋"/>
          <w:color w:val="auto"/>
          <w:sz w:val="24"/>
        </w:rPr>
        <w:t>乙</w:t>
      </w:r>
      <w:r>
        <w:rPr>
          <w:rFonts w:hint="eastAsia" w:ascii="仿宋" w:hAnsi="仿宋" w:eastAsia="仿宋" w:cs="仿宋"/>
          <w:color w:val="auto"/>
          <w:sz w:val="24"/>
          <w:lang w:val="zh-CN"/>
        </w:rPr>
        <w:t>方承担。</w:t>
      </w:r>
    </w:p>
    <w:p>
      <w:pPr>
        <w:spacing w:line="560" w:lineRule="exact"/>
        <w:ind w:firstLine="480" w:firstLineChars="200"/>
        <w:rPr>
          <w:rFonts w:ascii="仿宋" w:hAnsi="仿宋" w:eastAsia="仿宋" w:cs="仿宋"/>
          <w:color w:val="FF0000"/>
          <w:sz w:val="24"/>
          <w:lang w:val="zh-CN"/>
        </w:rPr>
      </w:pPr>
      <w:r>
        <w:rPr>
          <w:rFonts w:hint="eastAsia" w:ascii="仿宋" w:hAnsi="仿宋" w:eastAsia="仿宋" w:cs="仿宋"/>
          <w:color w:val="FF0000"/>
          <w:sz w:val="24"/>
          <w:lang w:val="zh-CN"/>
        </w:rPr>
        <w:t xml:space="preserve">2、交货地点：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 xml:space="preserve">，买方指定接货联系人： </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，电话</w:t>
      </w:r>
      <w:r>
        <w:rPr>
          <w:rFonts w:ascii="仿宋" w:hAnsi="仿宋" w:eastAsia="仿宋" w:cs="仿宋"/>
          <w:color w:val="FF0000"/>
          <w:sz w:val="24"/>
          <w:lang w:val="zh-CN"/>
        </w:rPr>
        <w:t xml:space="preserve">       </w:t>
      </w:r>
      <w:r>
        <w:rPr>
          <w:rFonts w:hint="eastAsia" w:ascii="仿宋" w:hAnsi="仿宋" w:eastAsia="仿宋" w:cs="仿宋"/>
          <w:color w:val="FF0000"/>
          <w:sz w:val="24"/>
          <w:lang w:val="zh-CN"/>
        </w:rPr>
        <w:t>。</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3、履行地点：</w:t>
      </w:r>
      <w:r>
        <w:rPr>
          <w:rFonts w:hint="eastAsia" w:ascii="仿宋" w:hAnsi="仿宋" w:eastAsia="仿宋" w:cs="仿宋"/>
          <w:color w:val="auto"/>
          <w:sz w:val="24"/>
        </w:rPr>
        <w:t>福建省</w:t>
      </w:r>
      <w:r>
        <w:rPr>
          <w:rFonts w:hint="eastAsia" w:ascii="仿宋" w:hAnsi="仿宋" w:eastAsia="仿宋" w:cs="仿宋"/>
          <w:color w:val="auto"/>
          <w:sz w:val="24"/>
          <w:lang w:val="zh-CN"/>
        </w:rPr>
        <w:t>三明市沙县区；</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4.供货清单：</w:t>
      </w:r>
      <w:r>
        <w:rPr>
          <w:rFonts w:hint="eastAsia" w:ascii="仿宋" w:hAnsi="仿宋" w:eastAsia="仿宋" w:cs="仿宋"/>
          <w:color w:val="auto"/>
          <w:sz w:val="24"/>
        </w:rPr>
        <w:t>送货单等</w:t>
      </w:r>
      <w:r>
        <w:rPr>
          <w:rFonts w:hint="eastAsia" w:ascii="仿宋" w:hAnsi="仿宋" w:eastAsia="仿宋" w:cs="仿宋"/>
          <w:color w:val="auto"/>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四、交货日期：</w:t>
      </w:r>
      <w:r>
        <w:rPr>
          <w:rFonts w:hint="eastAsia" w:ascii="仿宋" w:hAnsi="仿宋" w:eastAsia="仿宋" w:cs="仿宋"/>
          <w:color w:val="auto"/>
          <w:sz w:val="24"/>
        </w:rPr>
        <w:t>甲</w:t>
      </w:r>
      <w:r>
        <w:rPr>
          <w:rFonts w:hint="eastAsia" w:ascii="仿宋" w:hAnsi="仿宋" w:eastAsia="仿宋" w:cs="仿宋"/>
          <w:color w:val="auto"/>
          <w:sz w:val="24"/>
          <w:lang w:val="zh-CN"/>
        </w:rPr>
        <w:t>方通过微信或书面通知提前通知</w:t>
      </w:r>
      <w:r>
        <w:rPr>
          <w:rFonts w:hint="eastAsia" w:ascii="仿宋" w:hAnsi="仿宋" w:eastAsia="仿宋" w:cs="仿宋"/>
          <w:color w:val="auto"/>
          <w:sz w:val="24"/>
        </w:rPr>
        <w:t>乙</w:t>
      </w:r>
      <w:r>
        <w:rPr>
          <w:rFonts w:hint="eastAsia" w:ascii="仿宋" w:hAnsi="仿宋" w:eastAsia="仿宋" w:cs="仿宋"/>
          <w:color w:val="auto"/>
          <w:sz w:val="24"/>
          <w:lang w:val="zh-CN"/>
        </w:rPr>
        <w:t>方</w:t>
      </w:r>
      <w:r>
        <w:rPr>
          <w:rFonts w:hint="eastAsia" w:ascii="仿宋" w:hAnsi="仿宋" w:eastAsia="仿宋" w:cs="仿宋"/>
          <w:color w:val="auto"/>
          <w:sz w:val="24"/>
        </w:rPr>
        <w:t>发</w:t>
      </w:r>
      <w:r>
        <w:rPr>
          <w:rFonts w:hint="eastAsia" w:ascii="仿宋" w:hAnsi="仿宋" w:eastAsia="仿宋" w:cs="仿宋"/>
          <w:color w:val="auto"/>
          <w:sz w:val="24"/>
          <w:lang w:val="zh-CN"/>
        </w:rPr>
        <w:t>货，合同签订后按照计划交货</w:t>
      </w:r>
      <w:r>
        <w:rPr>
          <w:rFonts w:hint="eastAsia" w:ascii="仿宋" w:hAnsi="仿宋" w:eastAsia="仿宋" w:cs="仿宋"/>
          <w:color w:val="auto"/>
          <w:sz w:val="24"/>
        </w:rPr>
        <w:t>出货</w:t>
      </w:r>
      <w:r>
        <w:rPr>
          <w:rFonts w:hint="eastAsia" w:ascii="仿宋" w:hAnsi="仿宋" w:eastAsia="仿宋" w:cs="仿宋"/>
          <w:color w:val="auto"/>
          <w:sz w:val="24"/>
          <w:lang w:val="zh-CN"/>
        </w:rPr>
        <w:t>。</w:t>
      </w:r>
    </w:p>
    <w:p>
      <w:pPr>
        <w:spacing w:line="560" w:lineRule="exact"/>
        <w:ind w:left="479"/>
        <w:rPr>
          <w:rFonts w:ascii="仿宋" w:hAnsi="仿宋" w:eastAsia="仿宋" w:cs="仿宋"/>
          <w:color w:val="auto"/>
          <w:sz w:val="24"/>
          <w:lang w:val="zh-CN"/>
        </w:rPr>
      </w:pPr>
      <w:r>
        <w:rPr>
          <w:rFonts w:hint="eastAsia" w:ascii="仿宋" w:hAnsi="仿宋" w:eastAsia="仿宋" w:cs="仿宋"/>
          <w:color w:val="auto"/>
          <w:sz w:val="24"/>
          <w:lang w:val="zh-CN"/>
        </w:rPr>
        <w:t>五、包装标准与回收方法：满足运输及甲方要求的包装方式，乙方负责包装并承担包装费用。</w:t>
      </w:r>
    </w:p>
    <w:p>
      <w:pPr>
        <w:tabs>
          <w:tab w:val="left" w:pos="120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六、验收标准及方法：产品按本合同第二条约定的质量标准进行验收，由甲方和乙方共同完成。乙方在验收前必须向甲方提供产品</w:t>
      </w:r>
      <w:r>
        <w:rPr>
          <w:rFonts w:hint="eastAsia" w:ascii="仿宋" w:hAnsi="仿宋" w:eastAsia="仿宋" w:cs="仿宋"/>
          <w:color w:val="auto"/>
          <w:sz w:val="24"/>
        </w:rPr>
        <w:t>送货单、过磅单</w:t>
      </w:r>
      <w:r>
        <w:rPr>
          <w:rFonts w:hint="eastAsia" w:ascii="仿宋" w:hAnsi="仿宋" w:eastAsia="仿宋" w:cs="仿宋"/>
          <w:color w:val="auto"/>
          <w:sz w:val="24"/>
          <w:lang w:val="zh-CN"/>
        </w:rPr>
        <w:t>等资料。</w:t>
      </w:r>
    </w:p>
    <w:p>
      <w:pPr>
        <w:spacing w:line="560" w:lineRule="exact"/>
        <w:ind w:left="540"/>
        <w:rPr>
          <w:rFonts w:ascii="仿宋" w:hAnsi="仿宋" w:eastAsia="仿宋" w:cs="仿宋"/>
          <w:color w:val="auto"/>
          <w:sz w:val="24"/>
          <w:lang w:val="zh-CN"/>
        </w:rPr>
      </w:pPr>
      <w:r>
        <w:rPr>
          <w:rFonts w:hint="eastAsia" w:ascii="仿宋" w:hAnsi="仿宋" w:eastAsia="仿宋" w:cs="仿宋"/>
          <w:color w:val="auto"/>
          <w:sz w:val="24"/>
          <w:lang w:val="zh-CN"/>
        </w:rPr>
        <w:t>验收规则</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1、验收标准：所有产品均按国家及行业标准的相关规定、本采购文件、谈判文件及投标样品相关内容进行验收。</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2、验收程序如下：</w:t>
      </w:r>
    </w:p>
    <w:p>
      <w:pPr>
        <w:tabs>
          <w:tab w:val="left" w:pos="0"/>
        </w:tabs>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(2）</w:t>
      </w:r>
      <w:r>
        <w:rPr>
          <w:rFonts w:hint="eastAsia" w:ascii="仿宋" w:hAnsi="仿宋" w:eastAsia="仿宋" w:cs="仿宋"/>
          <w:color w:val="auto"/>
          <w:sz w:val="24"/>
        </w:rPr>
        <w:t>最终验收：</w:t>
      </w:r>
      <w:r>
        <w:rPr>
          <w:rFonts w:hint="eastAsia" w:ascii="仿宋" w:hAnsi="仿宋" w:eastAsia="仿宋" w:cs="仿宋"/>
          <w:color w:val="auto"/>
          <w:sz w:val="24"/>
          <w:lang w:val="zh-CN"/>
        </w:rPr>
        <w:t>验收时，乙方所供到场货物与本合同约定的质量标准或样品（产品经双方确认后封样各自保存，出现偏差时以样品为准）不相符，甲方可要求退货，退货的往返运费均由乙方承担。</w:t>
      </w:r>
      <w:r>
        <w:rPr>
          <w:rFonts w:hint="eastAsia" w:ascii="仿宋" w:hAnsi="仿宋" w:eastAsia="仿宋" w:cs="仿宋"/>
          <w:color w:val="FF0000"/>
          <w:sz w:val="24"/>
          <w:lang w:val="zh-CN"/>
        </w:rPr>
        <w:t>买方验收人：</w:t>
      </w:r>
      <w:r>
        <w:rPr>
          <w:rFonts w:ascii="仿宋" w:hAnsi="仿宋" w:eastAsia="仿宋" w:cs="仿宋"/>
          <w:color w:val="FF0000"/>
          <w:sz w:val="24"/>
          <w:lang w:val="zh-CN"/>
        </w:rPr>
        <w:t>XX,</w:t>
      </w:r>
      <w:r>
        <w:rPr>
          <w:rFonts w:hint="eastAsia" w:ascii="仿宋" w:hAnsi="仿宋" w:eastAsia="仿宋" w:cs="仿宋"/>
          <w:color w:val="FF0000"/>
          <w:sz w:val="24"/>
          <w:lang w:val="zh-CN"/>
        </w:rPr>
        <w:t>电话：</w:t>
      </w:r>
      <w:r>
        <w:rPr>
          <w:rFonts w:ascii="仿宋" w:hAnsi="仿宋" w:eastAsia="仿宋" w:cs="仿宋"/>
          <w:color w:val="FF0000"/>
          <w:sz w:val="24"/>
          <w:lang w:val="zh-CN"/>
        </w:rPr>
        <w:t>XX</w:t>
      </w:r>
      <w:r>
        <w:rPr>
          <w:rFonts w:hint="eastAsia" w:ascii="仿宋" w:hAnsi="仿宋" w:eastAsia="仿宋" w:cs="仿宋"/>
          <w:color w:val="FF0000"/>
          <w:sz w:val="24"/>
          <w:lang w:val="zh-CN"/>
        </w:rPr>
        <w:t>。</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七、结算</w:t>
      </w:r>
      <w:r>
        <w:rPr>
          <w:rFonts w:hint="eastAsia" w:ascii="仿宋" w:hAnsi="仿宋" w:eastAsia="仿宋" w:cs="仿宋"/>
          <w:color w:val="auto"/>
          <w:sz w:val="24"/>
        </w:rPr>
        <w:t>条件与</w:t>
      </w:r>
      <w:r>
        <w:rPr>
          <w:rFonts w:hint="eastAsia" w:ascii="仿宋" w:hAnsi="仿宋" w:eastAsia="仿宋" w:cs="仿宋"/>
          <w:color w:val="auto"/>
          <w:sz w:val="24"/>
          <w:lang w:val="zh-CN"/>
        </w:rPr>
        <w:t>方式：</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1、结算条件</w:t>
      </w:r>
    </w:p>
    <w:p>
      <w:pPr>
        <w:spacing w:line="560" w:lineRule="exact"/>
        <w:ind w:firstLine="480" w:firstLineChars="200"/>
        <w:rPr>
          <w:rFonts w:ascii="仿宋" w:hAnsi="仿宋" w:eastAsia="仿宋" w:cs="仿宋"/>
          <w:color w:val="auto"/>
          <w:sz w:val="24"/>
          <w:lang w:val="zh-CN"/>
        </w:rPr>
      </w:pPr>
      <w:r>
        <w:rPr>
          <w:rFonts w:hint="eastAsia" w:ascii="仿宋" w:hAnsi="仿宋" w:eastAsia="仿宋" w:cs="仿宋"/>
          <w:color w:val="auto"/>
          <w:sz w:val="24"/>
          <w:lang w:val="zh-CN"/>
        </w:rPr>
        <w:t>货到买方指定工厂，要求乙方提供提交下列单证和文件。</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a.乙方开具合同等额的正式发票。</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2、结算方式：本合同生效后，</w:t>
      </w:r>
      <w:r>
        <w:rPr>
          <w:rFonts w:ascii="仿宋" w:hAnsi="仿宋" w:eastAsia="仿宋" w:cs="仿宋"/>
          <w:color w:val="FF0000"/>
          <w:sz w:val="24"/>
        </w:rPr>
        <w:t>XXX</w:t>
      </w:r>
      <w:r>
        <w:rPr>
          <w:rFonts w:hint="eastAsia" w:ascii="仿宋" w:hAnsi="仿宋" w:eastAsia="仿宋" w:cs="仿宋"/>
          <w:color w:val="FF0000"/>
          <w:sz w:val="24"/>
        </w:rPr>
        <w:t>天内支付</w:t>
      </w:r>
      <w:r>
        <w:rPr>
          <w:rFonts w:ascii="仿宋" w:hAnsi="仿宋" w:eastAsia="仿宋" w:cs="仿宋"/>
          <w:color w:val="FF0000"/>
          <w:sz w:val="24"/>
        </w:rPr>
        <w:t>XX%</w:t>
      </w:r>
      <w:r>
        <w:rPr>
          <w:rFonts w:hint="eastAsia" w:ascii="仿宋" w:hAnsi="仿宋" w:eastAsia="仿宋" w:cs="仿宋"/>
          <w:color w:val="FF0000"/>
          <w:sz w:val="24"/>
        </w:rPr>
        <w:t>预付款X</w:t>
      </w:r>
      <w:r>
        <w:rPr>
          <w:rFonts w:ascii="仿宋" w:hAnsi="仿宋" w:eastAsia="仿宋" w:cs="仿宋"/>
          <w:color w:val="FF0000"/>
          <w:sz w:val="24"/>
        </w:rPr>
        <w:t>X</w:t>
      </w:r>
      <w:r>
        <w:rPr>
          <w:rFonts w:hint="eastAsia" w:ascii="仿宋" w:hAnsi="仿宋" w:eastAsia="仿宋" w:cs="仿宋"/>
          <w:color w:val="FF0000"/>
          <w:sz w:val="24"/>
        </w:rPr>
        <w:t>万元。支付方式：银行承兑汇票。甲方收到货验收合格后支付</w:t>
      </w:r>
      <w:r>
        <w:rPr>
          <w:rFonts w:ascii="仿宋" w:hAnsi="仿宋" w:eastAsia="仿宋" w:cs="仿宋"/>
          <w:color w:val="FF0000"/>
          <w:sz w:val="24"/>
        </w:rPr>
        <w:t>XX%</w:t>
      </w:r>
      <w:r>
        <w:rPr>
          <w:rFonts w:hint="eastAsia" w:ascii="仿宋" w:hAnsi="仿宋" w:eastAsia="仿宋" w:cs="仿宋"/>
          <w:color w:val="FF0000"/>
          <w:sz w:val="24"/>
        </w:rPr>
        <w:t>货款X</w:t>
      </w:r>
      <w:r>
        <w:rPr>
          <w:rFonts w:ascii="仿宋" w:hAnsi="仿宋" w:eastAsia="仿宋" w:cs="仿宋"/>
          <w:color w:val="FF0000"/>
          <w:sz w:val="24"/>
        </w:rPr>
        <w:t>X</w:t>
      </w:r>
      <w:r>
        <w:rPr>
          <w:rFonts w:hint="eastAsia" w:ascii="仿宋" w:hAnsi="仿宋" w:eastAsia="仿宋" w:cs="仿宋"/>
          <w:color w:val="FF0000"/>
          <w:sz w:val="24"/>
        </w:rPr>
        <w:t>万元。</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3、如乙方不开具或开具不合格的发票，甲方有权迟延支付应付款项直至乙方开具合格票据且不承担任何违约责任，且乙方的各项合同义务仍应按合同约定履行。</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4、由于乙方开具发票不真实、不合格而引起的一切责任（包括商业责任和法律责任)和损失，由乙方承担。</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八、质量保证期：</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1、质量保证期为：</w:t>
      </w:r>
      <w:r>
        <w:rPr>
          <w:rFonts w:ascii="仿宋" w:hAnsi="仿宋" w:eastAsia="仿宋" w:cs="仿宋"/>
          <w:color w:val="FF0000"/>
          <w:sz w:val="24"/>
        </w:rPr>
        <w:t>XX</w:t>
      </w:r>
      <w:r>
        <w:rPr>
          <w:rFonts w:hint="eastAsia" w:ascii="仿宋" w:hAnsi="仿宋" w:eastAsia="仿宋" w:cs="仿宋"/>
          <w:color w:val="FF0000"/>
          <w:sz w:val="24"/>
          <w:lang w:val="zh-CN"/>
        </w:rPr>
        <w:t>年</w:t>
      </w:r>
      <w:r>
        <w:rPr>
          <w:rFonts w:hint="eastAsia" w:ascii="仿宋" w:hAnsi="仿宋" w:eastAsia="仿宋" w:cs="仿宋"/>
          <w:color w:val="auto"/>
          <w:sz w:val="24"/>
          <w:lang w:val="zh-CN"/>
        </w:rPr>
        <w:t>，从全部材料进场经签收之日起计算，在质保期内出现问题，乙方必须免费予以退换。</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九、产品交接：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甲方根据产品交接清单清点数量，检查产品外观质量。数量清点当场验收，质量验收以检测结果为准，如外观有明显破损、瑕疵、擦伤等，甲方有权要求退货，延误工期等损失由乙方承担。</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十、违</w:t>
      </w:r>
      <w:r>
        <w:rPr>
          <w:rFonts w:hint="eastAsia" w:ascii="仿宋" w:hAnsi="仿宋" w:eastAsia="仿宋" w:cs="仿宋"/>
          <w:color w:val="auto"/>
          <w:sz w:val="24"/>
        </w:rPr>
        <w:t>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3、如果乙方未能按照合同约定的时间提供服务的，每逾期1天的，乙方应按本合同总金额的1</w:t>
      </w:r>
      <w:r>
        <w:rPr>
          <w:rFonts w:ascii="仿宋" w:hAnsi="仿宋" w:eastAsia="仿宋" w:cs="仿宋"/>
          <w:color w:val="auto"/>
          <w:sz w:val="24"/>
        </w:rPr>
        <w:t>%</w:t>
      </w:r>
      <w:r>
        <w:rPr>
          <w:rFonts w:hint="eastAsia" w:ascii="仿宋" w:hAnsi="仿宋" w:eastAsia="仿宋" w:cs="仿宋"/>
          <w:color w:val="auto"/>
          <w:sz w:val="24"/>
        </w:rPr>
        <w:t>向甲方支付违约金，若因此给甲方造成损失的，乙方还应赔偿甲方所受的损失。</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十一、违约终止合同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2、如果乙方未能在合同规定的期限内或双方另行确定的延期交货时间内交付合同约定的货物。</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3、乙方未能履行合同项下的任何其它义务。</w:t>
      </w:r>
    </w:p>
    <w:p>
      <w:pPr>
        <w:spacing w:line="560" w:lineRule="exact"/>
        <w:ind w:firstLine="480"/>
        <w:rPr>
          <w:rFonts w:eastAsia="仿宋"/>
          <w:color w:val="auto"/>
        </w:rPr>
      </w:pPr>
      <w:r>
        <w:rPr>
          <w:rFonts w:hint="eastAsia" w:ascii="仿宋" w:hAnsi="仿宋" w:eastAsia="仿宋" w:cs="仿宋"/>
          <w:color w:val="auto"/>
          <w:sz w:val="24"/>
        </w:rPr>
        <w:t>4、</w:t>
      </w:r>
      <w:r>
        <w:rPr>
          <w:rFonts w:hint="eastAsia" w:ascii="仿宋" w:hAnsi="仿宋" w:eastAsia="仿宋" w:cs="仿宋"/>
          <w:color w:val="auto"/>
          <w:sz w:val="24"/>
          <w:lang w:val="zh-CN"/>
        </w:rPr>
        <w:t>因上述原因造成的合同解除，因</w:t>
      </w:r>
      <w:r>
        <w:rPr>
          <w:rFonts w:hint="eastAsia" w:ascii="仿宋" w:hAnsi="仿宋" w:eastAsia="仿宋" w:cs="仿宋"/>
          <w:color w:val="auto"/>
          <w:sz w:val="24"/>
        </w:rPr>
        <w:t>乙</w:t>
      </w:r>
      <w:r>
        <w:rPr>
          <w:rFonts w:hint="eastAsia" w:ascii="仿宋" w:hAnsi="仿宋" w:eastAsia="仿宋" w:cs="仿宋"/>
          <w:color w:val="auto"/>
          <w:sz w:val="24"/>
          <w:lang w:val="zh-CN"/>
        </w:rPr>
        <w:t>方责任时应全额退还</w:t>
      </w:r>
      <w:r>
        <w:rPr>
          <w:rFonts w:hint="eastAsia" w:ascii="仿宋" w:hAnsi="仿宋" w:eastAsia="仿宋" w:cs="仿宋"/>
          <w:color w:val="auto"/>
          <w:sz w:val="24"/>
        </w:rPr>
        <w:t>甲</w:t>
      </w:r>
      <w:r>
        <w:rPr>
          <w:rFonts w:hint="eastAsia" w:ascii="仿宋" w:hAnsi="仿宋" w:eastAsia="仿宋" w:cs="仿宋"/>
          <w:color w:val="auto"/>
          <w:sz w:val="24"/>
          <w:lang w:val="zh-CN"/>
        </w:rPr>
        <w:t>方已付货款，并双倍返还合同预付款。当只能提供部分货物时，视为</w:t>
      </w:r>
      <w:r>
        <w:rPr>
          <w:rFonts w:hint="eastAsia" w:ascii="仿宋" w:hAnsi="仿宋" w:eastAsia="仿宋" w:cs="仿宋"/>
          <w:color w:val="auto"/>
          <w:sz w:val="24"/>
        </w:rPr>
        <w:t>乙</w:t>
      </w:r>
      <w:r>
        <w:rPr>
          <w:rFonts w:hint="eastAsia" w:ascii="仿宋" w:hAnsi="仿宋" w:eastAsia="仿宋" w:cs="仿宋"/>
          <w:color w:val="auto"/>
          <w:sz w:val="24"/>
          <w:lang w:val="zh-CN"/>
        </w:rPr>
        <w:t>方违约，</w:t>
      </w:r>
      <w:r>
        <w:rPr>
          <w:rFonts w:hint="eastAsia" w:ascii="仿宋" w:hAnsi="仿宋" w:eastAsia="仿宋" w:cs="仿宋"/>
          <w:color w:val="auto"/>
          <w:sz w:val="24"/>
        </w:rPr>
        <w:t>甲</w:t>
      </w:r>
      <w:r>
        <w:rPr>
          <w:rFonts w:hint="eastAsia" w:ascii="仿宋" w:hAnsi="仿宋" w:eastAsia="仿宋" w:cs="仿宋"/>
          <w:color w:val="auto"/>
          <w:sz w:val="24"/>
          <w:lang w:val="zh-CN"/>
        </w:rPr>
        <w:t>方可另购其余部分</w:t>
      </w:r>
      <w:r>
        <w:rPr>
          <w:rFonts w:hint="eastAsia" w:ascii="仿宋" w:hAnsi="仿宋" w:eastAsia="仿宋" w:cs="仿宋"/>
          <w:color w:val="auto"/>
          <w:sz w:val="24"/>
        </w:rPr>
        <w:t>材料</w:t>
      </w:r>
      <w:r>
        <w:rPr>
          <w:rFonts w:hint="eastAsia" w:ascii="仿宋" w:hAnsi="仿宋" w:eastAsia="仿宋" w:cs="仿宋"/>
          <w:color w:val="auto"/>
          <w:sz w:val="24"/>
          <w:lang w:val="zh-CN"/>
        </w:rPr>
        <w:t>，</w:t>
      </w:r>
      <w:r>
        <w:rPr>
          <w:rFonts w:hint="eastAsia" w:ascii="仿宋" w:hAnsi="仿宋" w:eastAsia="仿宋" w:cs="仿宋"/>
          <w:color w:val="auto"/>
          <w:sz w:val="24"/>
        </w:rPr>
        <w:t>乙</w:t>
      </w:r>
      <w:r>
        <w:rPr>
          <w:rFonts w:hint="eastAsia" w:ascii="仿宋" w:hAnsi="仿宋" w:eastAsia="仿宋" w:cs="仿宋"/>
          <w:color w:val="auto"/>
          <w:sz w:val="24"/>
          <w:lang w:val="zh-CN"/>
        </w:rPr>
        <w:t>方应承担购置费用和给</w:t>
      </w:r>
      <w:r>
        <w:rPr>
          <w:rFonts w:hint="eastAsia" w:ascii="仿宋" w:hAnsi="仿宋" w:eastAsia="仿宋" w:cs="仿宋"/>
          <w:color w:val="auto"/>
          <w:sz w:val="24"/>
        </w:rPr>
        <w:t>甲</w:t>
      </w:r>
      <w:r>
        <w:rPr>
          <w:rFonts w:hint="eastAsia" w:ascii="仿宋" w:hAnsi="仿宋" w:eastAsia="仿宋" w:cs="仿宋"/>
          <w:color w:val="auto"/>
          <w:sz w:val="24"/>
          <w:lang w:val="zh-CN"/>
        </w:rPr>
        <w:t>方带来的相关经济损失并按照合同约定向</w:t>
      </w:r>
      <w:r>
        <w:rPr>
          <w:rFonts w:hint="eastAsia" w:ascii="仿宋" w:hAnsi="仿宋" w:eastAsia="仿宋" w:cs="仿宋"/>
          <w:color w:val="auto"/>
          <w:sz w:val="24"/>
        </w:rPr>
        <w:t>甲</w:t>
      </w:r>
      <w:r>
        <w:rPr>
          <w:rFonts w:hint="eastAsia" w:ascii="仿宋" w:hAnsi="仿宋" w:eastAsia="仿宋" w:cs="仿宋"/>
          <w:color w:val="auto"/>
          <w:sz w:val="24"/>
          <w:lang w:val="zh-CN"/>
        </w:rPr>
        <w:t>方支付违约金。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十二、不可抗力</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十三、权利义务转移和违法违规条款</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1、基于诚信原则，本合同项下未经甲方书面同意，乙方不得转让或者变相转让本合同的权利义务，否则向甲方支付合同总金额30％的违约金。</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2、在本合同项下如乙方违法违规造成甲方损失的，乙方须全额赔偿，赔偿金额从乙方货款或者履约保证金等款项中扣除，不足部分，甲方依法享有向乙方追索的权利。</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十四、</w:t>
      </w:r>
      <w:r>
        <w:rPr>
          <w:rFonts w:hint="eastAsia" w:ascii="仿宋" w:hAnsi="仿宋" w:eastAsia="仿宋" w:cs="仿宋"/>
          <w:color w:val="auto"/>
          <w:sz w:val="24"/>
          <w:lang w:val="zh-CN"/>
        </w:rPr>
        <w:t>反商业贿赂条款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为保障双方合法权益不受侵害，保持</w:t>
      </w:r>
      <w:r>
        <w:rPr>
          <w:rFonts w:hint="eastAsia" w:ascii="仿宋" w:hAnsi="仿宋" w:eastAsia="仿宋" w:cs="仿宋"/>
          <w:color w:val="auto"/>
          <w:sz w:val="24"/>
        </w:rPr>
        <w:t>甲乙</w:t>
      </w:r>
      <w:r>
        <w:rPr>
          <w:rFonts w:hint="eastAsia" w:ascii="仿宋" w:hAnsi="仿宋" w:eastAsia="仿宋" w:cs="仿宋"/>
          <w:color w:val="auto"/>
          <w:sz w:val="24"/>
          <w:lang w:val="zh-CN"/>
        </w:rPr>
        <w:t>双方长久、良好的合作关系，根据《中华人民共和国反不正当竞争法》《关于禁止商业贿赂行为的暂行规定》及有关法律、法规的规定，</w:t>
      </w:r>
      <w:r>
        <w:rPr>
          <w:rFonts w:hint="eastAsia" w:ascii="仿宋" w:hAnsi="仿宋" w:eastAsia="仿宋" w:cs="仿宋"/>
          <w:color w:val="auto"/>
          <w:sz w:val="24"/>
        </w:rPr>
        <w:t>甲乙</w:t>
      </w:r>
      <w:r>
        <w:rPr>
          <w:rFonts w:hint="eastAsia" w:ascii="仿宋" w:hAnsi="仿宋" w:eastAsia="仿宋" w:cs="仿宋"/>
          <w:color w:val="auto"/>
          <w:sz w:val="24"/>
          <w:lang w:val="zh-CN"/>
        </w:rPr>
        <w:t>双方约定如下：</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1、甲乙</w:t>
      </w:r>
      <w:r>
        <w:rPr>
          <w:rFonts w:hint="eastAsia" w:ascii="仿宋" w:hAnsi="仿宋" w:eastAsia="仿宋" w:cs="仿宋"/>
          <w:color w:val="auto"/>
          <w:sz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color w:val="auto"/>
          <w:sz w:val="24"/>
        </w:rPr>
        <w:t>甲乙</w:t>
      </w:r>
      <w:r>
        <w:rPr>
          <w:rFonts w:hint="eastAsia" w:ascii="仿宋" w:hAnsi="仿宋" w:eastAsia="仿宋" w:cs="仿宋"/>
          <w:color w:val="auto"/>
          <w:sz w:val="24"/>
          <w:lang w:val="zh-CN"/>
        </w:rPr>
        <w:t>双方均有义务拒绝对方员工的索贿、行贿行为。</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2、甲乙</w:t>
      </w:r>
      <w:r>
        <w:rPr>
          <w:rFonts w:hint="eastAsia" w:ascii="仿宋" w:hAnsi="仿宋" w:eastAsia="仿宋" w:cs="仿宋"/>
          <w:color w:val="auto"/>
          <w:sz w:val="24"/>
          <w:lang w:val="zh-CN"/>
        </w:rPr>
        <w:t>双方员工按照商业惯例收取对方的礼品、纪念品，必须统一上交各自所在公司，由公司负责处理。双方互有义务将此事通知对方。</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3、</w:t>
      </w:r>
      <w:r>
        <w:rPr>
          <w:rFonts w:hint="eastAsia" w:ascii="仿宋" w:hAnsi="仿宋" w:eastAsia="仿宋" w:cs="仿宋"/>
          <w:color w:val="auto"/>
          <w:sz w:val="24"/>
          <w:lang w:val="zh-CN"/>
        </w:rPr>
        <w:t>在合作过程中，如出现</w:t>
      </w:r>
      <w:r>
        <w:rPr>
          <w:rFonts w:hint="eastAsia" w:ascii="仿宋" w:hAnsi="仿宋" w:eastAsia="仿宋" w:cs="仿宋"/>
          <w:color w:val="auto"/>
          <w:sz w:val="24"/>
        </w:rPr>
        <w:t>甲方</w:t>
      </w:r>
      <w:r>
        <w:rPr>
          <w:rFonts w:hint="eastAsia" w:ascii="仿宋" w:hAnsi="仿宋" w:eastAsia="仿宋" w:cs="仿宋"/>
          <w:color w:val="auto"/>
          <w:sz w:val="24"/>
          <w:lang w:val="zh-CN"/>
        </w:rPr>
        <w:t>员工索贿、接受贿赂的现象，</w:t>
      </w:r>
      <w:r>
        <w:rPr>
          <w:rFonts w:hint="eastAsia" w:ascii="仿宋" w:hAnsi="仿宋" w:eastAsia="仿宋" w:cs="仿宋"/>
          <w:color w:val="auto"/>
          <w:sz w:val="24"/>
        </w:rPr>
        <w:t>乙</w:t>
      </w:r>
      <w:r>
        <w:rPr>
          <w:rFonts w:hint="eastAsia" w:ascii="仿宋" w:hAnsi="仿宋" w:eastAsia="仿宋" w:cs="仿宋"/>
          <w:color w:val="auto"/>
          <w:sz w:val="24"/>
          <w:lang w:val="zh-CN"/>
        </w:rPr>
        <w:t>方应及时向</w:t>
      </w:r>
      <w:r>
        <w:rPr>
          <w:rFonts w:hint="eastAsia" w:ascii="仿宋" w:hAnsi="仿宋" w:eastAsia="仿宋" w:cs="仿宋"/>
          <w:color w:val="auto"/>
          <w:sz w:val="24"/>
        </w:rPr>
        <w:t>甲</w:t>
      </w:r>
      <w:r>
        <w:rPr>
          <w:rFonts w:hint="eastAsia" w:ascii="仿宋" w:hAnsi="仿宋" w:eastAsia="仿宋" w:cs="仿宋"/>
          <w:color w:val="auto"/>
          <w:sz w:val="24"/>
          <w:lang w:val="zh-CN"/>
        </w:rPr>
        <w:t>方进行举报。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4、甲乙</w:t>
      </w:r>
      <w:r>
        <w:rPr>
          <w:rFonts w:hint="eastAsia" w:ascii="仿宋" w:hAnsi="仿宋" w:eastAsia="仿宋" w:cs="仿宋"/>
          <w:color w:val="auto"/>
          <w:sz w:val="24"/>
          <w:lang w:val="zh-CN"/>
        </w:rPr>
        <w:t>双方承诺愿意配合对其员工索取、接受贿赂的行为进行调查。</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5、</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双方为谋取商业利益给对方员工贿赂或者不拒绝对方员工索取贿赂的，违约方承担相关法律责任。</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6、</w:t>
      </w:r>
      <w:r>
        <w:rPr>
          <w:rFonts w:hint="eastAsia" w:ascii="仿宋" w:hAnsi="仿宋" w:eastAsia="仿宋" w:cs="仿宋"/>
          <w:color w:val="auto"/>
          <w:sz w:val="24"/>
          <w:lang w:val="zh-CN"/>
        </w:rPr>
        <w:t>如</w:t>
      </w:r>
      <w:r>
        <w:rPr>
          <w:rFonts w:hint="eastAsia" w:ascii="仿宋" w:hAnsi="仿宋" w:eastAsia="仿宋" w:cs="仿宋"/>
          <w:color w:val="auto"/>
          <w:sz w:val="24"/>
        </w:rPr>
        <w:t>甲乙</w:t>
      </w:r>
      <w:r>
        <w:rPr>
          <w:rFonts w:hint="eastAsia" w:ascii="仿宋" w:hAnsi="仿宋" w:eastAsia="仿宋" w:cs="仿宋"/>
          <w:color w:val="auto"/>
          <w:sz w:val="24"/>
          <w:lang w:val="zh-CN"/>
        </w:rPr>
        <w:t>双方违反本条约定，任何一方有权单方解除合同或协议，并不承担任何违约责任及赔偿责任，但提出解除合同方应向对方出具司法机关出具的证据。</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rPr>
        <w:t>7、甲乙</w:t>
      </w:r>
      <w:r>
        <w:rPr>
          <w:rFonts w:hint="eastAsia" w:ascii="仿宋" w:hAnsi="仿宋" w:eastAsia="仿宋" w:cs="仿宋"/>
          <w:color w:val="auto"/>
          <w:sz w:val="24"/>
          <w:lang w:val="zh-CN"/>
        </w:rPr>
        <w:t>双方积极全面履行协议，并能向对方举报其员工索取、收受贿赂事实的，</w:t>
      </w:r>
      <w:r>
        <w:rPr>
          <w:rFonts w:hint="eastAsia" w:ascii="仿宋" w:hAnsi="仿宋" w:eastAsia="仿宋" w:cs="仿宋"/>
          <w:color w:val="auto"/>
          <w:sz w:val="24"/>
        </w:rPr>
        <w:t>甲乙</w:t>
      </w:r>
      <w:r>
        <w:rPr>
          <w:rFonts w:hint="eastAsia" w:ascii="仿宋" w:hAnsi="仿宋" w:eastAsia="仿宋" w:cs="仿宋"/>
          <w:color w:val="auto"/>
          <w:sz w:val="24"/>
          <w:lang w:val="zh-CN"/>
        </w:rPr>
        <w:t>双方将优先与其发展合作关系，给予在同等条件下优先采购及优惠条件；如果举报与事实不符，</w:t>
      </w:r>
      <w:r>
        <w:rPr>
          <w:rFonts w:hint="eastAsia" w:ascii="仿宋" w:hAnsi="仿宋" w:eastAsia="仿宋" w:cs="仿宋"/>
          <w:color w:val="auto"/>
          <w:sz w:val="24"/>
        </w:rPr>
        <w:t>甲乙</w:t>
      </w:r>
      <w:r>
        <w:rPr>
          <w:rFonts w:hint="eastAsia" w:ascii="仿宋" w:hAnsi="仿宋" w:eastAsia="仿宋" w:cs="仿宋"/>
          <w:color w:val="auto"/>
          <w:sz w:val="24"/>
          <w:lang w:val="zh-CN"/>
        </w:rPr>
        <w:t>双方有权终止与其商业合作关系，并承担法律责任。</w:t>
      </w:r>
    </w:p>
    <w:p>
      <w:pPr>
        <w:spacing w:line="560" w:lineRule="exact"/>
        <w:ind w:firstLine="480"/>
        <w:rPr>
          <w:rFonts w:eastAsia="仿宋"/>
          <w:color w:val="auto"/>
        </w:rPr>
      </w:pPr>
      <w:r>
        <w:rPr>
          <w:rFonts w:hint="eastAsia" w:ascii="仿宋" w:hAnsi="仿宋" w:eastAsia="仿宋" w:cs="仿宋"/>
          <w:color w:val="auto"/>
          <w:sz w:val="24"/>
        </w:rPr>
        <w:t>8、甲乙</w:t>
      </w:r>
      <w:r>
        <w:rPr>
          <w:rFonts w:hint="eastAsia" w:ascii="仿宋" w:hAnsi="仿宋" w:eastAsia="仿宋" w:cs="仿宋"/>
          <w:color w:val="auto"/>
          <w:sz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十五、本合同的任何变更，均应以书面形式提出，并由双方授权人等协商一致后书面达成协议方有效。</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十六、甲乙双方应对在本合同谈判期间、履行期间从另一方获得或收到的价格、资料、信息及其它商业秘密进行保密，未经对方书面事先同意不得向任何第三方以任何方式披露。</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rPr>
        <w:t>十七、本合同适用中华人民共和国法律，并据其进行解释。</w:t>
      </w:r>
    </w:p>
    <w:p>
      <w:pPr>
        <w:spacing w:line="560" w:lineRule="exact"/>
        <w:ind w:firstLine="480"/>
        <w:rPr>
          <w:rFonts w:eastAsia="仿宋"/>
          <w:color w:val="auto"/>
        </w:rPr>
      </w:pPr>
      <w:r>
        <w:rPr>
          <w:rFonts w:hint="eastAsia" w:ascii="仿宋" w:hAnsi="仿宋" w:eastAsia="仿宋" w:cs="仿宋"/>
          <w:color w:val="auto"/>
          <w:sz w:val="24"/>
        </w:rPr>
        <w:t>合同履行过程中，若发生争议，双方应协商解决；如协商不成均由三明市沙县区有管辖权的人民法院管辖。</w:t>
      </w:r>
    </w:p>
    <w:p>
      <w:pPr>
        <w:spacing w:line="560" w:lineRule="exact"/>
        <w:ind w:firstLine="480"/>
        <w:rPr>
          <w:rFonts w:ascii="仿宋" w:hAnsi="仿宋" w:eastAsia="仿宋" w:cs="仿宋"/>
          <w:color w:val="auto"/>
          <w:sz w:val="24"/>
        </w:rPr>
      </w:pPr>
      <w:r>
        <w:rPr>
          <w:rFonts w:hint="eastAsia" w:ascii="仿宋" w:hAnsi="仿宋" w:eastAsia="仿宋" w:cs="仿宋"/>
          <w:color w:val="auto"/>
          <w:sz w:val="24"/>
          <w:lang w:val="zh-CN"/>
        </w:rPr>
        <w:t>十八、</w:t>
      </w:r>
      <w:r>
        <w:rPr>
          <w:rFonts w:hint="eastAsia" w:ascii="仿宋" w:hAnsi="仿宋" w:eastAsia="仿宋" w:cs="仿宋"/>
          <w:color w:val="auto"/>
          <w:sz w:val="24"/>
        </w:rPr>
        <w:t>其他</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1、合同附件为本合同不可分割的一部分，与本合同具有同等的法律效力，补充协议与本协议有冲突的，以补充协议为准。</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2、本合同一经生效，非经甲乙双方签署书面补充协议同意，任何一方以其他方式对合同条款的增减及其他变更均无约束力。</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3、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4、本合同自双方加盖公章或合同专用章后生效，合同约定所有义务履行完毕后自行终止。合同的终止并不影响保密义务的继续履行。</w:t>
      </w:r>
    </w:p>
    <w:p>
      <w:pPr>
        <w:shd w:val="clear" w:color="auto" w:fill="FFFFFF"/>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5、本合同及附件一式陆份，甲方叁份，乙方叁份，每份具有同等的法律效力。</w:t>
      </w:r>
    </w:p>
    <w:p>
      <w:pPr>
        <w:spacing w:line="560" w:lineRule="exact"/>
        <w:ind w:firstLine="480"/>
        <w:rPr>
          <w:rFonts w:ascii="仿宋" w:hAnsi="仿宋" w:eastAsia="仿宋" w:cs="仿宋"/>
          <w:color w:val="auto"/>
          <w:sz w:val="24"/>
          <w:lang w:val="zh-CN"/>
        </w:rPr>
      </w:pPr>
      <w:r>
        <w:rPr>
          <w:rFonts w:hint="eastAsia" w:ascii="仿宋" w:hAnsi="仿宋" w:eastAsia="仿宋" w:cs="仿宋"/>
          <w:color w:val="auto"/>
          <w:sz w:val="24"/>
          <w:lang w:val="zh-CN"/>
        </w:rPr>
        <w:t>（以下无正文）</w:t>
      </w:r>
    </w:p>
    <w:p>
      <w:pPr>
        <w:pStyle w:val="13"/>
        <w:rPr>
          <w:color w:val="auto"/>
          <w:lang w:val="zh-CN"/>
        </w:rPr>
      </w:pPr>
    </w:p>
    <w:tbl>
      <w:tblPr>
        <w:tblStyle w:val="14"/>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480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bookmarkStart w:id="16" w:name="_GoBack"/>
            <w:r>
              <w:rPr>
                <w:rFonts w:hint="eastAsia" w:ascii="仿宋" w:hAnsi="仿宋" w:eastAsia="仿宋" w:cs="仿宋"/>
                <w:color w:val="auto"/>
                <w:sz w:val="24"/>
              </w:rPr>
              <w:t>甲  方</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名称（公章）：中国机械总院集团海西（福建）分院有限公司</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 xml:space="preserve">地址：福建省三明市沙县区金沙园开发区创新东路413号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法定代表人：薛松海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电话：0598-8863008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开户银行：中国农业银行沙县支行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银行帐号：13840101040017600 </w:t>
            </w:r>
            <w:r>
              <w:rPr>
                <w:rFonts w:ascii="仿宋" w:hAnsi="仿宋" w:eastAsia="仿宋" w:cs="仿宋"/>
                <w:color w:val="auto"/>
                <w:sz w:val="24"/>
              </w:rPr>
              <w:t xml:space="preserve">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rPr>
            </w:pPr>
            <w:r>
              <w:rPr>
                <w:rFonts w:hint="eastAsia" w:ascii="仿宋" w:hAnsi="仿宋" w:eastAsia="仿宋" w:cs="仿宋"/>
                <w:color w:val="auto"/>
                <w:sz w:val="24"/>
              </w:rPr>
              <w:t>税号：913504270603757361</w:t>
            </w:r>
            <w:r>
              <w:rPr>
                <w:rFonts w:ascii="仿宋" w:hAnsi="仿宋" w:eastAsia="仿宋" w:cs="仿宋"/>
                <w:color w:val="auto"/>
                <w:sz w:val="24"/>
              </w:rPr>
              <w:t xml:space="preserve"> </w:t>
            </w:r>
          </w:p>
        </w:tc>
        <w:tc>
          <w:tcPr>
            <w:tcW w:w="515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仿宋"/>
                <w:color w:val="auto"/>
                <w:sz w:val="24"/>
              </w:rPr>
              <w:t>乙  方</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华文仿宋"/>
                <w:color w:val="auto"/>
                <w:sz w:val="24"/>
              </w:rPr>
            </w:pPr>
            <w:r>
              <w:rPr>
                <w:rFonts w:hint="eastAsia" w:ascii="仿宋" w:hAnsi="仿宋" w:eastAsia="仿宋" w:cs="仿宋"/>
                <w:color w:val="auto"/>
                <w:sz w:val="24"/>
              </w:rPr>
              <w:t>名称（公章）：</w:t>
            </w:r>
            <w:r>
              <w:rPr>
                <w:rFonts w:hint="eastAsia" w:ascii="仿宋" w:hAnsi="仿宋" w:eastAsia="仿宋" w:cs="华文仿宋"/>
                <w:color w:val="auto"/>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88" w:lineRule="auto"/>
              <w:ind w:left="600" w:hanging="600" w:hangingChars="250"/>
              <w:textAlignment w:val="baseline"/>
              <w:rPr>
                <w:rFonts w:ascii="仿宋" w:hAnsi="仿宋" w:eastAsia="仿宋" w:cs="仿宋"/>
                <w:color w:val="auto"/>
                <w:sz w:val="24"/>
              </w:rPr>
            </w:pPr>
            <w:r>
              <w:rPr>
                <w:rFonts w:hint="eastAsia" w:ascii="仿宋" w:hAnsi="仿宋" w:eastAsia="仿宋" w:cs="华文仿宋"/>
                <w:color w:val="auto"/>
                <w:sz w:val="24"/>
              </w:rPr>
              <w:t xml:space="preserve">地址：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法定代表人：</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委托代理人：</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电话： </w:t>
            </w:r>
          </w:p>
          <w:p>
            <w:pPr>
              <w:keepNext w:val="0"/>
              <w:keepLines w:val="0"/>
              <w:pageBreakBefore w:val="0"/>
              <w:widowControl/>
              <w:tabs>
                <w:tab w:val="left" w:pos="18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传真：</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开户银行：</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银行帐号： </w:t>
            </w:r>
          </w:p>
          <w:p>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auto"/>
                <w:sz w:val="24"/>
              </w:rPr>
            </w:pPr>
            <w:r>
              <w:rPr>
                <w:rFonts w:hint="eastAsia" w:ascii="仿宋" w:hAnsi="仿宋" w:eastAsia="仿宋" w:cs="仿宋"/>
                <w:color w:val="auto"/>
                <w:sz w:val="24"/>
              </w:rPr>
              <w:t xml:space="preserve">税号： </w:t>
            </w:r>
          </w:p>
        </w:tc>
      </w:tr>
      <w:bookmarkEnd w:id="16"/>
    </w:tbl>
    <w:p>
      <w:pPr>
        <w:pStyle w:val="21"/>
        <w:ind w:firstLine="420"/>
        <w:rPr>
          <w:rFonts w:hint="eastAsia" w:eastAsia="宋体"/>
          <w:color w:val="auto"/>
          <w:sz w:val="21"/>
          <w:szCs w:val="21"/>
          <w:lang w:eastAsia="zh-CN"/>
        </w:rPr>
      </w:pPr>
    </w:p>
    <w:p/>
    <w:sectPr>
      <w:headerReference r:id="rId6" w:type="default"/>
      <w:footerReference r:id="rId7" w:type="default"/>
      <w:pgSz w:w="11905" w:h="16838"/>
      <w:pgMar w:top="1440" w:right="1080" w:bottom="1440" w:left="1080" w:header="851"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2907030</wp:posOffset>
              </wp:positionH>
              <wp:positionV relativeFrom="paragraph">
                <wp:posOffset>635</wp:posOffset>
              </wp:positionV>
              <wp:extent cx="289560" cy="1714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89560" cy="171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8.9pt;margin-top:0.05pt;height:13.5pt;width:22.8pt;mso-position-horizontal-relative:margin;z-index:251659264;mso-width-relative:page;mso-height-relative:page;" filled="f" stroked="f" coordsize="21600,21600" o:gfxdata="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BGI1QAAAAcBAAAPAAAAAAAAAAEAIAAAACIAAABkcnMvZG93bnJldi54bWxQSwEC&#10;FAAUAAAACACHTuJArhTFAjACAABXBAAADgAAAAAAAAABACAAAAAkAQAAZHJzL2Uyb0RvYy54bWxQ&#10;SwUGAAAAAAYABgBZAQAAxgUAAAAA&#10;">
              <v:fill on="f" focussize="0,0"/>
              <v:stroke on="f" weight="0.5pt"/>
              <v:imagedata o:title=""/>
              <o:lock v:ext="edit" aspectratio="f"/>
              <v:textbox inset="0mm,0mm,0mm,0mm">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hint="eastAsia" w:eastAsia="宋体"/>
                      </w:rPr>
                      <w:t>15</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hint="eastAsia" w:ascii="宋体" w:hAnsi="宋体" w:eastAsia="宋体" w:cs="宋体"/>
        <w:sz w:val="28"/>
        <w:szCs w:val="28"/>
        <w:lang w:eastAsia="zh-CN"/>
      </w:rPr>
    </w:pPr>
    <w:r>
      <w:drawing>
        <wp:inline distT="0" distB="0" distL="114300" distR="114300">
          <wp:extent cx="3848100" cy="64770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0ZmUxZGJkZjFhMWI5NjBmZThiYmM4NjkwYzZmYm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63D2047"/>
    <w:rsid w:val="06555C4C"/>
    <w:rsid w:val="082216E1"/>
    <w:rsid w:val="08E31B8A"/>
    <w:rsid w:val="0BD75BB1"/>
    <w:rsid w:val="0C0E7A2C"/>
    <w:rsid w:val="0C97306B"/>
    <w:rsid w:val="13DD4624"/>
    <w:rsid w:val="143516C6"/>
    <w:rsid w:val="1441006B"/>
    <w:rsid w:val="15BE749A"/>
    <w:rsid w:val="19416EE3"/>
    <w:rsid w:val="19E54C84"/>
    <w:rsid w:val="1A2B2E16"/>
    <w:rsid w:val="1CB72E06"/>
    <w:rsid w:val="1D406077"/>
    <w:rsid w:val="1DBA2F4A"/>
    <w:rsid w:val="1F9B0ADF"/>
    <w:rsid w:val="1FC00470"/>
    <w:rsid w:val="213B2D65"/>
    <w:rsid w:val="21B97B04"/>
    <w:rsid w:val="22345F2D"/>
    <w:rsid w:val="223760ED"/>
    <w:rsid w:val="229A5157"/>
    <w:rsid w:val="22F1792F"/>
    <w:rsid w:val="23C06ACA"/>
    <w:rsid w:val="24494014"/>
    <w:rsid w:val="28872C4F"/>
    <w:rsid w:val="29DE5491"/>
    <w:rsid w:val="2CD14227"/>
    <w:rsid w:val="2EA636D0"/>
    <w:rsid w:val="374B4BD9"/>
    <w:rsid w:val="38557A9F"/>
    <w:rsid w:val="3A4A73CA"/>
    <w:rsid w:val="3DE83A67"/>
    <w:rsid w:val="42BD2F8E"/>
    <w:rsid w:val="435B1499"/>
    <w:rsid w:val="440A6827"/>
    <w:rsid w:val="47100713"/>
    <w:rsid w:val="474C1085"/>
    <w:rsid w:val="48B325A9"/>
    <w:rsid w:val="49203109"/>
    <w:rsid w:val="4A406DBD"/>
    <w:rsid w:val="4A7A55DF"/>
    <w:rsid w:val="4ABB39CC"/>
    <w:rsid w:val="4B5E45B8"/>
    <w:rsid w:val="4BF71DFE"/>
    <w:rsid w:val="4C0E5B77"/>
    <w:rsid w:val="4DC57782"/>
    <w:rsid w:val="4DF810AC"/>
    <w:rsid w:val="4FF456D9"/>
    <w:rsid w:val="50390222"/>
    <w:rsid w:val="53DA53DB"/>
    <w:rsid w:val="55CA11C1"/>
    <w:rsid w:val="5621082A"/>
    <w:rsid w:val="56625644"/>
    <w:rsid w:val="58324C4B"/>
    <w:rsid w:val="5A13454B"/>
    <w:rsid w:val="5D2574A1"/>
    <w:rsid w:val="5DC2080A"/>
    <w:rsid w:val="5FC078B7"/>
    <w:rsid w:val="64032E7A"/>
    <w:rsid w:val="643C17FA"/>
    <w:rsid w:val="646451EA"/>
    <w:rsid w:val="65B23EF2"/>
    <w:rsid w:val="67FF3F88"/>
    <w:rsid w:val="6905258B"/>
    <w:rsid w:val="69AB353C"/>
    <w:rsid w:val="6A6D4009"/>
    <w:rsid w:val="6B9F29DB"/>
    <w:rsid w:val="6C242CBC"/>
    <w:rsid w:val="6C4A4810"/>
    <w:rsid w:val="70EA3EB4"/>
    <w:rsid w:val="73830C7C"/>
    <w:rsid w:val="73DA76D3"/>
    <w:rsid w:val="750A0CFF"/>
    <w:rsid w:val="77687477"/>
    <w:rsid w:val="778D3071"/>
    <w:rsid w:val="77BA6C36"/>
    <w:rsid w:val="78EE6CAC"/>
    <w:rsid w:val="79D42231"/>
    <w:rsid w:val="79F214BE"/>
    <w:rsid w:val="7A7953A0"/>
    <w:rsid w:val="7B2C1BF9"/>
    <w:rsid w:val="7C603C27"/>
    <w:rsid w:val="7EBD3628"/>
    <w:rsid w:val="7F030EC6"/>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qFormat/>
    <w:uiPriority w:val="0"/>
  </w:style>
  <w:style w:type="paragraph" w:styleId="5">
    <w:name w:val="Body Text"/>
    <w:basedOn w:val="1"/>
    <w:autoRedefine/>
    <w:qFormat/>
    <w:uiPriority w:val="1"/>
    <w:rPr>
      <w:rFonts w:ascii="宋体" w:hAnsi="宋体" w:eastAsia="宋体" w:cs="宋体"/>
      <w:sz w:val="24"/>
      <w:szCs w:val="24"/>
      <w:lang w:val="zh-CN" w:bidi="zh-CN"/>
    </w:rPr>
  </w:style>
  <w:style w:type="paragraph" w:styleId="6">
    <w:name w:val="Body Text Indent"/>
    <w:basedOn w:val="1"/>
    <w:autoRedefine/>
    <w:qFormat/>
    <w:uiPriority w:val="0"/>
    <w:pPr>
      <w:spacing w:after="120"/>
      <w:ind w:left="420" w:leftChars="200"/>
    </w:pPr>
  </w:style>
  <w:style w:type="paragraph" w:styleId="7">
    <w:name w:val="toc 3"/>
    <w:basedOn w:val="1"/>
    <w:next w:val="1"/>
    <w:autoRedefine/>
    <w:qFormat/>
    <w:uiPriority w:val="39"/>
    <w:pPr>
      <w:ind w:left="840" w:leftChars="400"/>
    </w:pPr>
  </w:style>
  <w:style w:type="paragraph" w:styleId="8">
    <w:name w:val="footer"/>
    <w:basedOn w:val="1"/>
    <w:autoRedefine/>
    <w:qFormat/>
    <w:uiPriority w:val="0"/>
    <w:pPr>
      <w:tabs>
        <w:tab w:val="center" w:pos="4153"/>
        <w:tab w:val="right" w:pos="8306"/>
      </w:tabs>
    </w:pPr>
    <w:rPr>
      <w:sz w:val="18"/>
    </w:rPr>
  </w:style>
  <w:style w:type="paragraph" w:styleId="9">
    <w:name w:val="header"/>
    <w:basedOn w:val="1"/>
    <w:link w:val="28"/>
    <w:autoRedefine/>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autoRedefine/>
    <w:qFormat/>
    <w:uiPriority w:val="39"/>
  </w:style>
  <w:style w:type="paragraph" w:styleId="11">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2">
    <w:name w:val="annotation subject"/>
    <w:basedOn w:val="4"/>
    <w:next w:val="4"/>
    <w:link w:val="24"/>
    <w:autoRedefine/>
    <w:qFormat/>
    <w:uiPriority w:val="0"/>
    <w:rPr>
      <w:b/>
      <w:bCs/>
    </w:rPr>
  </w:style>
  <w:style w:type="paragraph" w:styleId="13">
    <w:name w:val="Body Text First Indent 2"/>
    <w:basedOn w:val="6"/>
    <w:autoRedefine/>
    <w:qFormat/>
    <w:uiPriority w:val="0"/>
    <w:pPr>
      <w:ind w:firstLine="420" w:firstLineChars="200"/>
    </w:pPr>
  </w:style>
  <w:style w:type="character" w:styleId="16">
    <w:name w:val="Strong"/>
    <w:basedOn w:val="15"/>
    <w:autoRedefine/>
    <w:qFormat/>
    <w:uiPriority w:val="22"/>
    <w:rPr>
      <w:b/>
      <w:bCs/>
    </w:rPr>
  </w:style>
  <w:style w:type="character" w:styleId="17">
    <w:name w:val="Hyperlink"/>
    <w:basedOn w:val="15"/>
    <w:autoRedefine/>
    <w:unhideWhenUsed/>
    <w:qFormat/>
    <w:uiPriority w:val="99"/>
    <w:rPr>
      <w:color w:val="0563C1" w:themeColor="hyperlink"/>
      <w:u w:val="single"/>
      <w14:textFill>
        <w14:solidFill>
          <w14:schemeClr w14:val="hlink"/>
        </w14:solidFill>
      </w14:textFill>
    </w:rPr>
  </w:style>
  <w:style w:type="character" w:styleId="18">
    <w:name w:val="annotation reference"/>
    <w:basedOn w:val="15"/>
    <w:autoRedefine/>
    <w:qFormat/>
    <w:uiPriority w:val="0"/>
    <w:rPr>
      <w:sz w:val="21"/>
      <w:szCs w:val="21"/>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font01"/>
    <w:basedOn w:val="15"/>
    <w:autoRedefine/>
    <w:qFormat/>
    <w:uiPriority w:val="0"/>
    <w:rPr>
      <w:rFonts w:hint="eastAsia" w:ascii="宋体" w:hAnsi="宋体" w:eastAsia="宋体" w:cs="宋体"/>
      <w:color w:val="000000"/>
      <w:sz w:val="24"/>
      <w:szCs w:val="24"/>
      <w:u w:val="none"/>
      <w:vertAlign w:val="superscript"/>
    </w:rPr>
  </w:style>
  <w:style w:type="paragraph" w:customStyle="1" w:styleId="21">
    <w:name w:val="报告正文"/>
    <w:basedOn w:val="1"/>
    <w:autoRedefine/>
    <w:qFormat/>
    <w:uiPriority w:val="99"/>
    <w:pPr>
      <w:spacing w:line="360" w:lineRule="auto"/>
      <w:ind w:firstLine="560" w:firstLineChars="200"/>
    </w:pPr>
    <w:rPr>
      <w:sz w:val="28"/>
      <w:szCs w:val="28"/>
    </w:rPr>
  </w:style>
  <w:style w:type="paragraph" w:customStyle="1" w:styleId="22">
    <w:name w:val="WPSOffice手动目录 1"/>
    <w:autoRedefine/>
    <w:qFormat/>
    <w:uiPriority w:val="0"/>
    <w:rPr>
      <w:rFonts w:ascii="Times New Roman" w:hAnsi="Times New Roman" w:eastAsia="宋体" w:cs="Times New Roman"/>
      <w:lang w:val="en-US" w:eastAsia="zh-CN" w:bidi="ar-SA"/>
    </w:rPr>
  </w:style>
  <w:style w:type="character" w:customStyle="1" w:styleId="23">
    <w:name w:val="批注文字 字符"/>
    <w:basedOn w:val="15"/>
    <w:link w:val="4"/>
    <w:autoRedefine/>
    <w:qFormat/>
    <w:uiPriority w:val="0"/>
    <w:rPr>
      <w:rFonts w:ascii="Arial" w:hAnsi="Arial" w:eastAsia="Arial" w:cs="Arial"/>
      <w:snapToGrid w:val="0"/>
      <w:color w:val="000000"/>
      <w:sz w:val="21"/>
      <w:szCs w:val="21"/>
    </w:rPr>
  </w:style>
  <w:style w:type="character" w:customStyle="1" w:styleId="24">
    <w:name w:val="批注主题 字符"/>
    <w:basedOn w:val="23"/>
    <w:link w:val="12"/>
    <w:autoRedefine/>
    <w:qFormat/>
    <w:uiPriority w:val="0"/>
    <w:rPr>
      <w:rFonts w:ascii="Arial" w:hAnsi="Arial" w:eastAsia="Arial" w:cs="Arial"/>
      <w:b/>
      <w:bCs/>
      <w:snapToGrid w:val="0"/>
      <w:color w:val="000000"/>
      <w:sz w:val="21"/>
      <w:szCs w:val="21"/>
    </w:rPr>
  </w:style>
  <w:style w:type="paragraph" w:styleId="25">
    <w:name w:val="List Paragraph"/>
    <w:basedOn w:val="1"/>
    <w:autoRedefine/>
    <w:qFormat/>
    <w:uiPriority w:val="99"/>
    <w:pPr>
      <w:ind w:firstLine="420" w:firstLineChars="200"/>
    </w:pPr>
  </w:style>
  <w:style w:type="character" w:customStyle="1" w:styleId="26">
    <w:name w:val="标题 1 字符"/>
    <w:basedOn w:val="15"/>
    <w:link w:val="2"/>
    <w:autoRedefine/>
    <w:qFormat/>
    <w:uiPriority w:val="0"/>
    <w:rPr>
      <w:rFonts w:ascii="Arial" w:hAnsi="Arial" w:eastAsia="Arial" w:cs="Arial"/>
      <w:b/>
      <w:bCs/>
      <w:snapToGrid w:val="0"/>
      <w:color w:val="000000"/>
      <w:kern w:val="44"/>
      <w:sz w:val="44"/>
      <w:szCs w:val="44"/>
    </w:rPr>
  </w:style>
  <w:style w:type="paragraph" w:customStyle="1" w:styleId="27">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28">
    <w:name w:val="页眉 字符"/>
    <w:basedOn w:val="15"/>
    <w:link w:val="9"/>
    <w:autoRedefine/>
    <w:qFormat/>
    <w:uiPriority w:val="0"/>
    <w:rPr>
      <w:rFonts w:ascii="Arial" w:hAnsi="Arial" w:eastAsia="Arial" w:cs="Arial"/>
      <w:snapToGrid w:val="0"/>
      <w:color w:val="000000"/>
      <w:sz w:val="18"/>
      <w:szCs w:val="18"/>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标题A"/>
    <w:basedOn w:val="25"/>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3594</Words>
  <Characters>3937</Characters>
  <Lines>28</Lines>
  <Paragraphs>7</Paragraphs>
  <TotalTime>24</TotalTime>
  <ScaleCrop>false</ScaleCrop>
  <LinksUpToDate>false</LinksUpToDate>
  <CharactersWithSpaces>5015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 Mr.Guang</cp:lastModifiedBy>
  <cp:lastPrinted>2024-01-19T00:05:20Z</cp:lastPrinted>
  <dcterms:modified xsi:type="dcterms:W3CDTF">2024-01-19T02:15:53Z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C7A050F2B453419B9DDEA8EBFDC5094F_13</vt:lpwstr>
  </property>
</Properties>
</file>