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3575"/>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w:t>
      </w:r>
      <w:bookmarkEnd w:id="0"/>
    </w:p>
    <w:tbl>
      <w:tblPr>
        <w:tblStyle w:val="5"/>
        <w:tblW w:w="10130" w:type="dxa"/>
        <w:jc w:val="center"/>
        <w:shd w:val="clear" w:color="auto" w:fill="auto"/>
        <w:tblLayout w:type="autofit"/>
        <w:tblCellMar>
          <w:top w:w="0" w:type="dxa"/>
          <w:left w:w="0" w:type="dxa"/>
          <w:bottom w:w="0" w:type="dxa"/>
          <w:right w:w="0" w:type="dxa"/>
        </w:tblCellMar>
      </w:tblPr>
      <w:tblGrid>
        <w:gridCol w:w="460"/>
        <w:gridCol w:w="2030"/>
        <w:gridCol w:w="3510"/>
        <w:gridCol w:w="2680"/>
        <w:gridCol w:w="1450"/>
      </w:tblGrid>
      <w:tr>
        <w:tblPrEx>
          <w:shd w:val="clear" w:color="auto" w:fill="auto"/>
          <w:tblCellMar>
            <w:top w:w="0" w:type="dxa"/>
            <w:left w:w="0" w:type="dxa"/>
            <w:bottom w:w="0" w:type="dxa"/>
            <w:right w:w="0" w:type="dxa"/>
          </w:tblCellMar>
        </w:tblPrEx>
        <w:trPr>
          <w:trHeight w:val="595" w:hRule="atLeast"/>
          <w:jc w:val="center"/>
        </w:trPr>
        <w:tc>
          <w:tcPr>
            <w:tcW w:w="4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设备名称</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主要技术参数</w:t>
            </w:r>
          </w:p>
        </w:tc>
        <w:tc>
          <w:tcPr>
            <w:tcW w:w="2680"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配置要求</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技术支持要求</w:t>
            </w:r>
          </w:p>
        </w:tc>
      </w:tr>
      <w:tr>
        <w:tblPrEx>
          <w:tblCellMar>
            <w:top w:w="0" w:type="dxa"/>
            <w:left w:w="0" w:type="dxa"/>
            <w:bottom w:w="0" w:type="dxa"/>
            <w:right w:w="0" w:type="dxa"/>
          </w:tblCellMar>
        </w:tblPrEx>
        <w:trPr>
          <w:trHeight w:val="2680" w:hRule="atLeast"/>
          <w:jc w:val="center"/>
        </w:trPr>
        <w:tc>
          <w:tcPr>
            <w:tcW w:w="4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立式加工中心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asciiTheme="majorEastAsia" w:hAnsiTheme="majorEastAsia" w:eastAsiaTheme="majorEastAsia" w:cstheme="majorEastAsia"/>
                <w:i w:val="0"/>
                <w:color w:val="000000"/>
                <w:sz w:val="18"/>
                <w:szCs w:val="18"/>
                <w:u w:val="none"/>
              </w:rPr>
            </w:pPr>
            <w:r>
              <w:rPr>
                <w:rStyle w:val="7"/>
                <w:rFonts w:hint="eastAsia" w:asciiTheme="majorEastAsia" w:hAnsiTheme="majorEastAsia" w:eastAsiaTheme="majorEastAsia" w:cstheme="majorEastAsia"/>
                <w:sz w:val="18"/>
                <w:szCs w:val="18"/>
                <w:lang w:bidi="ar"/>
              </w:rPr>
              <w:t>工作台行程（</w:t>
            </w:r>
            <w:r>
              <w:rPr>
                <w:rStyle w:val="8"/>
                <w:rFonts w:hint="eastAsia" w:asciiTheme="majorEastAsia" w:hAnsiTheme="majorEastAsia" w:eastAsiaTheme="majorEastAsia" w:cstheme="majorEastAsia"/>
                <w:sz w:val="18"/>
                <w:szCs w:val="18"/>
                <w:lang w:bidi="ar"/>
              </w:rPr>
              <w:t>X/Y/Z</w:t>
            </w:r>
            <w:r>
              <w:rPr>
                <w:rStyle w:val="7"/>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 xml:space="preserve"> </w:t>
            </w:r>
            <w:r>
              <w:rPr>
                <w:rStyle w:val="9"/>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710×400×430mm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主轴鼻端至工作台面</w:t>
            </w:r>
            <w:r>
              <w:rPr>
                <w:rStyle w:val="8"/>
                <w:rFonts w:hint="eastAsia" w:asciiTheme="majorEastAsia" w:hAnsiTheme="majorEastAsia" w:eastAsiaTheme="majorEastAsia" w:cstheme="majorEastAsia"/>
                <w:sz w:val="18"/>
                <w:szCs w:val="18"/>
                <w:lang w:bidi="ar"/>
              </w:rPr>
              <w:t xml:space="preserve"> </w:t>
            </w:r>
            <w:r>
              <w:rPr>
                <w:rStyle w:val="9"/>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150-580mm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工作台前端至门边</w:t>
            </w:r>
            <w:r>
              <w:rPr>
                <w:rStyle w:val="8"/>
                <w:rFonts w:hint="eastAsia" w:asciiTheme="majorEastAsia" w:hAnsiTheme="majorEastAsia" w:eastAsiaTheme="majorEastAsia" w:cstheme="majorEastAsia"/>
                <w:sz w:val="18"/>
                <w:szCs w:val="18"/>
                <w:lang w:bidi="ar"/>
              </w:rPr>
              <w:t xml:space="preserve"> 150mm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主轴中心到主柱</w:t>
            </w:r>
            <w:r>
              <w:rPr>
                <w:rStyle w:val="8"/>
                <w:rFonts w:hint="eastAsia" w:asciiTheme="majorEastAsia" w:hAnsiTheme="majorEastAsia" w:eastAsiaTheme="majorEastAsia" w:cstheme="majorEastAsia"/>
                <w:sz w:val="18"/>
                <w:szCs w:val="18"/>
                <w:lang w:bidi="ar"/>
              </w:rPr>
              <w:t xml:space="preserve"> 429mm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长</w:t>
            </w:r>
            <w:r>
              <w:rPr>
                <w:rStyle w:val="8"/>
                <w:rFonts w:hint="eastAsia" w:asciiTheme="majorEastAsia" w:hAnsiTheme="majorEastAsia" w:eastAsiaTheme="majorEastAsia" w:cstheme="majorEastAsia"/>
                <w:sz w:val="18"/>
                <w:szCs w:val="18"/>
                <w:lang w:bidi="ar"/>
              </w:rPr>
              <w:t>X</w:t>
            </w:r>
            <w:r>
              <w:rPr>
                <w:rStyle w:val="7"/>
                <w:rFonts w:hint="eastAsia" w:asciiTheme="majorEastAsia" w:hAnsiTheme="majorEastAsia" w:eastAsiaTheme="majorEastAsia" w:cstheme="majorEastAsia"/>
                <w:sz w:val="18"/>
                <w:szCs w:val="18"/>
                <w:lang w:bidi="ar"/>
              </w:rPr>
              <w:t>宽</w:t>
            </w:r>
            <w:r>
              <w:rPr>
                <w:rStyle w:val="8"/>
                <w:rFonts w:hint="eastAsia" w:asciiTheme="majorEastAsia" w:hAnsiTheme="majorEastAsia" w:eastAsiaTheme="majorEastAsia" w:cstheme="majorEastAsia"/>
                <w:sz w:val="18"/>
                <w:szCs w:val="18"/>
                <w:lang w:bidi="ar"/>
              </w:rPr>
              <w:t xml:space="preserve"> </w:t>
            </w:r>
            <w:r>
              <w:rPr>
                <w:rStyle w:val="9"/>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800×400mm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工作台最大承重</w:t>
            </w:r>
            <w:r>
              <w:rPr>
                <w:rStyle w:val="8"/>
                <w:rFonts w:hint="eastAsia" w:asciiTheme="majorEastAsia" w:hAnsiTheme="majorEastAsia" w:eastAsiaTheme="majorEastAsia" w:cstheme="majorEastAsia"/>
                <w:sz w:val="18"/>
                <w:szCs w:val="18"/>
                <w:lang w:bidi="ar"/>
              </w:rPr>
              <w:t xml:space="preserve"> 300kg</w:t>
            </w:r>
            <w:r>
              <w:rPr>
                <w:rStyle w:val="8"/>
                <w:rFonts w:hint="eastAsia" w:asciiTheme="majorEastAsia" w:hAnsiTheme="majorEastAsia" w:eastAsiaTheme="majorEastAsia" w:cstheme="majorEastAsia"/>
                <w:sz w:val="18"/>
                <w:szCs w:val="18"/>
                <w:lang w:bidi="ar"/>
              </w:rPr>
              <w:br w:type="textWrapping"/>
            </w:r>
            <w:r>
              <w:rPr>
                <w:rStyle w:val="8"/>
                <w:rFonts w:hint="eastAsia" w:asciiTheme="majorEastAsia" w:hAnsiTheme="majorEastAsia" w:eastAsiaTheme="majorEastAsia" w:cstheme="majorEastAsia"/>
                <w:sz w:val="18"/>
                <w:szCs w:val="18"/>
                <w:lang w:bidi="ar"/>
              </w:rPr>
              <w:t>T</w:t>
            </w:r>
            <w:r>
              <w:rPr>
                <w:rStyle w:val="7"/>
                <w:rFonts w:hint="eastAsia" w:asciiTheme="majorEastAsia" w:hAnsiTheme="majorEastAsia" w:eastAsiaTheme="majorEastAsia" w:cstheme="majorEastAsia"/>
                <w:sz w:val="18"/>
                <w:szCs w:val="18"/>
                <w:lang w:bidi="ar"/>
              </w:rPr>
              <w:t>型槽大小</w:t>
            </w:r>
            <w:r>
              <w:rPr>
                <w:rStyle w:val="8"/>
                <w:rFonts w:hint="eastAsia" w:asciiTheme="majorEastAsia" w:hAnsiTheme="majorEastAsia" w:eastAsiaTheme="majorEastAsia" w:cstheme="majorEastAsia"/>
                <w:sz w:val="18"/>
                <w:szCs w:val="18"/>
                <w:lang w:bidi="ar"/>
              </w:rPr>
              <w:t xml:space="preserve"> 14mm×3×125mm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锥度</w:t>
            </w:r>
            <w:r>
              <w:rPr>
                <w:rStyle w:val="8"/>
                <w:rFonts w:hint="eastAsia" w:asciiTheme="majorEastAsia" w:hAnsiTheme="majorEastAsia" w:eastAsiaTheme="majorEastAsia" w:cstheme="majorEastAsia"/>
                <w:sz w:val="18"/>
                <w:szCs w:val="18"/>
                <w:lang w:bidi="ar"/>
              </w:rPr>
              <w:t xml:space="preserve"> BBT40</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主轴功率</w:t>
            </w:r>
            <w:r>
              <w:rPr>
                <w:rStyle w:val="8"/>
                <w:rFonts w:hint="eastAsia" w:asciiTheme="majorEastAsia" w:hAnsiTheme="majorEastAsia" w:eastAsiaTheme="majorEastAsia" w:cstheme="majorEastAsia"/>
                <w:sz w:val="18"/>
                <w:szCs w:val="18"/>
                <w:lang w:bidi="ar"/>
              </w:rPr>
              <w:t xml:space="preserve"> (S1/S3 25%) </w:t>
            </w:r>
            <w:r>
              <w:rPr>
                <w:rStyle w:val="9"/>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7.5 kW</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最大转速</w:t>
            </w:r>
            <w:r>
              <w:rPr>
                <w:rStyle w:val="8"/>
                <w:rFonts w:hint="eastAsia" w:asciiTheme="majorEastAsia" w:hAnsiTheme="majorEastAsia" w:eastAsiaTheme="majorEastAsia" w:cstheme="majorEastAsia"/>
                <w:sz w:val="18"/>
                <w:szCs w:val="18"/>
                <w:lang w:bidi="ar"/>
              </w:rPr>
              <w:t xml:space="preserve"> </w:t>
            </w:r>
            <w:r>
              <w:rPr>
                <w:rStyle w:val="9"/>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12,000 rpm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输出扭矩</w:t>
            </w:r>
            <w:r>
              <w:rPr>
                <w:rStyle w:val="8"/>
                <w:rFonts w:hint="eastAsia" w:asciiTheme="majorEastAsia" w:hAnsiTheme="majorEastAsia" w:eastAsiaTheme="majorEastAsia" w:cstheme="majorEastAsia"/>
                <w:sz w:val="18"/>
                <w:szCs w:val="18"/>
                <w:lang w:bidi="ar"/>
              </w:rPr>
              <w:t>(S3 25%) 67.8 Nm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直径</w:t>
            </w:r>
            <w:r>
              <w:rPr>
                <w:rStyle w:val="8"/>
                <w:rFonts w:hint="eastAsia" w:asciiTheme="majorEastAsia" w:hAnsiTheme="majorEastAsia" w:eastAsiaTheme="majorEastAsia" w:cstheme="majorEastAsia"/>
                <w:sz w:val="18"/>
                <w:szCs w:val="18"/>
                <w:lang w:bidi="ar"/>
              </w:rPr>
              <w:t xml:space="preserve"> 32 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螺距</w:t>
            </w:r>
            <w:r>
              <w:rPr>
                <w:rStyle w:val="8"/>
                <w:rFonts w:hint="eastAsia" w:asciiTheme="majorEastAsia" w:hAnsiTheme="majorEastAsia" w:eastAsiaTheme="majorEastAsia" w:cstheme="majorEastAsia"/>
                <w:sz w:val="18"/>
                <w:szCs w:val="18"/>
                <w:lang w:bidi="ar"/>
              </w:rPr>
              <w:t xml:space="preserve"> 12 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快速移动速率（三轴）</w:t>
            </w:r>
            <w:r>
              <w:rPr>
                <w:rStyle w:val="9"/>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 xml:space="preserve"> 36 m/min</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最大切削进给率</w:t>
            </w:r>
            <w:r>
              <w:rPr>
                <w:rStyle w:val="8"/>
                <w:rFonts w:hint="eastAsia" w:asciiTheme="majorEastAsia" w:hAnsiTheme="majorEastAsia" w:eastAsiaTheme="majorEastAsia" w:cstheme="majorEastAsia"/>
                <w:sz w:val="18"/>
                <w:szCs w:val="18"/>
                <w:lang w:bidi="ar"/>
              </w:rPr>
              <w:t xml:space="preserve"> 12 m/min</w:t>
            </w:r>
            <w:r>
              <w:rPr>
                <w:rStyle w:val="8"/>
                <w:rFonts w:hint="eastAsia" w:asciiTheme="majorEastAsia" w:hAnsiTheme="majorEastAsia" w:eastAsiaTheme="majorEastAsia" w:cstheme="majorEastAsia"/>
                <w:sz w:val="18"/>
                <w:szCs w:val="18"/>
                <w:lang w:bidi="ar"/>
              </w:rPr>
              <w:br w:type="textWrapping"/>
            </w:r>
            <w:r>
              <w:rPr>
                <w:rStyle w:val="8"/>
                <w:rFonts w:hint="eastAsia" w:asciiTheme="majorEastAsia" w:hAnsiTheme="majorEastAsia" w:eastAsiaTheme="majorEastAsia" w:cstheme="majorEastAsia"/>
                <w:sz w:val="18"/>
                <w:szCs w:val="18"/>
                <w:lang w:bidi="ar"/>
              </w:rPr>
              <w:t>X</w:t>
            </w:r>
            <w:r>
              <w:rPr>
                <w:rStyle w:val="7"/>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Y</w:t>
            </w:r>
            <w:r>
              <w:rPr>
                <w:rStyle w:val="7"/>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Z</w:t>
            </w:r>
            <w:r>
              <w:rPr>
                <w:rStyle w:val="7"/>
                <w:rFonts w:hint="eastAsia" w:asciiTheme="majorEastAsia" w:hAnsiTheme="majorEastAsia" w:eastAsiaTheme="majorEastAsia" w:cstheme="majorEastAsia"/>
                <w:sz w:val="18"/>
                <w:szCs w:val="18"/>
                <w:lang w:bidi="ar"/>
              </w:rPr>
              <w:t>轴电机功率</w:t>
            </w:r>
            <w:r>
              <w:rPr>
                <w:rStyle w:val="8"/>
                <w:rFonts w:hint="eastAsia" w:asciiTheme="majorEastAsia" w:hAnsiTheme="majorEastAsia" w:eastAsiaTheme="majorEastAsia" w:cstheme="majorEastAsia"/>
                <w:sz w:val="18"/>
                <w:szCs w:val="18"/>
                <w:lang w:bidi="ar"/>
              </w:rPr>
              <w:t xml:space="preserve"> 1.8 kW</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最大刀具数</w:t>
            </w:r>
            <w:r>
              <w:rPr>
                <w:rStyle w:val="8"/>
                <w:rFonts w:hint="eastAsia" w:asciiTheme="majorEastAsia" w:hAnsiTheme="majorEastAsia" w:eastAsiaTheme="majorEastAsia" w:cstheme="majorEastAsia"/>
                <w:sz w:val="18"/>
                <w:szCs w:val="18"/>
                <w:lang w:bidi="ar"/>
              </w:rPr>
              <w:t xml:space="preserve"> 20</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刀库形式</w:t>
            </w:r>
            <w:r>
              <w:rPr>
                <w:rStyle w:val="8"/>
                <w:rFonts w:hint="eastAsia" w:asciiTheme="majorEastAsia" w:hAnsiTheme="majorEastAsia" w:eastAsiaTheme="majorEastAsia" w:cstheme="majorEastAsia"/>
                <w:sz w:val="18"/>
                <w:szCs w:val="18"/>
                <w:lang w:bidi="ar"/>
              </w:rPr>
              <w:t xml:space="preserve"> </w:t>
            </w:r>
            <w:r>
              <w:rPr>
                <w:rStyle w:val="7"/>
                <w:rFonts w:hint="eastAsia" w:asciiTheme="majorEastAsia" w:hAnsiTheme="majorEastAsia" w:eastAsiaTheme="majorEastAsia" w:cstheme="majorEastAsia"/>
                <w:sz w:val="18"/>
                <w:szCs w:val="18"/>
                <w:lang w:bidi="ar"/>
              </w:rPr>
              <w:t>机械臂式</w:t>
            </w:r>
            <w:r>
              <w:rPr>
                <w:rStyle w:val="7"/>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选刀方式</w:t>
            </w:r>
            <w:r>
              <w:rPr>
                <w:rStyle w:val="8"/>
                <w:rFonts w:hint="eastAsia" w:asciiTheme="majorEastAsia" w:hAnsiTheme="majorEastAsia" w:eastAsiaTheme="majorEastAsia" w:cstheme="majorEastAsia"/>
                <w:sz w:val="18"/>
                <w:szCs w:val="18"/>
                <w:lang w:bidi="ar"/>
              </w:rPr>
              <w:t xml:space="preserve"> </w:t>
            </w:r>
            <w:r>
              <w:rPr>
                <w:rStyle w:val="7"/>
                <w:rFonts w:hint="eastAsia" w:asciiTheme="majorEastAsia" w:hAnsiTheme="majorEastAsia" w:eastAsiaTheme="majorEastAsia" w:cstheme="majorEastAsia"/>
                <w:sz w:val="18"/>
                <w:szCs w:val="18"/>
                <w:lang w:bidi="ar"/>
              </w:rPr>
              <w:t>双向就近选刀</w:t>
            </w:r>
            <w:r>
              <w:rPr>
                <w:rStyle w:val="7"/>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最大刀具直径</w:t>
            </w:r>
            <w:r>
              <w:rPr>
                <w:rStyle w:val="8"/>
                <w:rFonts w:hint="eastAsia" w:asciiTheme="majorEastAsia" w:hAnsiTheme="majorEastAsia" w:eastAsiaTheme="majorEastAsia" w:cstheme="majorEastAsia"/>
                <w:sz w:val="18"/>
                <w:szCs w:val="18"/>
                <w:lang w:bidi="ar"/>
              </w:rPr>
              <w:t xml:space="preserve"> 80 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相邻刀空刀时最大直径</w:t>
            </w:r>
            <w:r>
              <w:rPr>
                <w:rStyle w:val="8"/>
                <w:rFonts w:hint="eastAsia" w:asciiTheme="majorEastAsia" w:hAnsiTheme="majorEastAsia" w:eastAsiaTheme="majorEastAsia" w:cstheme="majorEastAsia"/>
                <w:sz w:val="18"/>
                <w:szCs w:val="18"/>
                <w:lang w:bidi="ar"/>
              </w:rPr>
              <w:t xml:space="preserve"> 150 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最长刀具</w:t>
            </w:r>
            <w:r>
              <w:rPr>
                <w:rStyle w:val="8"/>
                <w:rFonts w:hint="eastAsia" w:asciiTheme="majorEastAsia" w:hAnsiTheme="majorEastAsia" w:eastAsiaTheme="majorEastAsia" w:cstheme="majorEastAsia"/>
                <w:sz w:val="18"/>
                <w:szCs w:val="18"/>
                <w:lang w:bidi="ar"/>
              </w:rPr>
              <w:t xml:space="preserve"> 260 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最大刀重</w:t>
            </w:r>
            <w:r>
              <w:rPr>
                <w:rStyle w:val="8"/>
                <w:rFonts w:hint="eastAsia" w:asciiTheme="majorEastAsia" w:hAnsiTheme="majorEastAsia" w:eastAsiaTheme="majorEastAsia" w:cstheme="majorEastAsia"/>
                <w:sz w:val="18"/>
                <w:szCs w:val="18"/>
                <w:lang w:bidi="ar"/>
              </w:rPr>
              <w:t xml:space="preserve"> </w:t>
            </w:r>
            <w:r>
              <w:rPr>
                <w:rStyle w:val="9"/>
                <w:rFonts w:hint="eastAsia" w:asciiTheme="majorEastAsia" w:hAnsiTheme="majorEastAsia" w:eastAsiaTheme="majorEastAsia" w:cstheme="majorEastAsia"/>
                <w:sz w:val="18"/>
                <w:szCs w:val="18"/>
                <w:lang w:bidi="ar"/>
              </w:rPr>
              <w:t>≥</w:t>
            </w:r>
            <w:r>
              <w:rPr>
                <w:rStyle w:val="8"/>
                <w:rFonts w:hint="eastAsia" w:asciiTheme="majorEastAsia" w:hAnsiTheme="majorEastAsia" w:eastAsiaTheme="majorEastAsia" w:cstheme="majorEastAsia"/>
                <w:sz w:val="18"/>
                <w:szCs w:val="18"/>
                <w:lang w:bidi="ar"/>
              </w:rPr>
              <w:t>7 kg</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换刀时间</w:t>
            </w:r>
            <w:r>
              <w:rPr>
                <w:rStyle w:val="8"/>
                <w:rFonts w:hint="eastAsia" w:asciiTheme="majorEastAsia" w:hAnsiTheme="majorEastAsia" w:eastAsiaTheme="majorEastAsia" w:cstheme="majorEastAsia"/>
                <w:sz w:val="18"/>
                <w:szCs w:val="18"/>
                <w:lang w:bidi="ar"/>
              </w:rPr>
              <w:t>(T-T) 1.5 sec</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定位精度</w:t>
            </w:r>
            <w:r>
              <w:rPr>
                <w:rStyle w:val="8"/>
                <w:rFonts w:hint="eastAsia" w:asciiTheme="majorEastAsia" w:hAnsiTheme="majorEastAsia" w:eastAsiaTheme="majorEastAsia" w:cstheme="majorEastAsia"/>
                <w:sz w:val="18"/>
                <w:szCs w:val="18"/>
                <w:lang w:bidi="ar"/>
              </w:rPr>
              <w:t xml:space="preserve"> 0.008 mm</w:t>
            </w:r>
            <w:r>
              <w:rPr>
                <w:rStyle w:val="8"/>
                <w:rFonts w:hint="eastAsia" w:asciiTheme="majorEastAsia" w:hAnsiTheme="majorEastAsia" w:eastAsiaTheme="majorEastAsia" w:cstheme="majorEastAsia"/>
                <w:sz w:val="18"/>
                <w:szCs w:val="18"/>
                <w:lang w:bidi="ar"/>
              </w:rPr>
              <w:br w:type="textWrapping"/>
            </w:r>
            <w:r>
              <w:rPr>
                <w:rStyle w:val="7"/>
                <w:rFonts w:hint="eastAsia" w:asciiTheme="majorEastAsia" w:hAnsiTheme="majorEastAsia" w:eastAsiaTheme="majorEastAsia" w:cstheme="majorEastAsia"/>
                <w:sz w:val="18"/>
                <w:szCs w:val="18"/>
                <w:lang w:bidi="ar"/>
              </w:rPr>
              <w:t>重复精度</w:t>
            </w:r>
            <w:r>
              <w:rPr>
                <w:rStyle w:val="8"/>
                <w:rFonts w:hint="eastAsia" w:asciiTheme="majorEastAsia" w:hAnsiTheme="majorEastAsia" w:eastAsiaTheme="majorEastAsia" w:cstheme="majorEastAsia"/>
                <w:sz w:val="18"/>
                <w:szCs w:val="18"/>
                <w:lang w:bidi="ar"/>
              </w:rPr>
              <w:t xml:space="preserve"> 0.004 mm</w:t>
            </w:r>
          </w:p>
        </w:tc>
        <w:tc>
          <w:tcPr>
            <w:tcW w:w="2680"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after="200"/>
              <w:textAlignment w:val="center"/>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sz w:val="18"/>
                <w:szCs w:val="18"/>
                <w:lang w:bidi="ar"/>
              </w:rPr>
              <w:t>BBT40精密主轴，最高转速为12,000rpm，可按1-rpm的增量进行编程；连续功率S1为5.5 kW， S3 25％功率为7.5 kW。在基本转速1500rpm时，主轴最大输出扭矩为67.8Nm；</w:t>
            </w:r>
            <w:r>
              <w:rPr>
                <w:rFonts w:hint="eastAsia" w:asciiTheme="majorEastAsia" w:hAnsiTheme="majorEastAsia" w:eastAsiaTheme="majorEastAsia" w:cstheme="majorEastAsia"/>
                <w:sz w:val="18"/>
                <w:szCs w:val="18"/>
                <w:lang w:bidi="ar"/>
              </w:rPr>
              <w:br w:type="textWrapping"/>
            </w:r>
            <w:r>
              <w:rPr>
                <w:rFonts w:hint="eastAsia" w:asciiTheme="majorEastAsia" w:hAnsiTheme="majorEastAsia" w:eastAsiaTheme="majorEastAsia" w:cstheme="majorEastAsia"/>
                <w:sz w:val="18"/>
                <w:szCs w:val="18"/>
                <w:lang w:bidi="ar"/>
              </w:rPr>
              <w:t>换刀装置采用高效率的机械臂式自动换刀装置(ATC), 刀库容量20把；采用双向式驱动机构，可自动选择最短换刀路径；</w:t>
            </w:r>
            <w:r>
              <w:rPr>
                <w:rFonts w:hint="eastAsia" w:asciiTheme="majorEastAsia" w:hAnsiTheme="majorEastAsia" w:eastAsiaTheme="majorEastAsia" w:cstheme="majorEastAsia"/>
                <w:sz w:val="18"/>
                <w:szCs w:val="18"/>
                <w:lang w:bidi="ar"/>
              </w:rPr>
              <w:br w:type="textWrapping"/>
            </w:r>
            <w:r>
              <w:rPr>
                <w:rFonts w:hint="eastAsia" w:asciiTheme="majorEastAsia" w:hAnsiTheme="majorEastAsia" w:eastAsiaTheme="majorEastAsia" w:cstheme="majorEastAsia"/>
                <w:sz w:val="18"/>
                <w:szCs w:val="18"/>
                <w:lang w:bidi="ar"/>
              </w:rPr>
              <w:t>采用Fanuc 0i MF Plus控制系统，五轴四联动，HRV3控制，编程分辨率0.001mm，插补精0.0001mm（纳米插补），配有功能扩展槽，便于扩充自动化相关功能；配有10.4″TFT彩色平板显示器，标配USB接口和内嵌式以太网接口；</w:t>
            </w:r>
            <w:r>
              <w:rPr>
                <w:rFonts w:hint="eastAsia" w:asciiTheme="majorEastAsia" w:hAnsiTheme="majorEastAsia" w:eastAsiaTheme="majorEastAsia" w:cstheme="majorEastAsia"/>
                <w:sz w:val="18"/>
                <w:szCs w:val="18"/>
                <w:lang w:bidi="ar"/>
              </w:rPr>
              <w:br w:type="textWrapping"/>
            </w:r>
            <w:r>
              <w:rPr>
                <w:rFonts w:hint="eastAsia" w:asciiTheme="majorEastAsia" w:hAnsiTheme="majorEastAsia" w:eastAsiaTheme="majorEastAsia" w:cstheme="majorEastAsia"/>
                <w:sz w:val="18"/>
                <w:szCs w:val="18"/>
                <w:lang w:bidi="ar"/>
              </w:rPr>
              <w:t>插补功能：直线插补、圆弧插补、螺旋插补、螺纹切削、同步进给、G31跳跃、高速跳过、返回参考点。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 xml:space="preserve"> 培训及远程技术支持</w:t>
            </w:r>
          </w:p>
        </w:tc>
      </w:tr>
    </w:tbl>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bookmarkStart w:id="1" w:name="_Toc1412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附件：服务要求</w:t>
      </w:r>
      <w:bookmarkEnd w:id="1"/>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rPr>
        <w:t>1、交货期：</w:t>
      </w:r>
      <w:r>
        <w:rPr>
          <w:rFonts w:hint="eastAsia" w:ascii="微软雅黑" w:hAnsi="微软雅黑" w:eastAsia="宋体" w:cs="微软雅黑"/>
          <w:szCs w:val="21"/>
          <w:highlight w:val="none"/>
          <w:lang w:val="en-US" w:eastAsia="zh-CN"/>
        </w:rPr>
        <w:t>4个月</w:t>
      </w:r>
      <w:r>
        <w:rPr>
          <w:rFonts w:hint="eastAsia" w:ascii="微软雅黑" w:hAnsi="微软雅黑" w:cs="微软雅黑"/>
          <w:szCs w:val="21"/>
          <w:highlight w:val="none"/>
        </w:rPr>
        <w:t>。</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、调试要求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供方应积极组织货源，按合同约定时间内到货；</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仪器、设备到货后供方应派工程师，按照技术协议进行调试；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3、培训要求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供方负责设备的调试、人员培训、设备操作及维护等，设备验收交付后提供及时的售后服务。</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供方保证买方人员不少于1人在用户现场进行操作、维护等技术培训，使受训人员能够独立操作使用仪器、设备及每一项系统的测试，培训时间不少于2天。</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w:t>
      </w:r>
      <w:r>
        <w:rPr>
          <w:rFonts w:hint="eastAsia" w:ascii="微软雅黑" w:hAnsi="微软雅黑" w:cs="微软雅黑"/>
          <w:szCs w:val="21"/>
          <w:highlight w:val="none"/>
        </w:rPr>
        <w:t>验收要求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外观验收：设备需全新、完好、无破损；</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配置验收：根据装箱单标准配置，逐项清点，确保配置齐全；</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功能验收：应完全符合技术协议所规定的功能、等级及精度；</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供方负责设备调试，调试过程由供方形成调试记录；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设备在用户现场安装、调试完毕后，买卖双方共同对设备的精度、功能、配置进行验收，并按有关要求进行静态、动态试验和试件加工；</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6</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在最终验收后，供方应提供不少于1人次的1工作日单班陪产服务，确保设备的连续正常运行；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7</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依据技术协议执行。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w:t>
      </w:r>
      <w:r>
        <w:rPr>
          <w:rFonts w:hint="eastAsia" w:ascii="微软雅黑" w:hAnsi="微软雅黑" w:cs="微软雅黑"/>
          <w:szCs w:val="21"/>
          <w:highlight w:val="none"/>
        </w:rPr>
        <w:t>售后服务要求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从验收合格之日算起，质保期1年。</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供方向需方提供的应是全新产品，保证外观完好、无破损、未经使用过，不存在结构、设计、工艺和材料等方面的缺陷，在投入运行后能完全符合协议的规定，并保证在规定条件下运行良好。</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内：保修期内仪器发生故障，供方维修工程师应在8小时内对用户的信息做出响应，24小时之内给出解决方案。维修完毕后应及时填写维修报告，维修报告应包括故障原因、处理情况及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外：保修期外如发生故障后，供方维修工程师在三个工作日内到达用户所在地或在24小时内给出解决方案。维修完毕后，维修工程师将及时填写维修报告，维修报告应包括故障原因、处理情况和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对操作不当等人为原因导致仪器损坏或由于需方仪器环境造成的仪器意外损坏（如供电异常等）供方不承担责任及维修费用。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6、付款方式：</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（1）汇票；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（2）合同签订后付第一笔款30%；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（3）乙方组织产品交付前功能性能试验，技术指标达到合同规定要求，且经甲方确认后，甲方付第二笔款30%；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（4）产品按照甲方要求运送到指定交付地点，安装调试完毕，经甲方人员验收确认合格后，甲方支付第三笔款30%；</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（5）剩余10%转为质保金，在验收合格后一年后无质量问题一次性支付（无息）。</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4" w:name="_GoBack"/>
      <w:bookmarkEnd w:id="4"/>
      <w:bookmarkStart w:id="2" w:name="_Toc2831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bookmarkEnd w:id="2"/>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val="en-US" w:eastAsia="zh-CN"/>
        </w:rPr>
        <w:t>（一）</w:t>
      </w:r>
      <w:r>
        <w:rPr>
          <w:rFonts w:ascii="黑体" w:hAnsi="黑体" w:eastAsia="黑体" w:cs="黑体"/>
          <w:spacing w:val="0"/>
          <w:sz w:val="28"/>
          <w:szCs w:val="28"/>
        </w:rPr>
        <w:t>投标要求</w:t>
      </w:r>
    </w:p>
    <w:p>
      <w:pPr>
        <w:keepNext w:val="0"/>
        <w:keepLines w:val="0"/>
        <w:pageBreakBefore w:val="0"/>
        <w:widowControl/>
        <w:kinsoku w:val="0"/>
        <w:wordWrap/>
        <w:overflowPunct/>
        <w:topLinePunct w:val="0"/>
        <w:autoSpaceDE w:val="0"/>
        <w:autoSpaceDN w:val="0"/>
        <w:bidi w:val="0"/>
        <w:adjustRightInd w:val="0"/>
        <w:snapToGrid w:val="0"/>
        <w:spacing w:before="25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投标资</w:t>
      </w:r>
      <w:r>
        <w:rPr>
          <w:rFonts w:hint="eastAsia" w:ascii="宋体" w:hAnsi="宋体" w:eastAsia="宋体" w:cs="宋体"/>
          <w:spacing w:val="0"/>
          <w:sz w:val="24"/>
          <w:szCs w:val="24"/>
        </w:rPr>
        <w:t>格（包括但不限于）：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0" w:leftChars="0" w:firstLine="480" w:firstLineChars="200"/>
        <w:textAlignment w:val="baseline"/>
        <w:rPr>
          <w:rFonts w:hint="eastAsia" w:ascii="宋体" w:hAnsi="宋体" w:eastAsia="宋体" w:cs="宋体"/>
          <w:color w:val="auto"/>
          <w:spacing w:val="0"/>
          <w:position w:val="5"/>
          <w:sz w:val="24"/>
          <w:szCs w:val="24"/>
          <w:highlight w:val="none"/>
        </w:rPr>
      </w:pPr>
      <w:r>
        <w:rPr>
          <w:rFonts w:hint="eastAsia" w:ascii="宋体" w:hAnsi="宋体" w:eastAsia="宋体" w:cs="宋体"/>
          <w:color w:val="auto"/>
          <w:spacing w:val="0"/>
          <w:position w:val="5"/>
          <w:sz w:val="24"/>
          <w:szCs w:val="24"/>
          <w:highlight w:val="none"/>
        </w:rPr>
        <w:t>投标人投标时应提供加盖其单位公章的营业执照副本、资质证书</w:t>
      </w:r>
      <w:r>
        <w:rPr>
          <w:rFonts w:hint="eastAsia" w:ascii="宋体" w:hAnsi="宋体" w:eastAsia="宋体" w:cs="宋体"/>
          <w:color w:val="auto"/>
          <w:spacing w:val="0"/>
          <w:position w:val="5"/>
          <w:sz w:val="24"/>
          <w:szCs w:val="24"/>
          <w:highlight w:val="none"/>
        </w:rPr>
        <w:fldChar w:fldCharType="begin"/>
      </w:r>
      <w:r>
        <w:rPr>
          <w:rFonts w:hint="eastAsia" w:ascii="宋体" w:hAnsi="宋体" w:eastAsia="宋体" w:cs="宋体"/>
          <w:color w:val="auto"/>
          <w:spacing w:val="0"/>
          <w:position w:val="5"/>
          <w:sz w:val="24"/>
          <w:szCs w:val="24"/>
          <w:highlight w:val="none"/>
        </w:rPr>
        <w:instrText xml:space="preserve"> HYPERLINK "https://baike.baidu.com/item/%E5%AE%89%E5%85%A8%E7%94%9F%E4%BA%A7%E8%AE%B8%E5%8F%AF%E8%AF%81" </w:instrText>
      </w:r>
      <w:r>
        <w:rPr>
          <w:rFonts w:hint="eastAsia" w:ascii="宋体" w:hAnsi="宋体" w:eastAsia="宋体" w:cs="宋体"/>
          <w:color w:val="auto"/>
          <w:spacing w:val="0"/>
          <w:position w:val="5"/>
          <w:sz w:val="24"/>
          <w:szCs w:val="24"/>
          <w:highlight w:val="none"/>
        </w:rPr>
        <w:fldChar w:fldCharType="separate"/>
      </w:r>
      <w:r>
        <w:rPr>
          <w:rFonts w:hint="eastAsia" w:ascii="宋体" w:hAnsi="宋体" w:eastAsia="宋体" w:cs="宋体"/>
          <w:color w:val="auto"/>
          <w:spacing w:val="0"/>
          <w:position w:val="5"/>
          <w:sz w:val="24"/>
          <w:szCs w:val="24"/>
          <w:highlight w:val="none"/>
        </w:rPr>
        <w:t>等证书复印件</w:t>
      </w:r>
      <w:r>
        <w:rPr>
          <w:rFonts w:hint="eastAsia" w:ascii="宋体" w:hAnsi="宋体" w:eastAsia="宋体" w:cs="宋体"/>
          <w:color w:val="auto"/>
          <w:spacing w:val="0"/>
          <w:position w:val="5"/>
          <w:sz w:val="24"/>
          <w:szCs w:val="24"/>
          <w:highlight w:val="none"/>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供货业绩</w:t>
      </w:r>
    </w:p>
    <w:p>
      <w:pPr>
        <w:keepNext w:val="0"/>
        <w:keepLines w:val="0"/>
        <w:pageBreakBefore w:val="0"/>
        <w:widowControl/>
        <w:numPr>
          <w:ilvl w:val="0"/>
          <w:numId w:val="0"/>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highlight w:val="none"/>
          <w:lang w:val="en-US" w:eastAsia="zh-CN"/>
        </w:rPr>
        <w:t>3、投标费用：投标人应承担</w:t>
      </w:r>
      <w:r>
        <w:rPr>
          <w:rFonts w:hint="eastAsia" w:ascii="宋体" w:hAnsi="宋体" w:eastAsia="宋体" w:cs="宋体"/>
          <w:color w:val="auto"/>
          <w:spacing w:val="0"/>
          <w:sz w:val="24"/>
          <w:szCs w:val="24"/>
          <w:lang w:val="en-US" w:eastAsia="zh-CN"/>
        </w:rPr>
        <w:t>投标过程中所涉及的一切费用，不管投标结果如何，招标人对上述费用不负任何责任。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投标报价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投标报价要求按招标文件要求报价，并按招标文件中所</w:t>
      </w:r>
      <w:r>
        <w:rPr>
          <w:rFonts w:ascii="宋体" w:hAnsi="宋体" w:eastAsia="宋体" w:cs="宋体"/>
          <w:spacing w:val="0"/>
          <w:sz w:val="24"/>
          <w:szCs w:val="24"/>
        </w:rPr>
        <w:t>附 《投标函》</w:t>
      </w:r>
      <w:r>
        <w:rPr>
          <w:rFonts w:hint="eastAsia" w:ascii="宋体" w:hAnsi="宋体" w:eastAsia="宋体" w:cs="宋体"/>
          <w:spacing w:val="0"/>
          <w:sz w:val="24"/>
          <w:szCs w:val="24"/>
          <w:lang w:eastAsia="zh-CN"/>
        </w:rPr>
        <w:t>、</w:t>
      </w:r>
      <w:r>
        <w:rPr>
          <w:rFonts w:ascii="宋体" w:hAnsi="宋体" w:eastAsia="宋体" w:cs="宋体"/>
          <w:spacing w:val="0"/>
          <w:sz w:val="24"/>
          <w:szCs w:val="24"/>
        </w:rPr>
        <w:t>《投标报价表》格式填写。</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3、</w:t>
      </w:r>
      <w:r>
        <w:rPr>
          <w:rFonts w:hint="eastAsia" w:ascii="宋体" w:hAnsi="宋体" w:eastAsia="宋体" w:cs="宋体"/>
          <w:spacing w:val="0"/>
          <w:sz w:val="24"/>
          <w:szCs w:val="24"/>
        </w:rPr>
        <w:t>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5、</w:t>
      </w:r>
      <w:r>
        <w:rPr>
          <w:rFonts w:hint="eastAsia" w:ascii="宋体" w:hAnsi="宋体" w:eastAsia="宋体" w:cs="宋体"/>
          <w:spacing w:val="0"/>
          <w:sz w:val="24"/>
          <w:szCs w:val="24"/>
        </w:rPr>
        <w:t>招标人有权重视各投标人全部报价的合理性。所有投标人不能相互串通、哄抬报价，若有发现，招标人有权宣布其投标无效。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三</w:t>
      </w:r>
      <w:r>
        <w:rPr>
          <w:rFonts w:hint="eastAsia" w:ascii="黑体" w:hAnsi="黑体" w:eastAsia="黑体" w:cs="黑体"/>
          <w:spacing w:val="0"/>
          <w:sz w:val="28"/>
          <w:szCs w:val="28"/>
          <w:lang w:eastAsia="zh-CN"/>
        </w:rPr>
        <w:t>）</w:t>
      </w:r>
      <w:r>
        <w:rPr>
          <w:rFonts w:ascii="黑体" w:hAnsi="黑体" w:eastAsia="黑体" w:cs="黑体"/>
          <w:spacing w:val="0"/>
          <w:sz w:val="28"/>
          <w:szCs w:val="28"/>
        </w:rPr>
        <w:t>投标文件</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投标人应填写其单位名称全称。</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hint="eastAsia" w:ascii="宋体" w:hAnsi="宋体" w:eastAsia="宋体" w:cs="宋体"/>
          <w:spacing w:val="0"/>
          <w:sz w:val="24"/>
          <w:szCs w:val="24"/>
        </w:rPr>
        <w:t>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pacing w:val="0"/>
          <w:sz w:val="24"/>
          <w:szCs w:val="24"/>
        </w:rPr>
        <w:t>和资格证明文件。资格证明文件包含上述投标资格要求中的所有资料。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《投标函》、《投标报价表》须加盖投标人公章，由其法定代表人或其委托代理人亲笔签字。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ascii="黑体" w:hAnsi="黑体" w:eastAsia="黑体" w:cs="黑体"/>
          <w:spacing w:val="0"/>
          <w:sz w:val="28"/>
          <w:szCs w:val="28"/>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自开标之日起60天内，投标文件应保持有效。有效期短于前述规定期限的投标，将被拒绝。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四</w:t>
      </w:r>
      <w:r>
        <w:rPr>
          <w:rFonts w:hint="eastAsia" w:ascii="黑体" w:hAnsi="黑体" w:eastAsia="黑体" w:cs="黑体"/>
          <w:spacing w:val="0"/>
          <w:sz w:val="28"/>
          <w:szCs w:val="28"/>
          <w:lang w:eastAsia="zh-CN"/>
        </w:rPr>
        <w:t>）</w:t>
      </w:r>
      <w:r>
        <w:rPr>
          <w:rFonts w:ascii="黑体" w:hAnsi="黑体" w:eastAsia="黑体" w:cs="黑体"/>
          <w:spacing w:val="0"/>
          <w:sz w:val="28"/>
          <w:szCs w:val="28"/>
        </w:rPr>
        <w:t>开标、评标、定标</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开标时，将按照招标人有关招投标规定执行。</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rPr>
        <w:t>开标后由招标人组建的评标委员会进行评标，</w:t>
      </w:r>
      <w:r>
        <w:rPr>
          <w:rFonts w:ascii="宋体" w:hAnsi="宋体" w:eastAsia="宋体" w:cs="宋体"/>
          <w:spacing w:val="0"/>
          <w:sz w:val="24"/>
          <w:szCs w:val="24"/>
          <w:highlight w:val="none"/>
        </w:rPr>
        <w:t>以经评审的</w:t>
      </w:r>
      <w:r>
        <w:rPr>
          <w:rFonts w:hint="eastAsia" w:ascii="宋体" w:hAnsi="宋体" w:eastAsia="宋体" w:cs="宋体"/>
          <w:spacing w:val="0"/>
          <w:sz w:val="24"/>
          <w:szCs w:val="24"/>
          <w:highlight w:val="none"/>
          <w:lang w:val="en-US" w:eastAsia="zh-CN"/>
        </w:rPr>
        <w:t>综合评分</w:t>
      </w:r>
      <w:r>
        <w:rPr>
          <w:rFonts w:ascii="宋体" w:hAnsi="宋体" w:eastAsia="宋体" w:cs="宋体"/>
          <w:spacing w:val="0"/>
          <w:sz w:val="24"/>
          <w:szCs w:val="24"/>
          <w:highlight w:val="none"/>
        </w:rPr>
        <w:t>法确定中标人。</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lang w:eastAsia="zh-CN"/>
        </w:rPr>
        <w:t>、</w:t>
      </w:r>
      <w:r>
        <w:rPr>
          <w:rFonts w:ascii="宋体" w:hAnsi="宋体" w:eastAsia="宋体" w:cs="宋体"/>
          <w:spacing w:val="0"/>
          <w:sz w:val="24"/>
          <w:szCs w:val="24"/>
        </w:rPr>
        <w:t>招标人不对未中标的投标人作任何解释，不退还投标文件。</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五</w:t>
      </w:r>
      <w:r>
        <w:rPr>
          <w:rFonts w:hint="eastAsia" w:ascii="黑体" w:hAnsi="黑体" w:eastAsia="黑体" w:cs="黑体"/>
          <w:spacing w:val="0"/>
          <w:sz w:val="28"/>
          <w:szCs w:val="28"/>
          <w:lang w:eastAsia="zh-CN"/>
        </w:rPr>
        <w:t>）</w:t>
      </w:r>
      <w:r>
        <w:rPr>
          <w:rFonts w:ascii="黑体" w:hAnsi="黑体" w:eastAsia="黑体" w:cs="黑体"/>
          <w:spacing w:val="0"/>
          <w:sz w:val="28"/>
          <w:szCs w:val="28"/>
        </w:rPr>
        <w:t>合同签订</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w:t>
      </w:r>
      <w:r>
        <w:rPr>
          <w:rFonts w:ascii="宋体" w:hAnsi="宋体" w:eastAsia="宋体" w:cs="宋体"/>
          <w:spacing w:val="0"/>
          <w:sz w:val="24"/>
          <w:szCs w:val="24"/>
        </w:rPr>
        <w:t>中标人延误买卖合同约定的产品交付期限，招标人有权追究中标人责任。</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8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4、</w:t>
      </w:r>
      <w:r>
        <w:rPr>
          <w:rFonts w:ascii="宋体" w:hAnsi="宋体" w:eastAsia="宋体" w:cs="宋体"/>
          <w:spacing w:val="0"/>
          <w:sz w:val="24"/>
          <w:szCs w:val="24"/>
        </w:rPr>
        <w:t>在买卖合同有效期内，中标人如违反买卖合同的约定，招标人有权单方面终止买卖合同。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六</w:t>
      </w:r>
      <w:r>
        <w:rPr>
          <w:rFonts w:hint="eastAsia" w:ascii="黑体" w:hAnsi="黑体" w:eastAsia="黑体" w:cs="黑体"/>
          <w:spacing w:val="0"/>
          <w:sz w:val="28"/>
          <w:szCs w:val="28"/>
          <w:lang w:eastAsia="zh-CN"/>
        </w:rPr>
        <w:t>）</w:t>
      </w:r>
      <w:r>
        <w:rPr>
          <w:rFonts w:ascii="黑体" w:hAnsi="黑体" w:eastAsia="黑体" w:cs="黑体"/>
          <w:spacing w:val="0"/>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评标委员会及其组成人员应严格自律，严格遵守国家法律、法规，并接受监察部门的监督。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七</w:t>
      </w:r>
      <w:r>
        <w:rPr>
          <w:rFonts w:hint="eastAsia" w:ascii="黑体" w:hAnsi="黑体" w:eastAsia="黑体" w:cs="黑体"/>
          <w:spacing w:val="0"/>
          <w:sz w:val="28"/>
          <w:szCs w:val="28"/>
          <w:lang w:eastAsia="zh-CN"/>
        </w:rPr>
        <w:t>）</w:t>
      </w:r>
      <w:r>
        <w:rPr>
          <w:rFonts w:ascii="黑体" w:hAnsi="黑体" w:eastAsia="黑体" w:cs="黑体"/>
          <w:spacing w:val="0"/>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pacing w:val="0"/>
          <w:sz w:val="24"/>
          <w:szCs w:val="24"/>
          <w:lang w:eastAsia="zh-CN"/>
        </w:rPr>
        <w:t>。</w:t>
      </w:r>
    </w:p>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3" w:name="_bookmark18"/>
    <w:bookmarkEnd w:id="3"/>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67C14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宋体" w:hAnsi="宋体" w:eastAsia="宋体" w:cs="宋体"/>
      <w:color w:val="000000"/>
      <w:sz w:val="18"/>
      <w:szCs w:val="18"/>
      <w:u w:val="none"/>
    </w:rPr>
  </w:style>
  <w:style w:type="character" w:customStyle="1" w:styleId="8">
    <w:name w:val="font51"/>
    <w:basedOn w:val="6"/>
    <w:qFormat/>
    <w:uiPriority w:val="0"/>
    <w:rPr>
      <w:rFonts w:hint="default" w:ascii="Times New Roman" w:hAnsi="Times New Roman" w:cs="Times New Roman"/>
      <w:color w:val="000000"/>
      <w:sz w:val="18"/>
      <w:szCs w:val="18"/>
      <w:u w:val="none"/>
    </w:rPr>
  </w:style>
  <w:style w:type="character" w:customStyle="1" w:styleId="9">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2022-11-08T01:09:59Z</dcterms:created>
  <dc:creator>Administrator</dc:creator>
  <cp:lastModifiedBy>qw</cp:lastModifiedBy>
  <dcterms:modified xsi:type="dcterms:W3CDTF">2022-11-08T01:10:53Z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B3A0A2D7AF7E4A1E97229F5C15F2E60D</vt:lpwstr>
  </property>
</Properties>
</file>