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附件：技术参数指标</w:t>
      </w:r>
    </w:p>
    <w:tbl>
      <w:tblPr>
        <w:tblStyle w:val="5"/>
        <w:tblW w:w="12458" w:type="dxa"/>
        <w:jc w:val="center"/>
        <w:shd w:val="clear" w:color="auto" w:fill="auto"/>
        <w:tblLayout w:type="autofit"/>
        <w:tblCellMar>
          <w:top w:w="0" w:type="dxa"/>
          <w:left w:w="0" w:type="dxa"/>
          <w:bottom w:w="0" w:type="dxa"/>
          <w:right w:w="0" w:type="dxa"/>
        </w:tblCellMar>
      </w:tblPr>
      <w:tblGrid>
        <w:gridCol w:w="541"/>
        <w:gridCol w:w="4233"/>
        <w:gridCol w:w="5977"/>
        <w:gridCol w:w="1707"/>
      </w:tblGrid>
      <w:tr>
        <w:tblPrEx>
          <w:shd w:val="clear" w:color="auto" w:fill="auto"/>
          <w:tblCellMar>
            <w:top w:w="0" w:type="dxa"/>
            <w:left w:w="0" w:type="dxa"/>
            <w:bottom w:w="0" w:type="dxa"/>
            <w:right w:w="0" w:type="dxa"/>
          </w:tblCellMar>
        </w:tblPrEx>
        <w:trPr>
          <w:trHeight w:val="647" w:hRule="atLeast"/>
          <w:jc w:val="center"/>
        </w:trPr>
        <w:tc>
          <w:tcPr>
            <w:tcW w:w="54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序号</w:t>
            </w:r>
          </w:p>
        </w:tc>
        <w:tc>
          <w:tcPr>
            <w:tcW w:w="4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设备名称</w:t>
            </w:r>
          </w:p>
        </w:tc>
        <w:tc>
          <w:tcPr>
            <w:tcW w:w="5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主要技术参数</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技术支持要求</w:t>
            </w:r>
          </w:p>
        </w:tc>
      </w:tr>
      <w:tr>
        <w:tblPrEx>
          <w:shd w:val="clear" w:color="auto" w:fill="auto"/>
          <w:tblCellMar>
            <w:top w:w="0" w:type="dxa"/>
            <w:left w:w="0" w:type="dxa"/>
            <w:bottom w:w="0" w:type="dxa"/>
            <w:right w:w="0" w:type="dxa"/>
          </w:tblCellMar>
        </w:tblPrEx>
        <w:trPr>
          <w:trHeight w:val="2837" w:hRule="atLeast"/>
          <w:jc w:val="center"/>
        </w:trPr>
        <w:tc>
          <w:tcPr>
            <w:tcW w:w="54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snapToGrid w:val="0"/>
                <w:color w:val="000000"/>
                <w:kern w:val="0"/>
                <w:sz w:val="24"/>
                <w:szCs w:val="24"/>
                <w:u w:val="none"/>
                <w:lang w:val="en-US" w:eastAsia="zh-CN" w:bidi="ar"/>
              </w:rPr>
              <w:t>1</w:t>
            </w:r>
          </w:p>
        </w:tc>
        <w:tc>
          <w:tcPr>
            <w:tcW w:w="4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spacing w:val="0"/>
                <w:sz w:val="24"/>
                <w:szCs w:val="24"/>
                <w:lang w:val="en-US" w:eastAsia="zh-CN"/>
              </w:rPr>
              <w:t>3D轮廓测量仪</w:t>
            </w:r>
          </w:p>
        </w:tc>
        <w:tc>
          <w:tcPr>
            <w:tcW w:w="5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rPr>
                <w:rFonts w:hint="eastAsia" w:ascii="宋体" w:hAnsi="宋体" w:eastAsia="宋体" w:cs="宋体"/>
                <w:snapToGrid w:val="0"/>
                <w:color w:val="000000"/>
                <w:spacing w:val="0"/>
                <w:kern w:val="0"/>
                <w:sz w:val="24"/>
                <w:szCs w:val="24"/>
                <w:lang w:val="en-US" w:eastAsia="zh-CN"/>
              </w:rPr>
            </w:pPr>
            <w:r>
              <w:rPr>
                <w:rFonts w:hint="eastAsia" w:ascii="宋体" w:hAnsi="宋体" w:eastAsia="宋体" w:cs="宋体"/>
                <w:snapToGrid w:val="0"/>
                <w:color w:val="000000"/>
                <w:spacing w:val="0"/>
                <w:kern w:val="0"/>
                <w:sz w:val="24"/>
                <w:szCs w:val="24"/>
                <w:lang w:val="en-US" w:eastAsia="zh-CN"/>
              </w:rPr>
              <w:t>可用于轮廓尺寸测量、2D尺寸测量、粗糙度测量和几何公差测量多功能集一身；</w:t>
            </w:r>
          </w:p>
          <w:p>
            <w:pPr>
              <w:pStyle w:val="2"/>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rPr>
                <w:rFonts w:hint="eastAsia" w:ascii="宋体" w:hAnsi="宋体" w:eastAsia="宋体" w:cs="宋体"/>
                <w:snapToGrid w:val="0"/>
                <w:color w:val="000000"/>
                <w:spacing w:val="0"/>
                <w:kern w:val="0"/>
                <w:sz w:val="24"/>
                <w:szCs w:val="24"/>
                <w:lang w:val="en-US" w:eastAsia="zh-CN"/>
              </w:rPr>
            </w:pPr>
            <w:r>
              <w:rPr>
                <w:rFonts w:hint="eastAsia" w:ascii="宋体" w:hAnsi="宋体" w:eastAsia="宋体" w:cs="宋体"/>
                <w:snapToGrid w:val="0"/>
                <w:color w:val="000000"/>
                <w:spacing w:val="0"/>
                <w:kern w:val="0"/>
                <w:sz w:val="24"/>
                <w:szCs w:val="24"/>
                <w:lang w:val="en-US" w:eastAsia="zh-CN"/>
              </w:rPr>
              <w:t>最快1秒以0.1μm的分辨率对整个面进行高精度3D测量；</w:t>
            </w:r>
          </w:p>
          <w:p>
            <w:pPr>
              <w:pStyle w:val="2"/>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rPr>
                <w:rFonts w:hint="eastAsia" w:ascii="宋体" w:hAnsi="宋体" w:eastAsia="宋体" w:cs="宋体"/>
                <w:snapToGrid w:val="0"/>
                <w:color w:val="000000"/>
                <w:spacing w:val="0"/>
                <w:kern w:val="0"/>
                <w:sz w:val="24"/>
                <w:szCs w:val="24"/>
                <w:lang w:val="en-US" w:eastAsia="zh-CN"/>
              </w:rPr>
            </w:pPr>
            <w:r>
              <w:rPr>
                <w:rFonts w:hint="eastAsia" w:ascii="宋体" w:hAnsi="宋体" w:eastAsia="宋体" w:cs="宋体"/>
                <w:snapToGrid w:val="0"/>
                <w:color w:val="000000"/>
                <w:spacing w:val="0"/>
                <w:kern w:val="0"/>
                <w:sz w:val="24"/>
                <w:szCs w:val="24"/>
                <w:lang w:val="en-US" w:eastAsia="zh-CN"/>
              </w:rPr>
              <w:t>全自动测量范围300x150x69mm；</w:t>
            </w:r>
          </w:p>
          <w:p>
            <w:pPr>
              <w:pStyle w:val="2"/>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left"/>
              <w:rPr>
                <w:rFonts w:hint="default" w:ascii="Times New Roman" w:hAnsi="Times New Roman" w:eastAsia="宋体" w:cs="Times New Roman"/>
                <w:i w:val="0"/>
                <w:color w:val="000000"/>
                <w:sz w:val="18"/>
                <w:szCs w:val="18"/>
                <w:u w:val="none"/>
              </w:rPr>
            </w:pPr>
            <w:r>
              <w:rPr>
                <w:rFonts w:hint="eastAsia" w:ascii="宋体" w:hAnsi="宋体" w:eastAsia="宋体" w:cs="宋体"/>
                <w:snapToGrid w:val="0"/>
                <w:color w:val="000000"/>
                <w:spacing w:val="0"/>
                <w:kern w:val="0"/>
                <w:sz w:val="24"/>
                <w:szCs w:val="24"/>
                <w:lang w:val="en-US" w:eastAsia="zh-CN"/>
              </w:rPr>
              <w:t>测量重复精度0.5μm；</w:t>
            </w:r>
          </w:p>
        </w:tc>
        <w:tc>
          <w:tcPr>
            <w:tcW w:w="1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snapToGrid w:val="0"/>
                <w:color w:val="000000"/>
                <w:kern w:val="0"/>
                <w:sz w:val="24"/>
                <w:szCs w:val="24"/>
                <w:u w:val="none"/>
                <w:lang w:val="en-US" w:eastAsia="zh-CN" w:bidi="ar"/>
              </w:rPr>
              <w:t>培训及远程技术支持</w:t>
            </w:r>
          </w:p>
        </w:tc>
      </w:tr>
    </w:tbl>
    <w:p>
      <w:pP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sectPr>
          <w:headerReference r:id="rId5" w:type="default"/>
          <w:pgSz w:w="16838" w:h="11905" w:orient="landscape"/>
          <w:pgMar w:top="1191" w:right="1389" w:bottom="1191" w:left="1389" w:header="851" w:footer="1020" w:gutter="0"/>
          <w:pgBorders>
            <w:top w:val="none" w:sz="0" w:space="0"/>
            <w:left w:val="none" w:sz="0" w:space="0"/>
            <w:bottom w:val="none" w:sz="0" w:space="0"/>
            <w:right w:val="none" w:sz="0" w:space="0"/>
          </w:pgBorders>
          <w:pgNumType w:fmt="decimal" w:start="1"/>
          <w:cols w:space="0" w:num="1"/>
          <w:rtlGutter w:val="0"/>
          <w:docGrid w:linePitch="312" w:charSpace="0"/>
        </w:sectPr>
      </w:pPr>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br w:type="page"/>
      </w:r>
      <w:bookmarkStart w:id="0" w:name="_Toc14127"/>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附件：服务要求</w:t>
      </w:r>
      <w:bookmarkEnd w:id="0"/>
    </w:p>
    <w:p>
      <w:pPr>
        <w:autoSpaceDE w:val="0"/>
        <w:autoSpaceDN w:val="0"/>
        <w:adjustRightInd w:val="0"/>
        <w:spacing w:line="400" w:lineRule="exact"/>
        <w:ind w:firstLine="420" w:firstLineChars="200"/>
        <w:rPr>
          <w:rFonts w:hint="default" w:ascii="微软雅黑" w:hAnsi="微软雅黑" w:cs="微软雅黑"/>
          <w:szCs w:val="21"/>
          <w:highlight w:val="none"/>
          <w:lang w:val="en-US" w:eastAsia="zh-CN"/>
        </w:rPr>
      </w:pPr>
      <w:r>
        <w:rPr>
          <w:rFonts w:hint="eastAsia" w:ascii="微软雅黑" w:hAnsi="微软雅黑" w:cs="微软雅黑"/>
          <w:szCs w:val="21"/>
          <w:highlight w:val="none"/>
        </w:rPr>
        <w:t>1、交货期：</w:t>
      </w:r>
      <w:r>
        <w:rPr>
          <w:rFonts w:hint="eastAsia" w:ascii="微软雅黑" w:hAnsi="微软雅黑" w:eastAsia="宋体" w:cs="微软雅黑"/>
          <w:szCs w:val="21"/>
          <w:highlight w:val="none"/>
          <w:lang w:val="en-US" w:eastAsia="zh-CN"/>
        </w:rPr>
        <w:t>15天</w:t>
      </w:r>
      <w:r>
        <w:rPr>
          <w:rFonts w:hint="eastAsia" w:ascii="微软雅黑" w:hAnsi="微软雅黑" w:cs="微软雅黑"/>
          <w:szCs w:val="21"/>
          <w:highlight w:val="none"/>
        </w:rPr>
        <w:t>。</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2</w:t>
      </w:r>
      <w:r>
        <w:rPr>
          <w:rFonts w:hint="eastAsia" w:ascii="微软雅黑" w:hAnsi="微软雅黑" w:cs="微软雅黑"/>
          <w:szCs w:val="21"/>
          <w:highlight w:val="none"/>
        </w:rPr>
        <w:t>、调试要求</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供方应积极组织货源，按合同约定时间内到货；</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仪器、设备到货后供方应派工程师，按照技术协议进行调试；</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3、培训要求</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供方负责设备的调试、人员培训、设备操作及维护等，设备验收交付后提供及时的售后服务。</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供方保证买方人员不少于1人在用户现场进行操作、维护等技术培训，使受训人员能够独立操作使用仪器、设备及每一项系统的测试，培训时间不少于2天。</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4、</w:t>
      </w:r>
      <w:r>
        <w:rPr>
          <w:rFonts w:hint="eastAsia" w:ascii="微软雅黑" w:hAnsi="微软雅黑" w:cs="微软雅黑"/>
          <w:szCs w:val="21"/>
          <w:highlight w:val="none"/>
        </w:rPr>
        <w:t>验收要求</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外观验收：设备需全新、完好、无破损；</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配置验收：根据装箱单标准配置，逐项清点，确保配置齐全；</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3</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功能验收：应完全符合技术协议所规定的功能、等级及精度；</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4</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供方负责设备调试，调试过程由供方形成调试记录；</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5</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设备在用户现场安装、调试完毕后，买卖双方共同对设备的精度、功能、配置进行验收，并按有关要求进行静态、动态试验和试件加工；</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6</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在最终验收后，供方应提供不少于1人次的1工作日单班陪产服务，确保设备的连续正常运行；</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7</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依据技术协议执行。</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5、</w:t>
      </w:r>
      <w:r>
        <w:rPr>
          <w:rFonts w:hint="eastAsia" w:ascii="微软雅黑" w:hAnsi="微软雅黑" w:cs="微软雅黑"/>
          <w:szCs w:val="21"/>
          <w:highlight w:val="none"/>
        </w:rPr>
        <w:t>售后服务要求</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从验收合格之日算起，质保期1年。</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供方向需方提供的应是全新产品，保证外观完好、无破损、未经使用过，不存在结构、设计、工艺和材料等方面的缺陷，在投入运行后能完全符合协议的规定，并保证在规定条件下运行良好。</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3</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保修期内：保修期内仪器发生故障，供方维修工程师应在8小时内对用户的信息做出响应，24小时之内给出解决方案。维修完毕后应及时填写维修报告，维修报告应包括故障原因、处理情况及用户意见，维修报告由双方各持一份备案。</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4</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保修期外：保修期外如发生故障后，供方维修工程师在三个工作日内到达用户所在地或在24小时内给出解决方案。维修完毕后，维修工程师将及时填写维修报告，维修报告应包括故障原因、处理情况和用户意见，维修报告由双方各持一份备案。</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6、付款方式：</w:t>
      </w:r>
    </w:p>
    <w:p>
      <w:pPr>
        <w:autoSpaceDE w:val="0"/>
        <w:autoSpaceDN w:val="0"/>
        <w:adjustRightInd w:val="0"/>
        <w:spacing w:line="400" w:lineRule="exact"/>
        <w:ind w:firstLine="420" w:firstLineChars="200"/>
        <w:rPr>
          <w:rFonts w:hint="default"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（1）汇票；</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（2）合同签订后付第一笔款30%；</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（3）产品按照甲方要求运送到指定交付地点，安装调试完毕，经甲方人员验收确认合格后，甲方支付第三笔款60%；</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（4）剩余10%转为质保金，在验收合格后一年后无质量问题一次性支付（无息）。</w:t>
      </w:r>
    </w:p>
    <w:p>
      <w:pPr>
        <w:autoSpaceDE w:val="0"/>
        <w:autoSpaceDN w:val="0"/>
        <w:adjustRightInd w:val="0"/>
        <w:spacing w:line="400" w:lineRule="exact"/>
        <w:ind w:firstLine="420" w:firstLineChars="200"/>
        <w:rPr>
          <w:rFonts w:hint="default" w:ascii="微软雅黑" w:hAnsi="微软雅黑" w:cs="微软雅黑"/>
          <w:szCs w:val="21"/>
          <w:highlight w:val="none"/>
          <w:lang w:val="en-US" w:eastAsia="zh-CN"/>
        </w:rPr>
      </w:pP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1" w:name="_Toc28318"/>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投标人须知</w:t>
      </w:r>
      <w:bookmarkEnd w:id="1"/>
    </w:p>
    <w:p>
      <w:pPr>
        <w:keepNext w:val="0"/>
        <w:keepLines w:val="0"/>
        <w:pageBreakBefore w:val="0"/>
        <w:widowControl/>
        <w:kinsoku w:val="0"/>
        <w:wordWrap/>
        <w:overflowPunct/>
        <w:topLinePunct w:val="0"/>
        <w:autoSpaceDE w:val="0"/>
        <w:autoSpaceDN w:val="0"/>
        <w:bidi w:val="0"/>
        <w:adjustRightInd w:val="0"/>
        <w:snapToGrid w:val="0"/>
        <w:spacing w:before="329"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val="en-US" w:eastAsia="zh-CN"/>
        </w:rPr>
        <w:t>（一）</w:t>
      </w:r>
      <w:r>
        <w:rPr>
          <w:rFonts w:ascii="黑体" w:hAnsi="黑体" w:eastAsia="黑体" w:cs="黑体"/>
          <w:spacing w:val="0"/>
          <w:sz w:val="28"/>
          <w:szCs w:val="28"/>
        </w:rPr>
        <w:t>投标要求</w:t>
      </w:r>
    </w:p>
    <w:p>
      <w:pPr>
        <w:keepNext w:val="0"/>
        <w:keepLines w:val="0"/>
        <w:pageBreakBefore w:val="0"/>
        <w:widowControl/>
        <w:kinsoku w:val="0"/>
        <w:wordWrap/>
        <w:overflowPunct/>
        <w:topLinePunct w:val="0"/>
        <w:autoSpaceDE w:val="0"/>
        <w:autoSpaceDN w:val="0"/>
        <w:bidi w:val="0"/>
        <w:adjustRightInd w:val="0"/>
        <w:snapToGrid w:val="0"/>
        <w:spacing w:before="255"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投标人应遵守国家有关招标投标法律、法规、部门规章和规范性文件。</w:t>
      </w:r>
    </w:p>
    <w:p>
      <w:pPr>
        <w:keepNext w:val="0"/>
        <w:keepLines w:val="0"/>
        <w:pageBreakBefore w:val="0"/>
        <w:widowControl/>
        <w:kinsoku w:val="0"/>
        <w:wordWrap/>
        <w:overflowPunct/>
        <w:topLinePunct w:val="0"/>
        <w:autoSpaceDE w:val="0"/>
        <w:autoSpaceDN w:val="0"/>
        <w:bidi w:val="0"/>
        <w:adjustRightInd w:val="0"/>
        <w:snapToGrid w:val="0"/>
        <w:spacing w:before="227" w:line="185" w:lineRule="auto"/>
        <w:ind w:lef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投标资</w:t>
      </w:r>
      <w:r>
        <w:rPr>
          <w:rFonts w:hint="eastAsia" w:ascii="宋体" w:hAnsi="宋体" w:eastAsia="宋体" w:cs="宋体"/>
          <w:spacing w:val="0"/>
          <w:sz w:val="24"/>
          <w:szCs w:val="24"/>
        </w:rPr>
        <w:t>格（包括但不限于）：</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92" w:line="360" w:lineRule="auto"/>
        <w:ind w:left="0" w:leftChars="0" w:firstLine="480" w:firstLineChars="200"/>
        <w:textAlignment w:val="baseline"/>
        <w:rPr>
          <w:rFonts w:hint="eastAsia" w:ascii="宋体" w:hAnsi="宋体" w:eastAsia="宋体" w:cs="宋体"/>
          <w:color w:val="auto"/>
          <w:spacing w:val="0"/>
          <w:position w:val="5"/>
          <w:sz w:val="24"/>
          <w:szCs w:val="24"/>
          <w:highlight w:val="none"/>
        </w:rPr>
      </w:pPr>
      <w:r>
        <w:rPr>
          <w:rFonts w:hint="eastAsia" w:ascii="宋体" w:hAnsi="宋体" w:eastAsia="宋体" w:cs="宋体"/>
          <w:color w:val="auto"/>
          <w:spacing w:val="0"/>
          <w:position w:val="5"/>
          <w:sz w:val="24"/>
          <w:szCs w:val="24"/>
          <w:highlight w:val="none"/>
        </w:rPr>
        <w:t>投标人投标时应提供加盖其单位公章的营业执照副本、资质证书</w:t>
      </w:r>
      <w:r>
        <w:rPr>
          <w:rFonts w:hint="eastAsia" w:ascii="宋体" w:hAnsi="宋体" w:eastAsia="宋体" w:cs="宋体"/>
          <w:color w:val="auto"/>
          <w:spacing w:val="0"/>
          <w:position w:val="5"/>
          <w:sz w:val="24"/>
          <w:szCs w:val="24"/>
          <w:highlight w:val="none"/>
        </w:rPr>
        <w:fldChar w:fldCharType="begin"/>
      </w:r>
      <w:r>
        <w:rPr>
          <w:rFonts w:hint="eastAsia" w:ascii="宋体" w:hAnsi="宋体" w:eastAsia="宋体" w:cs="宋体"/>
          <w:color w:val="auto"/>
          <w:spacing w:val="0"/>
          <w:position w:val="5"/>
          <w:sz w:val="24"/>
          <w:szCs w:val="24"/>
          <w:highlight w:val="none"/>
        </w:rPr>
        <w:instrText xml:space="preserve"> HYPERLINK "https://baike.baidu.com/item/%E5%AE%89%E5%85%A8%E7%94%9F%E4%BA%A7%E8%AE%B8%E5%8F%AF%E8%AF%81" </w:instrText>
      </w:r>
      <w:r>
        <w:rPr>
          <w:rFonts w:hint="eastAsia" w:ascii="宋体" w:hAnsi="宋体" w:eastAsia="宋体" w:cs="宋体"/>
          <w:color w:val="auto"/>
          <w:spacing w:val="0"/>
          <w:position w:val="5"/>
          <w:sz w:val="24"/>
          <w:szCs w:val="24"/>
          <w:highlight w:val="none"/>
        </w:rPr>
        <w:fldChar w:fldCharType="separate"/>
      </w:r>
      <w:r>
        <w:rPr>
          <w:rFonts w:hint="eastAsia" w:ascii="宋体" w:hAnsi="宋体" w:eastAsia="宋体" w:cs="宋体"/>
          <w:color w:val="auto"/>
          <w:spacing w:val="0"/>
          <w:position w:val="5"/>
          <w:sz w:val="24"/>
          <w:szCs w:val="24"/>
          <w:highlight w:val="none"/>
        </w:rPr>
        <w:t>等证书复印件</w:t>
      </w:r>
      <w:r>
        <w:rPr>
          <w:rFonts w:hint="eastAsia" w:ascii="宋体" w:hAnsi="宋体" w:eastAsia="宋体" w:cs="宋体"/>
          <w:color w:val="auto"/>
          <w:spacing w:val="0"/>
          <w:position w:val="5"/>
          <w:sz w:val="24"/>
          <w:szCs w:val="24"/>
          <w:highlight w:val="none"/>
        </w:rPr>
        <w:fldChar w:fldCharType="end"/>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中国信用网资信证明</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财务审计报告或上年度财务报表       </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供货业绩</w:t>
      </w:r>
    </w:p>
    <w:p>
      <w:pPr>
        <w:keepNext w:val="0"/>
        <w:keepLines w:val="0"/>
        <w:pageBreakBefore w:val="0"/>
        <w:widowControl/>
        <w:numPr>
          <w:ilvl w:val="0"/>
          <w:numId w:val="0"/>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highlight w:val="none"/>
          <w:lang w:val="en-US" w:eastAsia="zh-CN"/>
        </w:rPr>
        <w:t>3、投标费用：投标人应承担</w:t>
      </w:r>
      <w:r>
        <w:rPr>
          <w:rFonts w:hint="eastAsia" w:ascii="宋体" w:hAnsi="宋体" w:eastAsia="宋体" w:cs="宋体"/>
          <w:color w:val="auto"/>
          <w:spacing w:val="0"/>
          <w:sz w:val="24"/>
          <w:szCs w:val="24"/>
          <w:lang w:val="en-US" w:eastAsia="zh-CN"/>
        </w:rPr>
        <w:t>投标过程中所涉及的一切费用，不管投标结果如何，招标人对上述费用不负任何责任。</w:t>
      </w:r>
    </w:p>
    <w:p>
      <w:pPr>
        <w:keepNext w:val="0"/>
        <w:keepLines w:val="0"/>
        <w:pageBreakBefore w:val="0"/>
        <w:widowControl/>
        <w:kinsoku w:val="0"/>
        <w:wordWrap/>
        <w:overflowPunct/>
        <w:topLinePunct w:val="0"/>
        <w:autoSpaceDE w:val="0"/>
        <w:autoSpaceDN w:val="0"/>
        <w:bidi w:val="0"/>
        <w:adjustRightInd w:val="0"/>
        <w:snapToGrid w:val="0"/>
        <w:spacing w:before="329" w:line="188" w:lineRule="auto"/>
        <w:ind w:left="0" w:firstLine="560" w:firstLineChars="200"/>
        <w:textAlignment w:val="baseline"/>
        <w:rPr>
          <w:rFonts w:hint="eastAsia" w:ascii="黑体" w:hAnsi="黑体" w:eastAsia="黑体" w:cs="黑体"/>
          <w:spacing w:val="0"/>
          <w:sz w:val="28"/>
          <w:szCs w:val="28"/>
        </w:rPr>
      </w:pPr>
      <w:r>
        <w:rPr>
          <w:rFonts w:hint="eastAsia" w:ascii="黑体" w:hAnsi="黑体" w:eastAsia="黑体" w:cs="黑体"/>
          <w:spacing w:val="0"/>
          <w:sz w:val="28"/>
          <w:szCs w:val="28"/>
          <w:lang w:eastAsia="zh-CN"/>
        </w:rPr>
        <w:t>（</w:t>
      </w:r>
      <w:r>
        <w:rPr>
          <w:rFonts w:hint="eastAsia" w:ascii="黑体" w:hAnsi="黑体" w:eastAsia="黑体" w:cs="黑体"/>
          <w:spacing w:val="0"/>
          <w:sz w:val="28"/>
          <w:szCs w:val="28"/>
        </w:rPr>
        <w:t>二</w:t>
      </w:r>
      <w:r>
        <w:rPr>
          <w:rFonts w:hint="eastAsia" w:ascii="黑体" w:hAnsi="黑体" w:eastAsia="黑体" w:cs="黑体"/>
          <w:spacing w:val="0"/>
          <w:sz w:val="28"/>
          <w:szCs w:val="28"/>
          <w:lang w:eastAsia="zh-CN"/>
        </w:rPr>
        <w:t>）</w:t>
      </w:r>
      <w:r>
        <w:rPr>
          <w:rFonts w:hint="eastAsia" w:ascii="黑体" w:hAnsi="黑体" w:eastAsia="黑体" w:cs="黑体"/>
          <w:spacing w:val="0"/>
          <w:sz w:val="28"/>
          <w:szCs w:val="28"/>
        </w:rPr>
        <w:t>投标报价</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hint="eastAsia" w:ascii="宋体" w:hAnsi="宋体" w:eastAsia="宋体" w:cs="宋体"/>
          <w:spacing w:val="0"/>
          <w:sz w:val="24"/>
          <w:szCs w:val="24"/>
        </w:rPr>
        <w:t>投标报价要求按招标文件要求报价，并按招标文件中所</w:t>
      </w:r>
      <w:r>
        <w:rPr>
          <w:rFonts w:ascii="宋体" w:hAnsi="宋体" w:eastAsia="宋体" w:cs="宋体"/>
          <w:spacing w:val="0"/>
          <w:sz w:val="24"/>
          <w:szCs w:val="24"/>
        </w:rPr>
        <w:t>附 《投标函》</w:t>
      </w:r>
      <w:r>
        <w:rPr>
          <w:rFonts w:hint="eastAsia" w:ascii="宋体" w:hAnsi="宋体" w:eastAsia="宋体" w:cs="宋体"/>
          <w:spacing w:val="0"/>
          <w:sz w:val="24"/>
          <w:szCs w:val="24"/>
          <w:lang w:eastAsia="zh-CN"/>
        </w:rPr>
        <w:t>、</w:t>
      </w:r>
      <w:r>
        <w:rPr>
          <w:rFonts w:ascii="宋体" w:hAnsi="宋体" w:eastAsia="宋体" w:cs="宋体"/>
          <w:spacing w:val="0"/>
          <w:sz w:val="24"/>
          <w:szCs w:val="24"/>
        </w:rPr>
        <w:t>《投标报价表》格式填写。</w:t>
      </w:r>
    </w:p>
    <w:p>
      <w:pPr>
        <w:keepNext w:val="0"/>
        <w:keepLines w:val="0"/>
        <w:pageBreakBefore w:val="0"/>
        <w:widowControl/>
        <w:kinsoku w:val="0"/>
        <w:wordWrap/>
        <w:overflowPunct/>
        <w:topLinePunct w:val="0"/>
        <w:autoSpaceDE w:val="0"/>
        <w:autoSpaceDN w:val="0"/>
        <w:bidi w:val="0"/>
        <w:adjustRightInd w:val="0"/>
        <w:snapToGrid w:val="0"/>
        <w:spacing w:before="228"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所有投标均以人民币报价。</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3、</w:t>
      </w:r>
      <w:r>
        <w:rPr>
          <w:rFonts w:hint="eastAsia" w:ascii="宋体" w:hAnsi="宋体" w:eastAsia="宋体" w:cs="宋体"/>
          <w:spacing w:val="0"/>
          <w:sz w:val="24"/>
          <w:szCs w:val="24"/>
        </w:rPr>
        <w:t>投标人所报单价在本招标文件项下的合同履行期间不能因市场变化因素而变动。</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4、</w:t>
      </w:r>
      <w:r>
        <w:rPr>
          <w:rFonts w:hint="eastAsia" w:ascii="宋体" w:hAnsi="宋体" w:eastAsia="宋体" w:cs="宋体"/>
          <w:spacing w:val="0"/>
          <w:sz w:val="24"/>
          <w:szCs w:val="24"/>
        </w:rPr>
        <w:t>投标人所报的各种价格均为含税到招标人指定地点交货价（包含产品包装、运输、装卸等相关费用）；投标报价以元为单位，精确到小数点后两位数，超出两位按四舍五入计；包装物投标人不回收，费用由投标人负担。</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5、</w:t>
      </w:r>
      <w:r>
        <w:rPr>
          <w:rFonts w:hint="eastAsia" w:ascii="宋体" w:hAnsi="宋体" w:eastAsia="宋体" w:cs="宋体"/>
          <w:spacing w:val="0"/>
          <w:sz w:val="24"/>
          <w:szCs w:val="24"/>
        </w:rPr>
        <w:t>招标人有权重视各投标人全部报价的合理性。所有投标人不能相互串通、哄抬报价，若有发现，招标人有权宣布其投标无效。</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三</w:t>
      </w:r>
      <w:r>
        <w:rPr>
          <w:rFonts w:hint="eastAsia" w:ascii="黑体" w:hAnsi="黑体" w:eastAsia="黑体" w:cs="黑体"/>
          <w:spacing w:val="0"/>
          <w:sz w:val="28"/>
          <w:szCs w:val="28"/>
          <w:lang w:eastAsia="zh-CN"/>
        </w:rPr>
        <w:t>）</w:t>
      </w:r>
      <w:r>
        <w:rPr>
          <w:rFonts w:ascii="黑体" w:hAnsi="黑体" w:eastAsia="黑体" w:cs="黑体"/>
          <w:spacing w:val="0"/>
          <w:sz w:val="28"/>
          <w:szCs w:val="28"/>
        </w:rPr>
        <w:t>投标文件</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1、</w:t>
      </w:r>
      <w:r>
        <w:rPr>
          <w:rFonts w:hint="eastAsia" w:ascii="宋体" w:hAnsi="宋体" w:eastAsia="宋体" w:cs="宋体"/>
          <w:spacing w:val="0"/>
          <w:sz w:val="24"/>
          <w:szCs w:val="24"/>
        </w:rPr>
        <w:t>投标人应填写其单位名称全称。</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2、</w:t>
      </w:r>
      <w:r>
        <w:rPr>
          <w:rFonts w:hint="eastAsia" w:ascii="宋体" w:hAnsi="宋体" w:eastAsia="宋体" w:cs="宋体"/>
          <w:spacing w:val="0"/>
          <w:sz w:val="24"/>
          <w:szCs w:val="24"/>
        </w:rPr>
        <w:t>投标文件包括《投标函》、《投标报价表》</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技术协议》、《技术和商务条款响应表》、《投标人产品质量承诺函》、《售后服务承诺》、《投资人的资格申明》、《法定代表人授权书》、《业绩表》、《制造商资质证明条件》、《制造商授权代理商文件》</w:t>
      </w:r>
      <w:r>
        <w:rPr>
          <w:rFonts w:hint="eastAsia" w:ascii="宋体" w:hAnsi="宋体" w:eastAsia="宋体" w:cs="宋体"/>
          <w:spacing w:val="0"/>
          <w:sz w:val="24"/>
          <w:szCs w:val="24"/>
        </w:rPr>
        <w:t>和资格证明文件。资格证明文件包含上述投标资格要求中的所有资料。</w:t>
      </w:r>
    </w:p>
    <w:p>
      <w:pPr>
        <w:keepNext w:val="0"/>
        <w:keepLines w:val="0"/>
        <w:pageBreakBefore w:val="0"/>
        <w:widowControl/>
        <w:kinsoku w:val="0"/>
        <w:wordWrap/>
        <w:overflowPunct/>
        <w:topLinePunct w:val="0"/>
        <w:autoSpaceDE w:val="0"/>
        <w:autoSpaceDN w:val="0"/>
        <w:bidi w:val="0"/>
        <w:adjustRightInd w:val="0"/>
        <w:snapToGrid w:val="0"/>
        <w:spacing w:before="226" w:line="272" w:lineRule="auto"/>
        <w:ind w:left="0" w:right="61"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w:t>
      </w:r>
      <w:r>
        <w:rPr>
          <w:rFonts w:hint="eastAsia" w:ascii="宋体" w:hAnsi="宋体" w:eastAsia="宋体" w:cs="宋体"/>
          <w:spacing w:val="0"/>
          <w:sz w:val="24"/>
          <w:szCs w:val="24"/>
        </w:rPr>
        <w:t>《投标函》、《投标报价表》须加盖投标人公章，由其法定代表人或其委托代理人亲笔签字。</w:t>
      </w:r>
    </w:p>
    <w:p>
      <w:pPr>
        <w:keepNext w:val="0"/>
        <w:keepLines w:val="0"/>
        <w:pageBreakBefore w:val="0"/>
        <w:widowControl/>
        <w:kinsoku w:val="0"/>
        <w:wordWrap/>
        <w:overflowPunct/>
        <w:topLinePunct w:val="0"/>
        <w:autoSpaceDE w:val="0"/>
        <w:autoSpaceDN w:val="0"/>
        <w:bidi w:val="0"/>
        <w:adjustRightInd w:val="0"/>
        <w:snapToGrid w:val="0"/>
        <w:spacing w:before="226" w:line="272" w:lineRule="auto"/>
        <w:ind w:left="0" w:right="61" w:firstLine="480" w:firstLineChars="200"/>
        <w:textAlignment w:val="baseline"/>
        <w:rPr>
          <w:rFonts w:ascii="黑体" w:hAnsi="黑体" w:eastAsia="黑体" w:cs="黑体"/>
          <w:spacing w:val="0"/>
          <w:sz w:val="28"/>
          <w:szCs w:val="28"/>
        </w:rPr>
      </w:pPr>
      <w:r>
        <w:rPr>
          <w:rFonts w:hint="eastAsia" w:ascii="宋体" w:hAnsi="宋体" w:eastAsia="宋体" w:cs="宋体"/>
          <w:spacing w:val="0"/>
          <w:sz w:val="24"/>
          <w:szCs w:val="24"/>
          <w:lang w:eastAsia="zh-CN"/>
        </w:rPr>
        <w:t>4、</w:t>
      </w:r>
      <w:r>
        <w:rPr>
          <w:rFonts w:hint="eastAsia" w:ascii="宋体" w:hAnsi="宋体" w:eastAsia="宋体" w:cs="宋体"/>
          <w:spacing w:val="0"/>
          <w:sz w:val="24"/>
          <w:szCs w:val="24"/>
        </w:rPr>
        <w:t>自开标之日起60天内，投标文件应保持有效。有效期短于前述规定期限的投标，将被拒绝。</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四</w:t>
      </w:r>
      <w:r>
        <w:rPr>
          <w:rFonts w:hint="eastAsia" w:ascii="黑体" w:hAnsi="黑体" w:eastAsia="黑体" w:cs="黑体"/>
          <w:spacing w:val="0"/>
          <w:sz w:val="28"/>
          <w:szCs w:val="28"/>
          <w:lang w:eastAsia="zh-CN"/>
        </w:rPr>
        <w:t>）</w:t>
      </w:r>
      <w:r>
        <w:rPr>
          <w:rFonts w:ascii="黑体" w:hAnsi="黑体" w:eastAsia="黑体" w:cs="黑体"/>
          <w:spacing w:val="0"/>
          <w:sz w:val="28"/>
          <w:szCs w:val="28"/>
        </w:rPr>
        <w:t>开标、评标、定标</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1、</w:t>
      </w:r>
      <w:r>
        <w:rPr>
          <w:rFonts w:hint="eastAsia" w:ascii="宋体" w:hAnsi="宋体" w:eastAsia="宋体" w:cs="宋体"/>
          <w:spacing w:val="0"/>
          <w:sz w:val="24"/>
          <w:szCs w:val="24"/>
        </w:rPr>
        <w:t>开标时，将按照招标人有关招投标规定执行。</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ascii="宋体" w:hAnsi="宋体" w:eastAsia="宋体" w:cs="宋体"/>
          <w:spacing w:val="0"/>
          <w:sz w:val="24"/>
          <w:szCs w:val="24"/>
          <w:highlight w:val="none"/>
        </w:rPr>
      </w:pPr>
      <w:r>
        <w:rPr>
          <w:rFonts w:hint="eastAsia" w:ascii="宋体" w:hAnsi="宋体" w:eastAsia="宋体" w:cs="宋体"/>
          <w:spacing w:val="0"/>
          <w:sz w:val="24"/>
          <w:szCs w:val="24"/>
          <w:highlight w:val="none"/>
          <w:lang w:eastAsia="zh-CN"/>
        </w:rPr>
        <w:t>2、</w:t>
      </w:r>
      <w:r>
        <w:rPr>
          <w:rFonts w:hint="eastAsia" w:ascii="宋体" w:hAnsi="宋体" w:eastAsia="宋体" w:cs="宋体"/>
          <w:spacing w:val="0"/>
          <w:sz w:val="24"/>
          <w:szCs w:val="24"/>
          <w:highlight w:val="none"/>
        </w:rPr>
        <w:t>开标后由招标人组建的评标委员会进行评标，</w:t>
      </w:r>
      <w:r>
        <w:rPr>
          <w:rFonts w:ascii="宋体" w:hAnsi="宋体" w:eastAsia="宋体" w:cs="宋体"/>
          <w:spacing w:val="0"/>
          <w:sz w:val="24"/>
          <w:szCs w:val="24"/>
          <w:highlight w:val="none"/>
        </w:rPr>
        <w:t>以经评审的</w:t>
      </w:r>
      <w:r>
        <w:rPr>
          <w:rFonts w:hint="eastAsia" w:ascii="宋体" w:hAnsi="宋体" w:eastAsia="宋体" w:cs="宋体"/>
          <w:spacing w:val="0"/>
          <w:sz w:val="24"/>
          <w:szCs w:val="24"/>
          <w:highlight w:val="none"/>
          <w:lang w:val="en-US" w:eastAsia="zh-CN"/>
        </w:rPr>
        <w:t>综合评分</w:t>
      </w:r>
      <w:r>
        <w:rPr>
          <w:rFonts w:ascii="宋体" w:hAnsi="宋体" w:eastAsia="宋体" w:cs="宋体"/>
          <w:spacing w:val="0"/>
          <w:sz w:val="24"/>
          <w:szCs w:val="24"/>
          <w:highlight w:val="none"/>
        </w:rPr>
        <w:t>法确定中标人。</w:t>
      </w:r>
    </w:p>
    <w:p>
      <w:pPr>
        <w:keepNext w:val="0"/>
        <w:keepLines w:val="0"/>
        <w:pageBreakBefore w:val="0"/>
        <w:widowControl/>
        <w:kinsoku w:val="0"/>
        <w:wordWrap/>
        <w:overflowPunct/>
        <w:topLinePunct w:val="0"/>
        <w:autoSpaceDE w:val="0"/>
        <w:autoSpaceDN w:val="0"/>
        <w:bidi w:val="0"/>
        <w:adjustRightInd w:val="0"/>
        <w:snapToGrid w:val="0"/>
        <w:spacing w:before="225"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highlight w:val="none"/>
          <w:lang w:eastAsia="zh-CN"/>
        </w:rPr>
        <w:t>3</w:t>
      </w:r>
      <w:r>
        <w:rPr>
          <w:rFonts w:hint="eastAsia" w:ascii="宋体" w:hAnsi="宋体" w:eastAsia="宋体" w:cs="宋体"/>
          <w:spacing w:val="0"/>
          <w:sz w:val="24"/>
          <w:szCs w:val="24"/>
          <w:lang w:eastAsia="zh-CN"/>
        </w:rPr>
        <w:t>、</w:t>
      </w:r>
      <w:r>
        <w:rPr>
          <w:rFonts w:ascii="宋体" w:hAnsi="宋体" w:eastAsia="宋体" w:cs="宋体"/>
          <w:spacing w:val="0"/>
          <w:sz w:val="24"/>
          <w:szCs w:val="24"/>
        </w:rPr>
        <w:t>招标人不对未中标的投标人作任何解释，不退还投标文件。</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五</w:t>
      </w:r>
      <w:r>
        <w:rPr>
          <w:rFonts w:hint="eastAsia" w:ascii="黑体" w:hAnsi="黑体" w:eastAsia="黑体" w:cs="黑体"/>
          <w:spacing w:val="0"/>
          <w:sz w:val="28"/>
          <w:szCs w:val="28"/>
          <w:lang w:eastAsia="zh-CN"/>
        </w:rPr>
        <w:t>）</w:t>
      </w:r>
      <w:r>
        <w:rPr>
          <w:rFonts w:ascii="黑体" w:hAnsi="黑体" w:eastAsia="黑体" w:cs="黑体"/>
          <w:spacing w:val="0"/>
          <w:sz w:val="28"/>
          <w:szCs w:val="28"/>
        </w:rPr>
        <w:t>合同签订</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中标人应在接到中标通知书之日起30日内（含节假日）与招标人签订买卖合同，中标人因自身原因不与招标人签订买卖合同的，视为自愿放弃该次中标。</w:t>
      </w:r>
    </w:p>
    <w:p>
      <w:pPr>
        <w:keepNext w:val="0"/>
        <w:keepLines w:val="0"/>
        <w:pageBreakBefore w:val="0"/>
        <w:widowControl/>
        <w:kinsoku w:val="0"/>
        <w:wordWrap/>
        <w:overflowPunct/>
        <w:topLinePunct w:val="0"/>
        <w:autoSpaceDE w:val="0"/>
        <w:autoSpaceDN w:val="0"/>
        <w:bidi w:val="0"/>
        <w:adjustRightInd w:val="0"/>
        <w:snapToGrid w:val="0"/>
        <w:spacing w:before="228"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中标人必须保证中标产品质量的稳定，如果招标人发现产品质量不符合本招标文件要求的标准，或者发生质量下降，招标人有权单方面终止买卖合同。</w:t>
      </w:r>
    </w:p>
    <w:p>
      <w:pPr>
        <w:keepNext w:val="0"/>
        <w:keepLines w:val="0"/>
        <w:pageBreakBefore w:val="0"/>
        <w:widowControl/>
        <w:kinsoku w:val="0"/>
        <w:wordWrap/>
        <w:overflowPunct/>
        <w:topLinePunct w:val="0"/>
        <w:autoSpaceDE w:val="0"/>
        <w:autoSpaceDN w:val="0"/>
        <w:bidi w:val="0"/>
        <w:adjustRightInd w:val="0"/>
        <w:snapToGrid w:val="0"/>
        <w:spacing w:before="228"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3、</w:t>
      </w:r>
      <w:r>
        <w:rPr>
          <w:rFonts w:ascii="宋体" w:hAnsi="宋体" w:eastAsia="宋体" w:cs="宋体"/>
          <w:spacing w:val="0"/>
          <w:sz w:val="24"/>
          <w:szCs w:val="24"/>
        </w:rPr>
        <w:t>中标人延误买卖合同约定的产品交付期限，招标人有权追究中标人责任。</w:t>
      </w:r>
    </w:p>
    <w:p>
      <w:pPr>
        <w:keepNext w:val="0"/>
        <w:keepLines w:val="0"/>
        <w:pageBreakBefore w:val="0"/>
        <w:widowControl/>
        <w:kinsoku w:val="0"/>
        <w:wordWrap/>
        <w:overflowPunct/>
        <w:topLinePunct w:val="0"/>
        <w:autoSpaceDE w:val="0"/>
        <w:autoSpaceDN w:val="0"/>
        <w:bidi w:val="0"/>
        <w:adjustRightInd w:val="0"/>
        <w:snapToGrid w:val="0"/>
        <w:spacing w:before="226" w:line="272" w:lineRule="auto"/>
        <w:ind w:left="0" w:right="8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4、</w:t>
      </w:r>
      <w:r>
        <w:rPr>
          <w:rFonts w:ascii="宋体" w:hAnsi="宋体" w:eastAsia="宋体" w:cs="宋体"/>
          <w:spacing w:val="0"/>
          <w:sz w:val="24"/>
          <w:szCs w:val="24"/>
        </w:rPr>
        <w:t>在买卖合同有效期内，中标人如违反买卖合同的约定，招标人有权单方面终止买卖合同。</w:t>
      </w:r>
    </w:p>
    <w:p>
      <w:pPr>
        <w:keepNext w:val="0"/>
        <w:keepLines w:val="0"/>
        <w:pageBreakBefore w:val="0"/>
        <w:widowControl/>
        <w:kinsoku w:val="0"/>
        <w:wordWrap/>
        <w:overflowPunct/>
        <w:topLinePunct w:val="0"/>
        <w:autoSpaceDE w:val="0"/>
        <w:autoSpaceDN w:val="0"/>
        <w:bidi w:val="0"/>
        <w:adjustRightInd w:val="0"/>
        <w:snapToGrid w:val="0"/>
        <w:spacing w:before="229"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六</w:t>
      </w:r>
      <w:r>
        <w:rPr>
          <w:rFonts w:hint="eastAsia" w:ascii="黑体" w:hAnsi="黑体" w:eastAsia="黑体" w:cs="黑体"/>
          <w:spacing w:val="0"/>
          <w:sz w:val="28"/>
          <w:szCs w:val="28"/>
          <w:lang w:eastAsia="zh-CN"/>
        </w:rPr>
        <w:t>）</w:t>
      </w:r>
      <w:r>
        <w:rPr>
          <w:rFonts w:ascii="黑体" w:hAnsi="黑体" w:eastAsia="黑体" w:cs="黑体"/>
          <w:spacing w:val="0"/>
          <w:sz w:val="28"/>
          <w:szCs w:val="28"/>
        </w:rPr>
        <w:t>纪律要求</w:t>
      </w:r>
    </w:p>
    <w:p>
      <w:pPr>
        <w:keepNext w:val="0"/>
        <w:keepLines w:val="0"/>
        <w:pageBreakBefore w:val="0"/>
        <w:widowControl/>
        <w:kinsoku w:val="0"/>
        <w:wordWrap/>
        <w:overflowPunct/>
        <w:topLinePunct w:val="0"/>
        <w:autoSpaceDE w:val="0"/>
        <w:autoSpaceDN w:val="0"/>
        <w:bidi w:val="0"/>
        <w:adjustRightInd w:val="0"/>
        <w:snapToGrid w:val="0"/>
        <w:spacing w:before="228"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pPr>
        <w:keepNext w:val="0"/>
        <w:keepLines w:val="0"/>
        <w:pageBreakBefore w:val="0"/>
        <w:widowControl/>
        <w:kinsoku w:val="0"/>
        <w:wordWrap/>
        <w:overflowPunct/>
        <w:topLinePunct w:val="0"/>
        <w:autoSpaceDE w:val="0"/>
        <w:autoSpaceDN w:val="0"/>
        <w:bidi w:val="0"/>
        <w:adjustRightInd w:val="0"/>
        <w:snapToGrid w:val="0"/>
        <w:spacing w:before="228"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评标委员会及其组成人员应严格自律，严格遵守国家法律、法规，并接受监察部门的监督。</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七</w:t>
      </w:r>
      <w:r>
        <w:rPr>
          <w:rFonts w:hint="eastAsia" w:ascii="黑体" w:hAnsi="黑体" w:eastAsia="黑体" w:cs="黑体"/>
          <w:spacing w:val="0"/>
          <w:sz w:val="28"/>
          <w:szCs w:val="28"/>
          <w:lang w:eastAsia="zh-CN"/>
        </w:rPr>
        <w:t>）</w:t>
      </w:r>
      <w:r>
        <w:rPr>
          <w:rFonts w:ascii="黑体" w:hAnsi="黑体" w:eastAsia="黑体" w:cs="黑体"/>
          <w:spacing w:val="0"/>
          <w:sz w:val="28"/>
          <w:szCs w:val="28"/>
        </w:rPr>
        <w:t>其他</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中标人若改变原材料配方和生产工艺，需征得招标人同意，并需重新认可。</w:t>
      </w: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w:t>
      </w:r>
      <w:r>
        <w:rPr>
          <w:rFonts w:hint="eastAsia" w:ascii="宋体" w:hAnsi="宋体" w:eastAsia="宋体" w:cs="宋体"/>
          <w:spacing w:val="0"/>
          <w:sz w:val="24"/>
          <w:szCs w:val="24"/>
          <w:lang w:eastAsia="zh-CN"/>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2" w:name="_bookmark18"/>
    <w:bookmarkEnd w:id="2"/>
    <w:r>
      <w:drawing>
        <wp:inline distT="0" distB="0" distL="114300" distR="114300">
          <wp:extent cx="4069080" cy="438150"/>
          <wp:effectExtent l="0" t="0" r="0" b="0"/>
          <wp:docPr id="6" name="图片 6"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1F4886"/>
    <w:multiLevelType w:val="singleLevel"/>
    <w:tmpl w:val="6D1F4886"/>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OWRhOWVmYzM0YmI1NDBiMzI2MmYxYmY5ODc1ODAifQ=="/>
  </w:docVars>
  <w:rsids>
    <w:rsidRoot w:val="00000000"/>
    <w:rsid w:val="01D17056"/>
    <w:rsid w:val="01DE2722"/>
    <w:rsid w:val="083C07F4"/>
    <w:rsid w:val="0D093B48"/>
    <w:rsid w:val="274200B7"/>
    <w:rsid w:val="284101E2"/>
    <w:rsid w:val="3AFE1F63"/>
    <w:rsid w:val="47A85730"/>
    <w:rsid w:val="5579070C"/>
    <w:rsid w:val="58900246"/>
    <w:rsid w:val="608C5797"/>
    <w:rsid w:val="616E30EF"/>
    <w:rsid w:val="64267CB1"/>
    <w:rsid w:val="70853FB1"/>
    <w:rsid w:val="761A519B"/>
    <w:rsid w:val="7D7B361B"/>
    <w:rsid w:val="7E957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报告正文"/>
    <w:basedOn w:val="1"/>
    <w:qFormat/>
    <w:uiPriority w:val="99"/>
    <w:pPr>
      <w:adjustRightInd w:val="0"/>
      <w:snapToGrid w:val="0"/>
      <w:spacing w:line="360" w:lineRule="auto"/>
      <w:ind w:firstLine="560" w:firstLineChars="200"/>
    </w:pPr>
    <w:rPr>
      <w:kern w:val="0"/>
      <w:sz w:val="28"/>
      <w:szCs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2274</Words>
  <Characters>2307</Characters>
  <Lines>0</Lines>
  <Paragraphs>0</Paragraphs>
  <TotalTime>0</TotalTime>
  <ScaleCrop>false</ScaleCrop>
  <LinksUpToDate>false</LinksUpToDate>
  <CharactersWithSpaces>2315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2022-11-08T00:33:00Z</dcterms:created>
  <dc:creator>Administrator</dc:creator>
  <cp:lastModifiedBy>qw</cp:lastModifiedBy>
  <dcterms:modified xsi:type="dcterms:W3CDTF">2022-11-14T03:29:12Z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97847E3662144126BD0ED25EEEB53B12</vt:lpwstr>
  </property>
</Properties>
</file>