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0" w:name="_Toc23575"/>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附件：技术参数指标</w:t>
      </w:r>
      <w:bookmarkEnd w:id="0"/>
    </w:p>
    <w:tbl>
      <w:tblPr>
        <w:tblStyle w:val="5"/>
        <w:tblW w:w="9670" w:type="dxa"/>
        <w:jc w:val="center"/>
        <w:shd w:val="clear" w:color="auto" w:fill="auto"/>
        <w:tblLayout w:type="autofit"/>
        <w:tblCellMar>
          <w:top w:w="0" w:type="dxa"/>
          <w:left w:w="0" w:type="dxa"/>
          <w:bottom w:w="0" w:type="dxa"/>
          <w:right w:w="0" w:type="dxa"/>
        </w:tblCellMar>
      </w:tblPr>
      <w:tblGrid>
        <w:gridCol w:w="2030"/>
        <w:gridCol w:w="2708"/>
        <w:gridCol w:w="3482"/>
        <w:gridCol w:w="1450"/>
      </w:tblGrid>
      <w:tr>
        <w:tblPrEx>
          <w:shd w:val="clear" w:color="auto" w:fill="auto"/>
          <w:tblCellMar>
            <w:top w:w="0" w:type="dxa"/>
            <w:left w:w="0" w:type="dxa"/>
            <w:bottom w:w="0" w:type="dxa"/>
            <w:right w:w="0" w:type="dxa"/>
          </w:tblCellMar>
        </w:tblPrEx>
        <w:trPr>
          <w:trHeight w:val="595" w:hRule="atLeast"/>
          <w:jc w:val="center"/>
        </w:trPr>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设备名称</w:t>
            </w:r>
          </w:p>
        </w:tc>
        <w:tc>
          <w:tcPr>
            <w:tcW w:w="2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要求</w:t>
            </w:r>
          </w:p>
        </w:tc>
        <w:tc>
          <w:tcPr>
            <w:tcW w:w="3482"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snapToGrid w:val="0"/>
                <w:color w:val="000000"/>
                <w:kern w:val="0"/>
                <w:sz w:val="21"/>
                <w:szCs w:val="21"/>
                <w:u w:val="none"/>
                <w:lang w:val="en-US" w:eastAsia="zh-CN" w:bidi="ar"/>
              </w:rPr>
              <w:t>技术标准</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技术支持要求</w:t>
            </w:r>
          </w:p>
        </w:tc>
      </w:tr>
      <w:tr>
        <w:tblPrEx>
          <w:shd w:val="clear" w:color="auto" w:fill="auto"/>
          <w:tblCellMar>
            <w:top w:w="0" w:type="dxa"/>
            <w:left w:w="0" w:type="dxa"/>
            <w:bottom w:w="0" w:type="dxa"/>
            <w:right w:w="0" w:type="dxa"/>
          </w:tblCellMar>
        </w:tblPrEx>
        <w:trPr>
          <w:trHeight w:val="2680" w:hRule="atLeast"/>
          <w:jc w:val="center"/>
        </w:trPr>
        <w:tc>
          <w:tcPr>
            <w:tcW w:w="20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圆度圆柱度测量系统</w:t>
            </w:r>
          </w:p>
        </w:tc>
        <w:tc>
          <w:tcPr>
            <w:tcW w:w="2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default" w:hAnsi="宋体" w:eastAsia="等线"/>
                <w:color w:val="000000"/>
                <w:lang w:eastAsia="zh-CN"/>
              </w:rPr>
            </w:pPr>
            <w:r>
              <w:rPr>
                <w:rFonts w:hint="eastAsia" w:hAnsi="宋体" w:eastAsia="等线"/>
                <w:color w:val="000000"/>
                <w:lang w:eastAsia="zh-CN"/>
              </w:rPr>
              <w:t>圆度圆柱度仪测量能力</w:t>
            </w:r>
          </w:p>
        </w:tc>
        <w:tc>
          <w:tcPr>
            <w:tcW w:w="3482"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 xml:space="preserve">最大测量高度：≥ 750 mm </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 xml:space="preserve">最大工件直径：≥ 400 mm </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最大工件重量：≥ 85kg</w:t>
            </w:r>
          </w:p>
        </w:tc>
        <w:tc>
          <w:tcPr>
            <w:tcW w:w="14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val="en-US" w:eastAsia="zh-CN"/>
              </w:rPr>
              <w:t xml:space="preserve"> 培训及远程技术支持</w:t>
            </w:r>
          </w:p>
        </w:tc>
      </w:tr>
      <w:tr>
        <w:tblPrEx>
          <w:shd w:val="clear" w:color="auto" w:fill="auto"/>
          <w:tblCellMar>
            <w:top w:w="0" w:type="dxa"/>
            <w:left w:w="0" w:type="dxa"/>
            <w:bottom w:w="0" w:type="dxa"/>
            <w:right w:w="0" w:type="dxa"/>
          </w:tblCellMar>
        </w:tblPrEx>
        <w:trPr>
          <w:trHeight w:val="2680" w:hRule="atLeast"/>
          <w:jc w:val="center"/>
        </w:trPr>
        <w:tc>
          <w:tcPr>
            <w:tcW w:w="20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圆度圆柱度仪主轴（回转台）</w:t>
            </w:r>
          </w:p>
        </w:tc>
        <w:tc>
          <w:tcPr>
            <w:tcW w:w="3482"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▲径向误差≤ ± (0.015μm＋0.00025μm/mm×测量高度)。</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▲轴向误差≤ ± (0.015μm＋0.00025μm/mm×测量半径)。</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▲上述指标在1-50upr 滤波情况下测量、使用最小二乘法。</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▲径向误差≤ ± (0.01μm＋0.00025μm/mm×测量高度)。</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▲轴向误差≤ ± (0.01μm＋0.00025μm/mm×测量半径)。</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▲上述指标在1-15upr 滤波情况下测量、使用最小二乘法。</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仪器技术指标满足国标检定规程《JJG429-2000圆度、圆柱度仪》的要求。</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可顺时针和逆时针回转，并具有多种转速供选择。</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定位精度：≤ ±0.2°</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分辨率：≤ 0.02°</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最小转动角度：≤  0.1°</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p>
        </w:tc>
        <w:tc>
          <w:tcPr>
            <w:tcW w:w="14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val="en-US" w:eastAsia="zh-CN"/>
              </w:rPr>
            </w:pPr>
          </w:p>
        </w:tc>
      </w:tr>
      <w:tr>
        <w:tblPrEx>
          <w:shd w:val="clear" w:color="auto" w:fill="auto"/>
          <w:tblCellMar>
            <w:top w:w="0" w:type="dxa"/>
            <w:left w:w="0" w:type="dxa"/>
            <w:bottom w:w="0" w:type="dxa"/>
            <w:right w:w="0" w:type="dxa"/>
          </w:tblCellMar>
        </w:tblPrEx>
        <w:trPr>
          <w:trHeight w:val="2680" w:hRule="atLeast"/>
          <w:jc w:val="center"/>
        </w:trPr>
        <w:tc>
          <w:tcPr>
            <w:tcW w:w="20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圆度圆柱度仪调心调平指标</w:t>
            </w:r>
          </w:p>
        </w:tc>
        <w:tc>
          <w:tcPr>
            <w:tcW w:w="3482"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调心调平方式：全自动连续调心调平</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调中心范围：≥ ±5 mm 。</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调水平范围：≥ ±0.5º 。</w:t>
            </w:r>
            <w:r>
              <w:rPr>
                <w:rFonts w:hint="eastAsia" w:hAnsi="宋体" w:eastAsia="等线"/>
                <w:color w:val="000000"/>
                <w:lang w:eastAsia="zh-CN"/>
              </w:rPr>
              <w:tab/>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调中心精度：≤ 0.8 μm。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调水平精度：≤ 0.8秒。</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 xml:space="preserve">工作台直径：≥ 300 mm 。 </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p>
        </w:tc>
        <w:tc>
          <w:tcPr>
            <w:tcW w:w="14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val="en-US" w:eastAsia="zh-CN"/>
              </w:rPr>
            </w:pPr>
          </w:p>
        </w:tc>
      </w:tr>
      <w:tr>
        <w:tblPrEx>
          <w:shd w:val="clear" w:color="auto" w:fill="auto"/>
          <w:tblCellMar>
            <w:top w:w="0" w:type="dxa"/>
            <w:left w:w="0" w:type="dxa"/>
            <w:bottom w:w="0" w:type="dxa"/>
            <w:right w:w="0" w:type="dxa"/>
          </w:tblCellMar>
        </w:tblPrEx>
        <w:trPr>
          <w:trHeight w:val="2680" w:hRule="atLeast"/>
          <w:jc w:val="center"/>
        </w:trPr>
        <w:tc>
          <w:tcPr>
            <w:tcW w:w="20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圆度圆柱度仪立柱（竖直轴）</w:t>
            </w:r>
          </w:p>
        </w:tc>
        <w:tc>
          <w:tcPr>
            <w:tcW w:w="3482"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立柱行程： ≥ 750mm。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▲全程直线度误差：≤0.5µm/750mm。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▲任意100mm直线度误差：≤ 0.25 µm/100mm。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▲立柱对主轴的平行度: ≤ 0.75 µm/750mm。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位置控制: ≤ ± 4µm。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移动速度：0.25-15 mm/秒(移动和测量),  0.5-5 mm/秒(接触)。</w:t>
            </w:r>
          </w:p>
        </w:tc>
        <w:tc>
          <w:tcPr>
            <w:tcW w:w="14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val="en-US" w:eastAsia="zh-CN"/>
              </w:rPr>
            </w:pPr>
          </w:p>
        </w:tc>
      </w:tr>
      <w:tr>
        <w:tblPrEx>
          <w:shd w:val="clear" w:color="auto" w:fill="auto"/>
          <w:tblCellMar>
            <w:top w:w="0" w:type="dxa"/>
            <w:left w:w="0" w:type="dxa"/>
            <w:bottom w:w="0" w:type="dxa"/>
            <w:right w:w="0" w:type="dxa"/>
          </w:tblCellMar>
        </w:tblPrEx>
        <w:trPr>
          <w:trHeight w:val="2680" w:hRule="atLeast"/>
          <w:jc w:val="center"/>
        </w:trPr>
        <w:tc>
          <w:tcPr>
            <w:tcW w:w="20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圆度圆柱度仪横臂（水平轴）</w:t>
            </w:r>
          </w:p>
        </w:tc>
        <w:tc>
          <w:tcPr>
            <w:tcW w:w="3482"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▲水平行程：≥ 200mm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移动速度：0.25-15mm/秒 (移动)</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0.5-5mm/秒 (接触)</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▲整个行程的直线度误差: ≤ 0.25 µm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▲任意行程的直线度误差: ≤ 0.125 μm+0.000625µm / mm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对主轴的轴的垂直度：≤</w:t>
            </w:r>
            <w:r>
              <w:rPr>
                <w:rFonts w:hint="eastAsia" w:hAnsi="宋体" w:eastAsia="等线"/>
                <w:color w:val="000000"/>
                <w:lang w:val="en-US" w:eastAsia="zh-CN"/>
              </w:rPr>
              <w:t xml:space="preserve"> </w:t>
            </w:r>
            <w:r>
              <w:rPr>
                <w:rFonts w:hint="eastAsia" w:hAnsi="宋体" w:eastAsia="等线"/>
                <w:color w:val="000000"/>
                <w:lang w:eastAsia="zh-CN"/>
              </w:rPr>
              <w:t>1 µm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bookmarkStart w:id="1" w:name="OLE_LINK18"/>
            <w:bookmarkStart w:id="2" w:name="OLE_LINK21"/>
            <w:bookmarkStart w:id="3" w:name="OLE_LINK17"/>
            <w:r>
              <w:rPr>
                <w:rFonts w:hint="eastAsia" w:hAnsi="宋体" w:eastAsia="等线"/>
                <w:color w:val="000000"/>
                <w:lang w:eastAsia="zh-CN"/>
              </w:rPr>
              <w:t>过中心的行程</w:t>
            </w:r>
            <w:bookmarkEnd w:id="1"/>
            <w:bookmarkEnd w:id="2"/>
            <w:bookmarkEnd w:id="3"/>
            <w:r>
              <w:rPr>
                <w:rFonts w:hint="eastAsia" w:hAnsi="宋体" w:eastAsia="等线"/>
                <w:color w:val="000000"/>
                <w:lang w:eastAsia="zh-CN"/>
              </w:rPr>
              <w:t>：≥</w:t>
            </w:r>
            <w:r>
              <w:rPr>
                <w:rFonts w:hint="eastAsia" w:hAnsi="宋体" w:eastAsia="等线"/>
                <w:color w:val="000000"/>
                <w:lang w:val="en-US" w:eastAsia="zh-CN"/>
              </w:rPr>
              <w:t xml:space="preserve"> </w:t>
            </w:r>
            <w:r>
              <w:rPr>
                <w:rFonts w:hint="eastAsia" w:hAnsi="宋体" w:eastAsia="等线"/>
                <w:color w:val="000000"/>
                <w:lang w:eastAsia="zh-CN"/>
              </w:rPr>
              <w:t>25mm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位置控制：≤±</w:t>
            </w:r>
            <w:r>
              <w:rPr>
                <w:rFonts w:hint="eastAsia" w:hAnsi="宋体" w:eastAsia="等线"/>
                <w:color w:val="000000"/>
                <w:lang w:val="en-US" w:eastAsia="zh-CN"/>
              </w:rPr>
              <w:t xml:space="preserve"> </w:t>
            </w:r>
            <w:r>
              <w:rPr>
                <w:rFonts w:hint="eastAsia" w:hAnsi="宋体" w:eastAsia="等线"/>
                <w:color w:val="000000"/>
                <w:lang w:eastAsia="zh-CN"/>
              </w:rPr>
              <w:t>5µm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位置分辨率：≤</w:t>
            </w:r>
            <w:r>
              <w:rPr>
                <w:rFonts w:hint="eastAsia" w:hAnsi="宋体" w:eastAsia="等线"/>
                <w:color w:val="000000"/>
                <w:lang w:val="en-US" w:eastAsia="zh-CN"/>
              </w:rPr>
              <w:t xml:space="preserve"> </w:t>
            </w:r>
            <w:r>
              <w:rPr>
                <w:rFonts w:hint="eastAsia" w:hAnsi="宋体" w:eastAsia="等线"/>
                <w:color w:val="000000"/>
                <w:lang w:eastAsia="zh-CN"/>
              </w:rPr>
              <w:t>0.25µm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p>
        </w:tc>
        <w:tc>
          <w:tcPr>
            <w:tcW w:w="14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val="en-US" w:eastAsia="zh-CN"/>
              </w:rPr>
            </w:pPr>
          </w:p>
        </w:tc>
      </w:tr>
      <w:tr>
        <w:tblPrEx>
          <w:shd w:val="clear" w:color="auto" w:fill="auto"/>
          <w:tblCellMar>
            <w:top w:w="0" w:type="dxa"/>
            <w:left w:w="0" w:type="dxa"/>
            <w:bottom w:w="0" w:type="dxa"/>
            <w:right w:w="0" w:type="dxa"/>
          </w:tblCellMar>
        </w:tblPrEx>
        <w:trPr>
          <w:trHeight w:val="2680" w:hRule="atLeast"/>
          <w:jc w:val="center"/>
        </w:trPr>
        <w:tc>
          <w:tcPr>
            <w:tcW w:w="20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p>
        </w:tc>
        <w:tc>
          <w:tcPr>
            <w:tcW w:w="2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圆度圆柱度仪传感器</w:t>
            </w:r>
          </w:p>
        </w:tc>
        <w:tc>
          <w:tcPr>
            <w:tcW w:w="3482"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传感器姿态：1°步进全自动旋转</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传感器类型：电感传感器</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▲测量范围：2mm（使用200mm测针时，为4mm）</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▲分辨率/测量范围：0.008µm @ ±1mm测量范围,</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 xml:space="preserve">0.0016µm @ ±0.2mm测量范围,  </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0.0003µm @ ±0.08mm测量范围</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传感器标定：可使用立柱或者横臂内的光栅对传感器进行标定。</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具有软硬件自动防撞保护功能,报警、急停功能，</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防止测头及仪器上其他部位与工件发生碰撞。</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r>
              <w:rPr>
                <w:rFonts w:hint="eastAsia" w:hAnsi="宋体" w:eastAsia="等线"/>
                <w:color w:val="000000"/>
                <w:lang w:eastAsia="zh-CN"/>
              </w:rPr>
              <w:t>具有测头自动跟踪功能,能够实现复杂圆柱面的自动调心调平及测量要求</w:t>
            </w:r>
          </w:p>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eastAsia="zh-CN"/>
              </w:rPr>
            </w:pPr>
          </w:p>
        </w:tc>
        <w:tc>
          <w:tcPr>
            <w:tcW w:w="14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val="en-US" w:eastAsia="zh-CN"/>
              </w:rPr>
            </w:pPr>
          </w:p>
        </w:tc>
      </w:tr>
    </w:tbl>
    <w:p>
      <w:pPr>
        <w:keepNext w:val="0"/>
        <w:keepLines w:val="0"/>
        <w:pageBreakBefore w:val="0"/>
        <w:widowControl/>
        <w:kinsoku/>
        <w:wordWrap/>
        <w:overflowPunct/>
        <w:topLinePunct w:val="0"/>
        <w:autoSpaceDE w:val="0"/>
        <w:autoSpaceDN w:val="0"/>
        <w:bidi w:val="0"/>
        <w:adjustRightInd w:val="0"/>
        <w:snapToGrid w:val="0"/>
        <w:textAlignment w:val="center"/>
        <w:rPr>
          <w:rFonts w:hint="eastAsia" w:hAnsi="宋体" w:eastAsia="等线"/>
          <w:color w:val="00000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bookmarkStart w:id="4" w:name="_Toc14127"/>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附件：服务要求</w:t>
      </w:r>
      <w:bookmarkEnd w:id="4"/>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rPr>
        <w:t>1、交货期：</w:t>
      </w:r>
      <w:r>
        <w:rPr>
          <w:rFonts w:hint="eastAsia" w:ascii="微软雅黑" w:hAnsi="微软雅黑" w:eastAsia="宋体" w:cs="微软雅黑"/>
          <w:szCs w:val="21"/>
          <w:highlight w:val="none"/>
          <w:lang w:val="en-US" w:eastAsia="zh-CN"/>
        </w:rPr>
        <w:t>4个月</w:t>
      </w:r>
      <w:r>
        <w:rPr>
          <w:rFonts w:hint="eastAsia" w:ascii="微软雅黑" w:hAnsi="微软雅黑" w:cs="微软雅黑"/>
          <w:szCs w:val="21"/>
          <w:highlight w:val="none"/>
        </w:rPr>
        <w:t>。</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2</w:t>
      </w:r>
      <w:r>
        <w:rPr>
          <w:rFonts w:hint="eastAsia" w:ascii="微软雅黑" w:hAnsi="微软雅黑" w:cs="微软雅黑"/>
          <w:szCs w:val="21"/>
          <w:highlight w:val="none"/>
        </w:rPr>
        <w:t>、调试要求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供方应积极组织货源，按合同约定时间内到货；</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仪器、设备到货后供方应派工程师，按照技术协议进行调试；</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3、培训要求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供方负责设备的调试、人员培训、设备操作及维护等，设备验收交付后提供及时的售后服务。</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供方保证买方人员不少于1人在用户现场进行操作、维护等技术培训，使受训人员能够独立操作使用仪器、设备及每一项系统的测试，培训时间不少于2天。</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4、</w:t>
      </w:r>
      <w:r>
        <w:rPr>
          <w:rFonts w:hint="eastAsia" w:ascii="微软雅黑" w:hAnsi="微软雅黑" w:cs="微软雅黑"/>
          <w:szCs w:val="21"/>
          <w:highlight w:val="none"/>
        </w:rPr>
        <w:t>验收要求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外观验收：设备需全新、完好、无破损；</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配置验收：根据装箱单标准配置，逐项清点，确保配置齐全；</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功能验收：应完全符合技术协议所规定的功能、等级及精度；</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供方负责设备调试，调试过程由供方形成调试记录；</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设备在用户现场安装、调试完毕后，买卖双方共同对设备的精度、功能、配置进行验收，并按有关要求进行静态、动态试验和试件加工；</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6</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在最终验收后，供方应提供不少于1人次的1工作日单班陪产服务，确保设备的连续正常运行；</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7</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依据技术协议执行。</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w:t>
      </w:r>
      <w:r>
        <w:rPr>
          <w:rFonts w:hint="eastAsia" w:ascii="微软雅黑" w:hAnsi="微软雅黑" w:cs="微软雅黑"/>
          <w:szCs w:val="21"/>
          <w:highlight w:val="none"/>
        </w:rPr>
        <w:t>售后服务要求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从验收合格之日算起，质保期1年。</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供方向需方提供的应是全新产品，保证外观完好、无破损、未经使用过，不存在结构、设计、工艺和材料等方面的缺陷，在投入运行后能完全符合协议的规定，并保证在规定条件下运行良好。</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内：保修期内仪器发生故障，供方维修工程师应在8小时内对用户的信息做出响应，24小时之内给出解决方案。维修完毕后应及时填写维修报告，维修报告应包括故障原因、处理情况及用户意见，维修报告由双方各持一份备案。</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外：保修期外如发生故障后，供方维修工程师在三个工作日内到达用户所在地或在24小时内给出解决方案。维修完毕后，维修工程师将及时填写维修报告，维修报告应包括故障原因、处理情况和用户意见，维修报告由双方各持一份备案。</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对操作不当等人为原因导致仪器损坏或由于需方仪器环境造成的仪器意外损坏（如供电异常等）供方不承担责任及维修费用。</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6、付款方式：</w:t>
      </w:r>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（1）汇票；</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（2）合同签订后付第一笔款30%；</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（3）乙方组织产品交付前功能性能试验，技术指标达到合同规定要求，且经甲方确认后，甲方付第二笔款30%；</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（4）产品按照甲方要求运送到指定交付地点，安装调试完毕，经甲方人员验收确认合格后，甲方支付第三笔款30%；</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（5）剩余10%转为质保金，在验收合格后一年后无质量问题一次性支付（无息）。</w:t>
      </w:r>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5" w:name="_Toc28318"/>
      <w:bookmarkStart w:id="7" w:name="_GoBack"/>
      <w:bookmarkEnd w:id="7"/>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投标人须知</w:t>
      </w:r>
      <w:bookmarkEnd w:id="5"/>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val="en-US" w:eastAsia="zh-CN"/>
        </w:rPr>
        <w:t>（一）</w:t>
      </w:r>
      <w:r>
        <w:rPr>
          <w:rFonts w:ascii="黑体" w:hAnsi="黑体" w:eastAsia="黑体" w:cs="黑体"/>
          <w:spacing w:val="0"/>
          <w:sz w:val="28"/>
          <w:szCs w:val="28"/>
        </w:rPr>
        <w:t>投标要求</w:t>
      </w:r>
    </w:p>
    <w:p>
      <w:pPr>
        <w:keepNext w:val="0"/>
        <w:keepLines w:val="0"/>
        <w:pageBreakBefore w:val="0"/>
        <w:widowControl/>
        <w:kinsoku w:val="0"/>
        <w:wordWrap/>
        <w:overflowPunct/>
        <w:topLinePunct w:val="0"/>
        <w:autoSpaceDE w:val="0"/>
        <w:autoSpaceDN w:val="0"/>
        <w:bidi w:val="0"/>
        <w:adjustRightInd w:val="0"/>
        <w:snapToGrid w:val="0"/>
        <w:spacing w:before="25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投标人应遵守国家有关招标投标法律、法规、部门规章和规范性文件。</w:t>
      </w:r>
    </w:p>
    <w:p>
      <w:pPr>
        <w:keepNext w:val="0"/>
        <w:keepLines w:val="0"/>
        <w:pageBreakBefore w:val="0"/>
        <w:widowControl/>
        <w:kinsoku w:val="0"/>
        <w:wordWrap/>
        <w:overflowPunct/>
        <w:topLinePunct w:val="0"/>
        <w:autoSpaceDE w:val="0"/>
        <w:autoSpaceDN w:val="0"/>
        <w:bidi w:val="0"/>
        <w:adjustRightInd w:val="0"/>
        <w:snapToGrid w:val="0"/>
        <w:spacing w:before="227"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投标资</w:t>
      </w:r>
      <w:r>
        <w:rPr>
          <w:rFonts w:hint="eastAsia" w:ascii="宋体" w:hAnsi="宋体" w:eastAsia="宋体" w:cs="宋体"/>
          <w:spacing w:val="0"/>
          <w:sz w:val="24"/>
          <w:szCs w:val="24"/>
        </w:rPr>
        <w:t>格（包括但不限于）：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0" w:leftChars="0" w:firstLine="480" w:firstLineChars="200"/>
        <w:textAlignment w:val="baseline"/>
        <w:rPr>
          <w:rFonts w:hint="eastAsia" w:ascii="宋体" w:hAnsi="宋体" w:eastAsia="宋体" w:cs="宋体"/>
          <w:color w:val="auto"/>
          <w:spacing w:val="0"/>
          <w:position w:val="5"/>
          <w:sz w:val="24"/>
          <w:szCs w:val="24"/>
          <w:highlight w:val="none"/>
        </w:rPr>
      </w:pPr>
      <w:r>
        <w:rPr>
          <w:rFonts w:hint="eastAsia" w:ascii="宋体" w:hAnsi="宋体" w:eastAsia="宋体" w:cs="宋体"/>
          <w:color w:val="auto"/>
          <w:spacing w:val="0"/>
          <w:position w:val="5"/>
          <w:sz w:val="24"/>
          <w:szCs w:val="24"/>
          <w:highlight w:val="none"/>
        </w:rPr>
        <w:t>投标人投标时应提供加盖其单位公章的营业执照副本、资质证书</w:t>
      </w:r>
      <w:r>
        <w:rPr>
          <w:rFonts w:hint="eastAsia" w:ascii="宋体" w:hAnsi="宋体" w:eastAsia="宋体" w:cs="宋体"/>
          <w:color w:val="auto"/>
          <w:spacing w:val="0"/>
          <w:position w:val="5"/>
          <w:sz w:val="24"/>
          <w:szCs w:val="24"/>
          <w:highlight w:val="none"/>
        </w:rPr>
        <w:fldChar w:fldCharType="begin"/>
      </w:r>
      <w:r>
        <w:rPr>
          <w:rFonts w:hint="eastAsia" w:ascii="宋体" w:hAnsi="宋体" w:eastAsia="宋体" w:cs="宋体"/>
          <w:color w:val="auto"/>
          <w:spacing w:val="0"/>
          <w:position w:val="5"/>
          <w:sz w:val="24"/>
          <w:szCs w:val="24"/>
          <w:highlight w:val="none"/>
        </w:rPr>
        <w:instrText xml:space="preserve"> HYPERLINK "https://baike.baidu.com/item/%E5%AE%89%E5%85%A8%E7%94%9F%E4%BA%A7%E8%AE%B8%E5%8F%AF%E8%AF%81" </w:instrText>
      </w:r>
      <w:r>
        <w:rPr>
          <w:rFonts w:hint="eastAsia" w:ascii="宋体" w:hAnsi="宋体" w:eastAsia="宋体" w:cs="宋体"/>
          <w:color w:val="auto"/>
          <w:spacing w:val="0"/>
          <w:position w:val="5"/>
          <w:sz w:val="24"/>
          <w:szCs w:val="24"/>
          <w:highlight w:val="none"/>
        </w:rPr>
        <w:fldChar w:fldCharType="separate"/>
      </w:r>
      <w:r>
        <w:rPr>
          <w:rFonts w:hint="eastAsia" w:ascii="宋体" w:hAnsi="宋体" w:eastAsia="宋体" w:cs="宋体"/>
          <w:color w:val="auto"/>
          <w:spacing w:val="0"/>
          <w:position w:val="5"/>
          <w:sz w:val="24"/>
          <w:szCs w:val="24"/>
          <w:highlight w:val="none"/>
        </w:rPr>
        <w:t>等证书复印件</w:t>
      </w:r>
      <w:r>
        <w:rPr>
          <w:rFonts w:hint="eastAsia" w:ascii="宋体" w:hAnsi="宋体" w:eastAsia="宋体" w:cs="宋体"/>
          <w:color w:val="auto"/>
          <w:spacing w:val="0"/>
          <w:position w:val="5"/>
          <w:sz w:val="24"/>
          <w:szCs w:val="24"/>
          <w:highlight w:val="none"/>
        </w:rPr>
        <w:fldChar w:fldCharType="end"/>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中国信用网资信证明</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财务审计报告或上年度财务报表       </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供货业绩</w:t>
      </w:r>
    </w:p>
    <w:p>
      <w:pPr>
        <w:keepNext w:val="0"/>
        <w:keepLines w:val="0"/>
        <w:pageBreakBefore w:val="0"/>
        <w:widowControl/>
        <w:numPr>
          <w:ilvl w:val="0"/>
          <w:numId w:val="0"/>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highlight w:val="none"/>
          <w:lang w:val="en-US" w:eastAsia="zh-CN"/>
        </w:rPr>
        <w:t>3、投标费用：投标人应承担</w:t>
      </w:r>
      <w:r>
        <w:rPr>
          <w:rFonts w:hint="eastAsia" w:ascii="宋体" w:hAnsi="宋体" w:eastAsia="宋体" w:cs="宋体"/>
          <w:color w:val="auto"/>
          <w:spacing w:val="0"/>
          <w:sz w:val="24"/>
          <w:szCs w:val="24"/>
          <w:lang w:val="en-US" w:eastAsia="zh-CN"/>
        </w:rPr>
        <w:t>投标过程中所涉及的一切费用，不管投标结果如何，招标人对上述费用不负任何责任。</w:t>
      </w:r>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二</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投标报价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投标报价要求按招标文件要求报价，并按招标文件中所</w:t>
      </w:r>
      <w:r>
        <w:rPr>
          <w:rFonts w:ascii="宋体" w:hAnsi="宋体" w:eastAsia="宋体" w:cs="宋体"/>
          <w:spacing w:val="0"/>
          <w:sz w:val="24"/>
          <w:szCs w:val="24"/>
        </w:rPr>
        <w:t>附 《投标函》</w:t>
      </w:r>
      <w:r>
        <w:rPr>
          <w:rFonts w:hint="eastAsia" w:ascii="宋体" w:hAnsi="宋体" w:eastAsia="宋体" w:cs="宋体"/>
          <w:spacing w:val="0"/>
          <w:sz w:val="24"/>
          <w:szCs w:val="24"/>
          <w:lang w:eastAsia="zh-CN"/>
        </w:rPr>
        <w:t>、</w:t>
      </w:r>
      <w:r>
        <w:rPr>
          <w:rFonts w:ascii="宋体" w:hAnsi="宋体" w:eastAsia="宋体" w:cs="宋体"/>
          <w:spacing w:val="0"/>
          <w:sz w:val="24"/>
          <w:szCs w:val="24"/>
        </w:rPr>
        <w:t>《投标报价表》格式填写。</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所有投标均以人民币报价。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3、</w:t>
      </w:r>
      <w:r>
        <w:rPr>
          <w:rFonts w:hint="eastAsia" w:ascii="宋体" w:hAnsi="宋体" w:eastAsia="宋体" w:cs="宋体"/>
          <w:spacing w:val="0"/>
          <w:sz w:val="24"/>
          <w:szCs w:val="24"/>
        </w:rPr>
        <w:t>投标人所报单价在本招标文件项下的合同履行期间不能因市场变化因素而变动。</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5、</w:t>
      </w:r>
      <w:r>
        <w:rPr>
          <w:rFonts w:hint="eastAsia" w:ascii="宋体" w:hAnsi="宋体" w:eastAsia="宋体" w:cs="宋体"/>
          <w:spacing w:val="0"/>
          <w:sz w:val="24"/>
          <w:szCs w:val="24"/>
        </w:rPr>
        <w:t>招标人有权重视各投标人全部报价的合理性。所有投标人不能相互串通、哄抬报价，若有发现，招标人有权宣布其投标无效。</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三</w:t>
      </w:r>
      <w:r>
        <w:rPr>
          <w:rFonts w:hint="eastAsia" w:ascii="黑体" w:hAnsi="黑体" w:eastAsia="黑体" w:cs="黑体"/>
          <w:spacing w:val="0"/>
          <w:sz w:val="28"/>
          <w:szCs w:val="28"/>
          <w:lang w:eastAsia="zh-CN"/>
        </w:rPr>
        <w:t>）</w:t>
      </w:r>
      <w:r>
        <w:rPr>
          <w:rFonts w:ascii="黑体" w:hAnsi="黑体" w:eastAsia="黑体" w:cs="黑体"/>
          <w:spacing w:val="0"/>
          <w:sz w:val="28"/>
          <w:szCs w:val="28"/>
        </w:rPr>
        <w:t>投标文件</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投标人应填写其单位名称全称。</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hint="eastAsia" w:ascii="宋体" w:hAnsi="宋体" w:eastAsia="宋体" w:cs="宋体"/>
          <w:spacing w:val="0"/>
          <w:sz w:val="24"/>
          <w:szCs w:val="24"/>
        </w:rPr>
        <w:t>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pacing w:val="0"/>
          <w:sz w:val="24"/>
          <w:szCs w:val="24"/>
        </w:rPr>
        <w:t>和资格证明文件。资格证明文件包含上述投标资格要求中的所有资料。</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《投标函》、《投标报价表》须加盖投标人公章，由其法定代表人或其委托代理人亲笔签字。</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ascii="黑体" w:hAnsi="黑体" w:eastAsia="黑体" w:cs="黑体"/>
          <w:spacing w:val="0"/>
          <w:sz w:val="28"/>
          <w:szCs w:val="28"/>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自开标之日起60天内，投标文件应保持有效。有效期短于前述规定期限的投标，将被拒绝。</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四</w:t>
      </w:r>
      <w:r>
        <w:rPr>
          <w:rFonts w:hint="eastAsia" w:ascii="黑体" w:hAnsi="黑体" w:eastAsia="黑体" w:cs="黑体"/>
          <w:spacing w:val="0"/>
          <w:sz w:val="28"/>
          <w:szCs w:val="28"/>
          <w:lang w:eastAsia="zh-CN"/>
        </w:rPr>
        <w:t>）</w:t>
      </w:r>
      <w:r>
        <w:rPr>
          <w:rFonts w:ascii="黑体" w:hAnsi="黑体" w:eastAsia="黑体" w:cs="黑体"/>
          <w:spacing w:val="0"/>
          <w:sz w:val="28"/>
          <w:szCs w:val="28"/>
        </w:rPr>
        <w:t>开标、评标、定标</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开标时，将按照招标人有关招投标规定执行。</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2、</w:t>
      </w:r>
      <w:r>
        <w:rPr>
          <w:rFonts w:hint="eastAsia" w:ascii="宋体" w:hAnsi="宋体" w:eastAsia="宋体" w:cs="宋体"/>
          <w:spacing w:val="0"/>
          <w:sz w:val="24"/>
          <w:szCs w:val="24"/>
          <w:highlight w:val="none"/>
        </w:rPr>
        <w:t>开标后由招标人组建的评标委员会进行评标，</w:t>
      </w:r>
      <w:r>
        <w:rPr>
          <w:rFonts w:ascii="宋体" w:hAnsi="宋体" w:eastAsia="宋体" w:cs="宋体"/>
          <w:spacing w:val="0"/>
          <w:sz w:val="24"/>
          <w:szCs w:val="24"/>
          <w:highlight w:val="none"/>
        </w:rPr>
        <w:t>以经评审的</w:t>
      </w:r>
      <w:r>
        <w:rPr>
          <w:rFonts w:hint="eastAsia" w:ascii="宋体" w:hAnsi="宋体" w:eastAsia="宋体" w:cs="宋体"/>
          <w:spacing w:val="0"/>
          <w:sz w:val="24"/>
          <w:szCs w:val="24"/>
          <w:highlight w:val="none"/>
          <w:lang w:val="en-US" w:eastAsia="zh-CN"/>
        </w:rPr>
        <w:t>综合评分</w:t>
      </w:r>
      <w:r>
        <w:rPr>
          <w:rFonts w:ascii="宋体" w:hAnsi="宋体" w:eastAsia="宋体" w:cs="宋体"/>
          <w:spacing w:val="0"/>
          <w:sz w:val="24"/>
          <w:szCs w:val="24"/>
          <w:highlight w:val="none"/>
        </w:rPr>
        <w:t>法确定中标人。</w:t>
      </w:r>
    </w:p>
    <w:p>
      <w:pPr>
        <w:keepNext w:val="0"/>
        <w:keepLines w:val="0"/>
        <w:pageBreakBefore w:val="0"/>
        <w:widowControl/>
        <w:kinsoku w:val="0"/>
        <w:wordWrap/>
        <w:overflowPunct/>
        <w:topLinePunct w:val="0"/>
        <w:autoSpaceDE w:val="0"/>
        <w:autoSpaceDN w:val="0"/>
        <w:bidi w:val="0"/>
        <w:adjustRightInd w:val="0"/>
        <w:snapToGrid w:val="0"/>
        <w:spacing w:before="22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highlight w:val="none"/>
          <w:lang w:eastAsia="zh-CN"/>
        </w:rPr>
        <w:t>3</w:t>
      </w:r>
      <w:r>
        <w:rPr>
          <w:rFonts w:hint="eastAsia" w:ascii="宋体" w:hAnsi="宋体" w:eastAsia="宋体" w:cs="宋体"/>
          <w:spacing w:val="0"/>
          <w:sz w:val="24"/>
          <w:szCs w:val="24"/>
          <w:lang w:eastAsia="zh-CN"/>
        </w:rPr>
        <w:t>、</w:t>
      </w:r>
      <w:r>
        <w:rPr>
          <w:rFonts w:ascii="宋体" w:hAnsi="宋体" w:eastAsia="宋体" w:cs="宋体"/>
          <w:spacing w:val="0"/>
          <w:sz w:val="24"/>
          <w:szCs w:val="24"/>
        </w:rPr>
        <w:t>招标人不对未中标的投标人作任何解释，不退还投标文件。</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五</w:t>
      </w:r>
      <w:r>
        <w:rPr>
          <w:rFonts w:hint="eastAsia" w:ascii="黑体" w:hAnsi="黑体" w:eastAsia="黑体" w:cs="黑体"/>
          <w:spacing w:val="0"/>
          <w:sz w:val="28"/>
          <w:szCs w:val="28"/>
          <w:lang w:eastAsia="zh-CN"/>
        </w:rPr>
        <w:t>）</w:t>
      </w:r>
      <w:r>
        <w:rPr>
          <w:rFonts w:ascii="黑体" w:hAnsi="黑体" w:eastAsia="黑体" w:cs="黑体"/>
          <w:spacing w:val="0"/>
          <w:sz w:val="28"/>
          <w:szCs w:val="28"/>
        </w:rPr>
        <w:t>合同签订</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中标人应在接到中标通知书之日起30日内（含节假日）与招标人签订买卖合同，中标人因自身原因不与招标人签订买卖合同的，视为自愿放弃该次中标。</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中标人必须保证中标产品质量的稳定，如果招标人发现产品质量不符合本招标文件要求的标准，或者发生质量下降，招标人有权单方面终止买卖合同。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w:t>
      </w:r>
      <w:r>
        <w:rPr>
          <w:rFonts w:ascii="宋体" w:hAnsi="宋体" w:eastAsia="宋体" w:cs="宋体"/>
          <w:spacing w:val="0"/>
          <w:sz w:val="24"/>
          <w:szCs w:val="24"/>
        </w:rPr>
        <w:t>中标人延误买卖合同约定的产品交付期限，招标人有权追究中标人责任。</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8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4、</w:t>
      </w:r>
      <w:r>
        <w:rPr>
          <w:rFonts w:ascii="宋体" w:hAnsi="宋体" w:eastAsia="宋体" w:cs="宋体"/>
          <w:spacing w:val="0"/>
          <w:sz w:val="24"/>
          <w:szCs w:val="24"/>
        </w:rPr>
        <w:t>在买卖合同有效期内，中标人如违反买卖合同的约定，招标人有权单方面终止买卖合同。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六</w:t>
      </w:r>
      <w:r>
        <w:rPr>
          <w:rFonts w:hint="eastAsia" w:ascii="黑体" w:hAnsi="黑体" w:eastAsia="黑体" w:cs="黑体"/>
          <w:spacing w:val="0"/>
          <w:sz w:val="28"/>
          <w:szCs w:val="28"/>
          <w:lang w:eastAsia="zh-CN"/>
        </w:rPr>
        <w:t>）</w:t>
      </w:r>
      <w:r>
        <w:rPr>
          <w:rFonts w:ascii="黑体" w:hAnsi="黑体" w:eastAsia="黑体" w:cs="黑体"/>
          <w:spacing w:val="0"/>
          <w:sz w:val="28"/>
          <w:szCs w:val="28"/>
        </w:rPr>
        <w:t>纪律要求</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评标委员会及其组成人员应严格自律，严格遵守国家法律、法规，并接受监察部门的监督。</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七</w:t>
      </w:r>
      <w:r>
        <w:rPr>
          <w:rFonts w:hint="eastAsia" w:ascii="黑体" w:hAnsi="黑体" w:eastAsia="黑体" w:cs="黑体"/>
          <w:spacing w:val="0"/>
          <w:sz w:val="28"/>
          <w:szCs w:val="28"/>
          <w:lang w:eastAsia="zh-CN"/>
        </w:rPr>
        <w:t>）</w:t>
      </w:r>
      <w:r>
        <w:rPr>
          <w:rFonts w:ascii="黑体" w:hAnsi="黑体" w:eastAsia="黑体" w:cs="黑体"/>
          <w:spacing w:val="0"/>
          <w:sz w:val="28"/>
          <w:szCs w:val="28"/>
        </w:rPr>
        <w:t>其他</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中标人若改变原材料配方和生产工艺，需征得招标人同意，并需重新认可。</w:t>
      </w: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pacing w:val="0"/>
          <w:sz w:val="24"/>
          <w:szCs w:val="24"/>
          <w:lang w:eastAsia="zh-CN"/>
        </w:rPr>
        <w:t>。</w:t>
      </w:r>
    </w:p>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宋体"/>
        <w:lang w:val="en-US" w:eastAsia="zh-CN"/>
      </w:rPr>
    </w:pPr>
    <w:bookmarkStart w:id="6" w:name="_bookmark18"/>
    <w:bookmarkEnd w:id="6"/>
    <w:r>
      <w:drawing>
        <wp:inline distT="0" distB="0" distL="114300" distR="114300">
          <wp:extent cx="4069080" cy="438150"/>
          <wp:effectExtent l="0" t="0" r="0" b="0"/>
          <wp:docPr id="6" name="图片 6"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WRhOWVmYzM0YmI1NDBiMzI2MmYxYmY5ODc1ODAifQ=="/>
  </w:docVars>
  <w:rsids>
    <w:rsidRoot w:val="00000000"/>
    <w:rsid w:val="02622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spacing w:line="360" w:lineRule="auto"/>
      <w:ind w:firstLine="560" w:firstLineChars="200"/>
    </w:pPr>
    <w:rPr>
      <w:kern w:val="0"/>
      <w:sz w:val="28"/>
      <w:szCs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2022-11-08T01:12:48Z</dcterms:created>
  <dc:creator>Administrator</dc:creator>
  <cp:lastModifiedBy>qw</cp:lastModifiedBy>
  <dcterms:modified xsi:type="dcterms:W3CDTF">2022-11-08T01:13:55Z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5C1F12D0BC9B4648B5536768DA65AD8D</vt:lpwstr>
  </property>
</Properties>
</file>