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27807"/>
      <w:bookmarkStart w:id="1" w:name="_Toc14049"/>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PP破碎料等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0913</w:t>
      </w:r>
      <w:r>
        <w:rPr>
          <w:rFonts w:hint="eastAsia" w:ascii="宋体" w:hAnsi="宋体" w:eastAsia="宋体" w:cs="宋体"/>
          <w:b w:val="0"/>
          <w:bCs w:val="0"/>
          <w:sz w:val="52"/>
          <w:szCs w:val="52"/>
          <w:highlight w:val="none"/>
          <w:lang w:eastAsia="zh-CN"/>
        </w:rPr>
        <w:t>0</w:t>
      </w:r>
      <w:r>
        <w:rPr>
          <w:rFonts w:hint="eastAsia" w:ascii="宋体" w:hAnsi="宋体" w:eastAsia="宋体" w:cs="宋体"/>
          <w:b w:val="0"/>
          <w:bCs w:val="0"/>
          <w:sz w:val="52"/>
          <w:szCs w:val="52"/>
          <w:highlight w:val="none"/>
          <w:lang w:val="en-US" w:eastAsia="zh-CN"/>
        </w:rPr>
        <w:t>2</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47D8735C">
      <w:pPr>
        <w:keepNext w:val="0"/>
        <w:keepLines w:val="0"/>
        <w:pageBreakBefore w:val="0"/>
        <w:wordWrap/>
        <w:overflowPunct/>
        <w:bidi w:val="0"/>
        <w:spacing w:line="300" w:lineRule="auto"/>
        <w:ind w:left="0" w:leftChars="0" w:right="0"/>
        <w:rPr>
          <w:rFonts w:hint="eastAsia" w:ascii="宋体" w:hAnsi="宋体" w:eastAsia="宋体" w:cs="宋体"/>
        </w:rPr>
      </w:pPr>
    </w:p>
    <w:p w14:paraId="2C7C5F0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14886370">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09</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13日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56D9579F">
      <w:pPr>
        <w:pStyle w:val="2"/>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40913</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2</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PP破碎料等采购项目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3942"/>
      <w:bookmarkStart w:id="14" w:name="_Toc13304"/>
      <w:bookmarkStart w:id="15" w:name="_Toc3520"/>
      <w:bookmarkStart w:id="16" w:name="_Toc30525"/>
      <w:bookmarkStart w:id="17" w:name="_Toc30218"/>
      <w:bookmarkStart w:id="18" w:name="_Toc23627"/>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412"/>
        <w:gridCol w:w="996"/>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412"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PE再生颗粒</w:t>
            </w:r>
          </w:p>
        </w:tc>
        <w:tc>
          <w:tcPr>
            <w:tcW w:w="1212" w:type="dxa"/>
            <w:tcBorders>
              <w:right w:val="single" w:color="auto" w:sz="4" w:space="0"/>
            </w:tcBorders>
            <w:vAlign w:val="center"/>
          </w:tcPr>
          <w:p w14:paraId="1814EA09">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412"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冲击&gt;20，密度0.97以内</w:t>
            </w:r>
          </w:p>
        </w:tc>
        <w:tc>
          <w:tcPr>
            <w:tcW w:w="996"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吨</w:t>
            </w:r>
          </w:p>
        </w:tc>
        <w:tc>
          <w:tcPr>
            <w:tcW w:w="936" w:type="dxa"/>
            <w:vAlign w:val="center"/>
          </w:tcPr>
          <w:p w14:paraId="315CE715">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3333</w:t>
            </w:r>
          </w:p>
        </w:tc>
        <w:tc>
          <w:tcPr>
            <w:tcW w:w="1404" w:type="dxa"/>
            <w:vMerge w:val="restart"/>
            <w:vAlign w:val="center"/>
          </w:tcPr>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88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7B663690">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z w:val="21"/>
                <w:szCs w:val="21"/>
                <w:lang w:val="en-US" w:eastAsia="zh-CN"/>
              </w:rPr>
              <w:t>2</w:t>
            </w:r>
          </w:p>
        </w:tc>
        <w:tc>
          <w:tcPr>
            <w:tcW w:w="1456" w:type="dxa"/>
            <w:shd w:val="clear" w:color="auto" w:fill="auto"/>
            <w:vAlign w:val="center"/>
          </w:tcPr>
          <w:p w14:paraId="7FA4F591">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PP破碎料</w:t>
            </w:r>
          </w:p>
        </w:tc>
        <w:tc>
          <w:tcPr>
            <w:tcW w:w="1212" w:type="dxa"/>
            <w:tcBorders>
              <w:right w:val="single" w:color="auto" w:sz="4" w:space="0"/>
            </w:tcBorders>
            <w:shd w:val="clear" w:color="auto" w:fill="auto"/>
            <w:vAlign w:val="center"/>
          </w:tcPr>
          <w:p w14:paraId="77B1BE44">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无要求</w:t>
            </w:r>
          </w:p>
        </w:tc>
        <w:tc>
          <w:tcPr>
            <w:tcW w:w="2412" w:type="dxa"/>
            <w:tcBorders>
              <w:left w:val="single" w:color="auto" w:sz="4" w:space="0"/>
            </w:tcBorders>
            <w:shd w:val="clear" w:color="auto" w:fill="auto"/>
            <w:vAlign w:val="center"/>
          </w:tcPr>
          <w:p w14:paraId="377CE238">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冲击&gt;3，密度0.97以内</w:t>
            </w:r>
          </w:p>
        </w:tc>
        <w:tc>
          <w:tcPr>
            <w:tcW w:w="996" w:type="dxa"/>
            <w:tcBorders>
              <w:left w:val="single" w:color="auto" w:sz="4" w:space="0"/>
            </w:tcBorders>
            <w:shd w:val="clear" w:color="auto" w:fill="auto"/>
            <w:vAlign w:val="center"/>
          </w:tcPr>
          <w:p w14:paraId="2C65E9EF">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57A10B8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3333</w:t>
            </w:r>
          </w:p>
        </w:tc>
        <w:tc>
          <w:tcPr>
            <w:tcW w:w="1404" w:type="dxa"/>
            <w:vMerge w:val="continue"/>
            <w:vAlign w:val="center"/>
          </w:tcPr>
          <w:p w14:paraId="060E0D5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Merge w:val="restart"/>
            <w:vAlign w:val="center"/>
          </w:tcPr>
          <w:p w14:paraId="26077CD9">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i w:val="0"/>
                <w:iCs w:val="0"/>
                <w:color w:val="000000"/>
                <w:kern w:val="0"/>
                <w:sz w:val="21"/>
                <w:szCs w:val="21"/>
                <w:u w:val="none"/>
                <w:lang w:val="en-US" w:eastAsia="zh-CN" w:bidi="ar"/>
              </w:rPr>
              <w:t>φ2cm以下，过盐水</w:t>
            </w:r>
          </w:p>
        </w:tc>
      </w:tr>
      <w:tr w14:paraId="5256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080DC286">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w:t>
            </w:r>
          </w:p>
        </w:tc>
        <w:tc>
          <w:tcPr>
            <w:tcW w:w="1456" w:type="dxa"/>
            <w:vAlign w:val="center"/>
          </w:tcPr>
          <w:p w14:paraId="5DDDEE2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PP破碎料</w:t>
            </w:r>
          </w:p>
        </w:tc>
        <w:tc>
          <w:tcPr>
            <w:tcW w:w="1212" w:type="dxa"/>
            <w:tcBorders>
              <w:right w:val="single" w:color="auto" w:sz="4" w:space="0"/>
            </w:tcBorders>
            <w:vAlign w:val="center"/>
          </w:tcPr>
          <w:p w14:paraId="0446750D">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无要求</w:t>
            </w:r>
          </w:p>
        </w:tc>
        <w:tc>
          <w:tcPr>
            <w:tcW w:w="2412" w:type="dxa"/>
            <w:tcBorders>
              <w:left w:val="single" w:color="auto" w:sz="4" w:space="0"/>
            </w:tcBorders>
            <w:vAlign w:val="center"/>
          </w:tcPr>
          <w:p w14:paraId="56815F43">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冲击&gt;3.5，密度0.97以内</w:t>
            </w:r>
          </w:p>
        </w:tc>
        <w:tc>
          <w:tcPr>
            <w:tcW w:w="996" w:type="dxa"/>
            <w:tcBorders>
              <w:left w:val="single" w:color="auto" w:sz="4" w:space="0"/>
            </w:tcBorders>
            <w:vAlign w:val="center"/>
          </w:tcPr>
          <w:p w14:paraId="41CB56D7">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吨</w:t>
            </w:r>
          </w:p>
        </w:tc>
        <w:tc>
          <w:tcPr>
            <w:tcW w:w="936" w:type="dxa"/>
            <w:vAlign w:val="center"/>
          </w:tcPr>
          <w:p w14:paraId="2B78C12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3333</w:t>
            </w:r>
          </w:p>
        </w:tc>
        <w:tc>
          <w:tcPr>
            <w:tcW w:w="1404" w:type="dxa"/>
            <w:vMerge w:val="continue"/>
            <w:vAlign w:val="center"/>
          </w:tcPr>
          <w:p w14:paraId="3B29653A">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Merge w:val="continue"/>
            <w:vAlign w:val="center"/>
          </w:tcPr>
          <w:p w14:paraId="57708FBD">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bookmarkStart w:id="102" w:name="_GoBack"/>
      <w:bookmarkEnd w:id="102"/>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24591"/>
      <w:bookmarkStart w:id="21" w:name="_Toc7018"/>
      <w:bookmarkStart w:id="22" w:name="_Toc654"/>
      <w:bookmarkStart w:id="23" w:name="_Toc9339"/>
      <w:bookmarkStart w:id="24" w:name="_Toc30159"/>
      <w:bookmarkStart w:id="25" w:name="_Toc27635"/>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2"/>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7）预付30%订金，货到、票到检验合格后7天付款，付银承。</w:t>
      </w:r>
    </w:p>
    <w:p w14:paraId="0764AE44">
      <w:pPr>
        <w:pStyle w:val="2"/>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21113"/>
      <w:bookmarkStart w:id="27" w:name="_Toc4182"/>
      <w:bookmarkStart w:id="28" w:name="_Toc19941"/>
      <w:bookmarkStart w:id="29" w:name="_Toc20083"/>
      <w:bookmarkStart w:id="30" w:name="_Toc21790"/>
      <w:bookmarkStart w:id="31" w:name="_Toc30078"/>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19147"/>
      <w:bookmarkStart w:id="33" w:name="_Toc23207"/>
      <w:bookmarkStart w:id="34" w:name="_Toc20059"/>
      <w:bookmarkStart w:id="35" w:name="_Toc322"/>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left="0" w:leftChars="0" w:right="0"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8439"/>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5448"/>
      <w:bookmarkStart w:id="40" w:name="_Toc15722"/>
      <w:bookmarkStart w:id="41" w:name="_Toc14879"/>
      <w:bookmarkStart w:id="42" w:name="_Toc24156"/>
      <w:bookmarkStart w:id="43" w:name="_Toc9822"/>
      <w:bookmarkStart w:id="44" w:name="_Toc2153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23688"/>
      <w:bookmarkStart w:id="46" w:name="_Toc12309"/>
      <w:bookmarkStart w:id="47" w:name="_Toc9930"/>
      <w:bookmarkStart w:id="48" w:name="_Toc16770"/>
      <w:bookmarkStart w:id="49" w:name="_Toc15847"/>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2348"/>
      <w:bookmarkStart w:id="52" w:name="_Toc14547"/>
      <w:bookmarkStart w:id="53" w:name="_Toc13329"/>
      <w:bookmarkStart w:id="54" w:name="_Toc19945"/>
      <w:bookmarkStart w:id="55" w:name="_Toc24896"/>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7457"/>
      <w:bookmarkStart w:id="57" w:name="_Toc30571"/>
      <w:bookmarkStart w:id="58" w:name="_Toc29954"/>
      <w:bookmarkStart w:id="59" w:name="_Toc30156"/>
      <w:bookmarkStart w:id="60" w:name="_Toc2231"/>
      <w:bookmarkStart w:id="61" w:name="_Toc11398"/>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14760"/>
      <w:bookmarkStart w:id="63" w:name="_Toc8"/>
      <w:bookmarkStart w:id="64" w:name="_Toc29111"/>
      <w:bookmarkStart w:id="65" w:name="_Toc18677"/>
      <w:bookmarkStart w:id="66" w:name="_Toc23458"/>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31780"/>
      <w:bookmarkStart w:id="68" w:name="_Toc3331"/>
      <w:bookmarkStart w:id="69" w:name="_Toc998"/>
      <w:bookmarkStart w:id="70" w:name="_Toc20255"/>
      <w:bookmarkStart w:id="71" w:name="_Toc5695"/>
      <w:bookmarkStart w:id="72" w:name="_Toc29386"/>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12"/>
      <w:bookmarkStart w:id="74" w:name="_Toc18886"/>
      <w:bookmarkStart w:id="75" w:name="_Toc24129"/>
      <w:bookmarkStart w:id="76" w:name="_Toc14086"/>
      <w:bookmarkStart w:id="77" w:name="_Toc26371"/>
      <w:bookmarkStart w:id="78" w:name="_Toc642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32748"/>
      <w:bookmarkStart w:id="80" w:name="_Toc6326"/>
      <w:bookmarkStart w:id="81" w:name="_Toc2586"/>
      <w:bookmarkStart w:id="82" w:name="_Toc25649"/>
      <w:bookmarkStart w:id="83" w:name="_Toc29662"/>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9588"/>
      <w:bookmarkStart w:id="85" w:name="_Toc3302"/>
      <w:bookmarkStart w:id="86" w:name="_Toc11099"/>
      <w:bookmarkStart w:id="87" w:name="_Toc23438"/>
      <w:bookmarkStart w:id="88" w:name="_Toc7771"/>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2"/>
        <w:rPr>
          <w:rFonts w:hint="eastAsia" w:ascii="宋体" w:hAnsi="宋体" w:eastAsia="宋体" w:cs="宋体"/>
        </w:rPr>
      </w:pPr>
    </w:p>
    <w:p w14:paraId="0CEF378B">
      <w:pPr>
        <w:pStyle w:val="2"/>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14035"/>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14784"/>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08CA60C5">
      <w:pPr>
        <w:keepNext w:val="0"/>
        <w:keepLines w:val="0"/>
        <w:pageBreakBefore w:val="0"/>
        <w:wordWrap/>
        <w:overflowPunct/>
        <w:bidi w:val="0"/>
        <w:spacing w:line="30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.定标办法</w:t>
      </w:r>
    </w:p>
    <w:p w14:paraId="7BC5BA13">
      <w:pPr>
        <w:keepNext w:val="0"/>
        <w:keepLines w:val="0"/>
        <w:pageBreakBefore w:val="0"/>
        <w:wordWrap/>
        <w:overflowPunct/>
        <w:bidi w:val="0"/>
        <w:spacing w:line="30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.1总得分</w:t>
      </w:r>
    </w:p>
    <w:p w14:paraId="5F40F8B1">
      <w:pPr>
        <w:keepNext w:val="0"/>
        <w:keepLines w:val="0"/>
        <w:pageBreakBefore w:val="0"/>
        <w:wordWrap/>
        <w:overflowPunct/>
        <w:bidi w:val="0"/>
        <w:spacing w:line="30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各投标人得分=（</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分+价格分）。</w:t>
      </w:r>
    </w:p>
    <w:p w14:paraId="00C533B0">
      <w:pPr>
        <w:keepNext w:val="0"/>
        <w:keepLines w:val="0"/>
        <w:pageBreakBefore w:val="0"/>
        <w:shd w:val="clear"/>
        <w:wordWrap/>
        <w:overflowPunct/>
        <w:bidi w:val="0"/>
        <w:spacing w:line="30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1"/>
          <w:szCs w:val="21"/>
          <w:lang w:eastAsia="zh-CN"/>
        </w:rPr>
        <w:t>技术</w:t>
      </w:r>
      <w:r>
        <w:rPr>
          <w:rFonts w:hint="eastAsia" w:ascii="宋体" w:hAnsi="宋体" w:eastAsia="宋体" w:cs="宋体"/>
          <w:color w:val="auto"/>
          <w:sz w:val="21"/>
          <w:szCs w:val="21"/>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20" w:firstLineChars="200"/>
        <w:rPr>
          <w:rFonts w:hint="eastAsia" w:ascii="宋体" w:hAnsi="宋体" w:eastAsia="宋体" w:cs="宋体"/>
          <w:color w:val="auto"/>
          <w:sz w:val="21"/>
          <w:szCs w:val="21"/>
          <w:highlight w:val="yellow"/>
          <w:lang w:val="en-US" w:eastAsia="zh-CN"/>
        </w:rPr>
      </w:pPr>
      <w:bookmarkStart w:id="95" w:name="OLE_LINK1"/>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highlight w:val="yellow"/>
        </w:rPr>
        <w:t>评标小组评委依据得分高低顺序依次确定</w:t>
      </w:r>
      <w:r>
        <w:rPr>
          <w:rFonts w:hint="eastAsia" w:ascii="宋体" w:hAnsi="宋体" w:eastAsia="宋体" w:cs="宋体"/>
          <w:color w:val="auto"/>
          <w:sz w:val="21"/>
          <w:szCs w:val="21"/>
          <w:highlight w:val="yellow"/>
          <w:lang w:val="en-US" w:eastAsia="zh-CN"/>
        </w:rPr>
        <w:t>三家</w:t>
      </w:r>
      <w:r>
        <w:rPr>
          <w:rFonts w:hint="eastAsia" w:ascii="宋体" w:hAnsi="宋体" w:eastAsia="宋体" w:cs="宋体"/>
          <w:color w:val="auto"/>
          <w:sz w:val="21"/>
          <w:szCs w:val="21"/>
          <w:highlight w:val="yellow"/>
        </w:rPr>
        <w:t>中标候选人，评分以得分最高者作为第一中标候选人</w:t>
      </w:r>
      <w:r>
        <w:rPr>
          <w:rFonts w:hint="eastAsia" w:ascii="宋体" w:hAnsi="宋体" w:eastAsia="宋体" w:cs="宋体"/>
          <w:color w:val="auto"/>
          <w:sz w:val="21"/>
          <w:szCs w:val="21"/>
          <w:highlight w:val="yellow"/>
          <w:lang w:eastAsia="zh-CN"/>
        </w:rPr>
        <w:t>，</w:t>
      </w:r>
      <w:r>
        <w:rPr>
          <w:rFonts w:hint="eastAsia" w:ascii="宋体" w:hAnsi="宋体" w:eastAsia="宋体" w:cs="宋体"/>
          <w:color w:val="auto"/>
          <w:sz w:val="21"/>
          <w:szCs w:val="21"/>
          <w:highlight w:val="yellow"/>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1"/>
          <w:szCs w:val="21"/>
          <w:highlight w:val="yellow"/>
        </w:rPr>
        <w:t>。如果出现并列得分最高，则确定价格较低者排名在前；价格投标仍相</w:t>
      </w:r>
      <w:r>
        <w:rPr>
          <w:rFonts w:hint="eastAsia" w:ascii="宋体" w:hAnsi="宋体" w:eastAsia="宋体" w:cs="宋体"/>
          <w:color w:val="auto"/>
          <w:sz w:val="21"/>
          <w:szCs w:val="21"/>
          <w:highlight w:val="yellow"/>
          <w:lang w:val="en-US" w:eastAsia="zh-CN"/>
        </w:rPr>
        <w:t>同时则采用抽签方式现场确定中标候选人。</w:t>
      </w:r>
    </w:p>
    <w:bookmarkEnd w:id="95"/>
    <w:p w14:paraId="0B9DAE7F">
      <w:pPr>
        <w:keepNext w:val="0"/>
        <w:keepLines w:val="0"/>
        <w:pageBreakBefore w:val="0"/>
        <w:wordWrap/>
        <w:overflowPunct/>
        <w:bidi w:val="0"/>
        <w:spacing w:line="300" w:lineRule="auto"/>
        <w:ind w:left="0" w:leftChars="0" w:right="0" w:firstLine="420" w:firstLineChars="200"/>
        <w:rPr>
          <w:rFonts w:hint="eastAsia" w:ascii="宋体" w:hAnsi="宋体" w:eastAsia="宋体" w:cs="宋体"/>
          <w:sz w:val="21"/>
          <w:szCs w:val="21"/>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1"/>
          <w:szCs w:val="21"/>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6" w:name="_Toc12820"/>
      <w:bookmarkStart w:id="97" w:name="_Toc7216"/>
      <w:bookmarkStart w:id="98"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6"/>
      <w:bookmarkEnd w:id="97"/>
      <w:bookmarkEnd w:id="98"/>
    </w:p>
    <w:p w14:paraId="7FDDFF35">
      <w:pPr>
        <w:pStyle w:val="8"/>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8"/>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11"/>
        <w:gridCol w:w="1551"/>
        <w:gridCol w:w="2771"/>
        <w:gridCol w:w="276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511"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551"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771"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76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511" w:type="dxa"/>
            <w:noWrap w:val="0"/>
            <w:vAlign w:val="center"/>
          </w:tcPr>
          <w:p w14:paraId="056FB743">
            <w:pPr>
              <w:keepNext w:val="0"/>
              <w:keepLines w:val="0"/>
              <w:pageBreakBefore w:val="0"/>
              <w:wordWrap/>
              <w:overflowPunct/>
              <w:bidi w:val="0"/>
              <w:spacing w:line="300" w:lineRule="auto"/>
              <w:ind w:left="0" w:leftChars="0" w:right="0" w:rightChars="0"/>
              <w:jc w:val="center"/>
              <w:rPr>
                <w:rFonts w:hint="eastAsia" w:ascii="宋体" w:hAnsi="宋体" w:eastAsia="宋体" w:cs="宋体"/>
                <w:b w:val="0"/>
                <w:color w:val="auto"/>
                <w:spacing w:val="10"/>
                <w:kern w:val="2"/>
                <w:sz w:val="22"/>
                <w:szCs w:val="22"/>
                <w:lang w:val="en-US" w:eastAsia="zh-CN"/>
              </w:rPr>
            </w:pPr>
            <w:r>
              <w:rPr>
                <w:rFonts w:hint="default" w:ascii="Arial" w:hAnsi="Arial" w:eastAsia="宋体" w:cs="Arial"/>
                <w:sz w:val="21"/>
                <w:szCs w:val="21"/>
                <w:lang w:val="en-US" w:eastAsia="zh-CN"/>
              </w:rPr>
              <w:t>PE再生颗粒</w:t>
            </w:r>
          </w:p>
        </w:tc>
        <w:tc>
          <w:tcPr>
            <w:tcW w:w="1551" w:type="dxa"/>
            <w:noWrap w:val="0"/>
            <w:vAlign w:val="center"/>
          </w:tcPr>
          <w:p w14:paraId="6A9FA317">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黑色</w:t>
            </w:r>
          </w:p>
        </w:tc>
        <w:tc>
          <w:tcPr>
            <w:tcW w:w="2771" w:type="dxa"/>
            <w:noWrap w:val="0"/>
            <w:vAlign w:val="center"/>
          </w:tcPr>
          <w:p w14:paraId="674D8809">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冲击&gt;20，密度0.97以内</w:t>
            </w:r>
          </w:p>
        </w:tc>
        <w:tc>
          <w:tcPr>
            <w:tcW w:w="2764" w:type="dxa"/>
            <w:vMerge w:val="restart"/>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φ2cm以下，过盐水</w:t>
            </w:r>
          </w:p>
        </w:tc>
      </w:tr>
      <w:tr w14:paraId="672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4E49E5B6">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511" w:type="dxa"/>
            <w:noWrap w:val="0"/>
            <w:vAlign w:val="center"/>
          </w:tcPr>
          <w:p w14:paraId="45BC3F12">
            <w:pPr>
              <w:keepNext w:val="0"/>
              <w:keepLines w:val="0"/>
              <w:pageBreakBefore w:val="0"/>
              <w:wordWrap/>
              <w:overflowPunct/>
              <w:bidi w:val="0"/>
              <w:spacing w:line="300" w:lineRule="auto"/>
              <w:ind w:left="0" w:leftChars="0" w:right="0" w:rightChars="0"/>
              <w:jc w:val="center"/>
              <w:rPr>
                <w:rFonts w:hint="eastAsia" w:ascii="宋体" w:hAnsi="宋体" w:eastAsia="宋体" w:cs="宋体"/>
                <w:bCs/>
                <w:kern w:val="0"/>
                <w:sz w:val="22"/>
                <w:szCs w:val="22"/>
                <w:lang w:val="en-US" w:eastAsia="zh-CN"/>
              </w:rPr>
            </w:pPr>
            <w:r>
              <w:rPr>
                <w:rFonts w:hint="default" w:ascii="Arial" w:hAnsi="Arial" w:eastAsia="宋体" w:cs="Arial"/>
                <w:snapToGrid w:val="0"/>
                <w:color w:val="000000"/>
                <w:sz w:val="21"/>
                <w:szCs w:val="21"/>
                <w:lang w:val="en-US" w:eastAsia="zh-CN" w:bidi="ar-SA"/>
              </w:rPr>
              <w:t>PP破碎料</w:t>
            </w:r>
          </w:p>
        </w:tc>
        <w:tc>
          <w:tcPr>
            <w:tcW w:w="1551" w:type="dxa"/>
            <w:noWrap w:val="0"/>
            <w:vAlign w:val="center"/>
          </w:tcPr>
          <w:p w14:paraId="6F09FC53">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napToGrid w:val="0"/>
                <w:color w:val="000000"/>
                <w:sz w:val="21"/>
                <w:szCs w:val="21"/>
                <w:lang w:val="en-US" w:eastAsia="zh-CN" w:bidi="ar-SA"/>
              </w:rPr>
              <w:t>无要求</w:t>
            </w:r>
          </w:p>
        </w:tc>
        <w:tc>
          <w:tcPr>
            <w:tcW w:w="2771" w:type="dxa"/>
            <w:noWrap w:val="0"/>
            <w:vAlign w:val="center"/>
          </w:tcPr>
          <w:p w14:paraId="30A9BECD">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lang w:val="en-US" w:eastAsia="zh-CN"/>
              </w:rPr>
            </w:pPr>
            <w:r>
              <w:rPr>
                <w:rFonts w:hint="default" w:ascii="Arial" w:hAnsi="Arial" w:eastAsia="宋体" w:cs="Arial"/>
                <w:snapToGrid w:val="0"/>
                <w:color w:val="000000"/>
                <w:sz w:val="21"/>
                <w:szCs w:val="21"/>
                <w:lang w:val="en-US" w:eastAsia="zh-CN" w:bidi="ar-SA"/>
              </w:rPr>
              <w:t>冲击&gt;3，密度0.97以内</w:t>
            </w:r>
          </w:p>
        </w:tc>
        <w:tc>
          <w:tcPr>
            <w:tcW w:w="2764" w:type="dxa"/>
            <w:vMerge w:val="continue"/>
            <w:noWrap w:val="0"/>
            <w:vAlign w:val="center"/>
          </w:tcPr>
          <w:p w14:paraId="30D406D2">
            <w:pPr>
              <w:keepNext w:val="0"/>
              <w:keepLines w:val="0"/>
              <w:pageBreakBefore w:val="0"/>
              <w:widowControl/>
              <w:wordWrap/>
              <w:overflowPunct/>
              <w:bidi w:val="0"/>
              <w:spacing w:line="300" w:lineRule="auto"/>
              <w:ind w:left="0" w:leftChars="0" w:right="0"/>
              <w:jc w:val="center"/>
              <w:rPr>
                <w:rFonts w:hint="default" w:ascii="宋体" w:hAnsi="宋体" w:eastAsia="宋体" w:cs="宋体"/>
                <w:kern w:val="0"/>
                <w:sz w:val="22"/>
                <w:szCs w:val="22"/>
                <w:lang w:val="en-US" w:eastAsia="zh-CN"/>
              </w:rPr>
            </w:pPr>
          </w:p>
        </w:tc>
      </w:tr>
      <w:tr w14:paraId="5797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51EA3E1A">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511" w:type="dxa"/>
            <w:noWrap w:val="0"/>
            <w:vAlign w:val="center"/>
          </w:tcPr>
          <w:p w14:paraId="602C4D06">
            <w:pPr>
              <w:keepNext w:val="0"/>
              <w:keepLines w:val="0"/>
              <w:pageBreakBefore w:val="0"/>
              <w:wordWrap/>
              <w:overflowPunct/>
              <w:bidi w:val="0"/>
              <w:spacing w:line="300" w:lineRule="auto"/>
              <w:ind w:left="0" w:leftChars="0" w:right="0" w:rightChars="0"/>
              <w:jc w:val="center"/>
              <w:rPr>
                <w:rFonts w:hint="eastAsia" w:ascii="宋体" w:hAnsi="宋体" w:eastAsia="宋体" w:cs="宋体"/>
                <w:bCs/>
                <w:kern w:val="0"/>
                <w:sz w:val="22"/>
                <w:szCs w:val="22"/>
              </w:rPr>
            </w:pPr>
            <w:r>
              <w:rPr>
                <w:rFonts w:hint="default" w:ascii="Arial" w:hAnsi="Arial" w:eastAsia="宋体" w:cs="Arial"/>
                <w:snapToGrid w:val="0"/>
                <w:color w:val="000000"/>
                <w:sz w:val="21"/>
                <w:szCs w:val="21"/>
                <w:lang w:val="en-US" w:eastAsia="zh-CN" w:bidi="ar-SA"/>
              </w:rPr>
              <w:t>PP破碎料</w:t>
            </w:r>
          </w:p>
        </w:tc>
        <w:tc>
          <w:tcPr>
            <w:tcW w:w="1551" w:type="dxa"/>
            <w:noWrap w:val="0"/>
            <w:vAlign w:val="center"/>
          </w:tcPr>
          <w:p w14:paraId="5BD4B27E">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无要求</w:t>
            </w:r>
          </w:p>
        </w:tc>
        <w:tc>
          <w:tcPr>
            <w:tcW w:w="2771" w:type="dxa"/>
            <w:noWrap w:val="0"/>
            <w:vAlign w:val="center"/>
          </w:tcPr>
          <w:p w14:paraId="32480598">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冲击&gt;3.5，密度0.97以内</w:t>
            </w:r>
          </w:p>
        </w:tc>
        <w:tc>
          <w:tcPr>
            <w:tcW w:w="2764" w:type="dxa"/>
            <w:vMerge w:val="continue"/>
            <w:noWrap w:val="0"/>
            <w:vAlign w:val="center"/>
          </w:tcPr>
          <w:p w14:paraId="71F02B35">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38"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8"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3A0128B2">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62B7327">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9" w:name="_Toc30455"/>
      <w:bookmarkStart w:id="100" w:name="_Toc1084"/>
      <w:bookmarkStart w:id="101"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9"/>
      <w:bookmarkEnd w:id="100"/>
      <w:bookmarkEnd w:id="10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φ2cm以下，过盐水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如经甲方验收，发现乙方交付的材料不满足本合同第二条约定的质量标准，如材料的冲击指标低于本合同约定的5%以内，经乙方同意则绿料可折价200/吨，电信灰料可折价300/吨，否则按照退货处理。</w:t>
      </w:r>
    </w:p>
    <w:p w14:paraId="7D13463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2"/>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2"/>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ZWY0YjkyZGYzN2U1NjdhNTIzNmE5Mjg5OWFmM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3F28CA"/>
    <w:rsid w:val="06555C4C"/>
    <w:rsid w:val="06BF6017"/>
    <w:rsid w:val="06DF3FC3"/>
    <w:rsid w:val="082216E1"/>
    <w:rsid w:val="087052F4"/>
    <w:rsid w:val="08E31B8A"/>
    <w:rsid w:val="0A3E54A5"/>
    <w:rsid w:val="0B1C39B2"/>
    <w:rsid w:val="0B3D3052"/>
    <w:rsid w:val="0BD75BB1"/>
    <w:rsid w:val="0C97306B"/>
    <w:rsid w:val="0C9E047D"/>
    <w:rsid w:val="0D3C1DC3"/>
    <w:rsid w:val="0E0137ED"/>
    <w:rsid w:val="0F184516"/>
    <w:rsid w:val="0F66217A"/>
    <w:rsid w:val="10F82212"/>
    <w:rsid w:val="12E6250F"/>
    <w:rsid w:val="135E2714"/>
    <w:rsid w:val="13C95DDF"/>
    <w:rsid w:val="13DD4624"/>
    <w:rsid w:val="143516C6"/>
    <w:rsid w:val="1441006B"/>
    <w:rsid w:val="144D10FA"/>
    <w:rsid w:val="14B608C1"/>
    <w:rsid w:val="15142E72"/>
    <w:rsid w:val="15BE749A"/>
    <w:rsid w:val="187A6CED"/>
    <w:rsid w:val="19416EE3"/>
    <w:rsid w:val="19921369"/>
    <w:rsid w:val="19E54C84"/>
    <w:rsid w:val="1A2B2E16"/>
    <w:rsid w:val="1A584361"/>
    <w:rsid w:val="1CA53035"/>
    <w:rsid w:val="1CB72E06"/>
    <w:rsid w:val="1D406077"/>
    <w:rsid w:val="1EFF2FFD"/>
    <w:rsid w:val="1F9B0ADF"/>
    <w:rsid w:val="1FC00470"/>
    <w:rsid w:val="1FC75507"/>
    <w:rsid w:val="20BD4F1E"/>
    <w:rsid w:val="213B2D65"/>
    <w:rsid w:val="21B97B04"/>
    <w:rsid w:val="22161631"/>
    <w:rsid w:val="22345F2D"/>
    <w:rsid w:val="223760ED"/>
    <w:rsid w:val="229A5157"/>
    <w:rsid w:val="22F1792F"/>
    <w:rsid w:val="22FD7853"/>
    <w:rsid w:val="23005595"/>
    <w:rsid w:val="23BC471C"/>
    <w:rsid w:val="23C06ACA"/>
    <w:rsid w:val="24087AE2"/>
    <w:rsid w:val="2488354C"/>
    <w:rsid w:val="249C3BF3"/>
    <w:rsid w:val="28845678"/>
    <w:rsid w:val="28872C4F"/>
    <w:rsid w:val="28AB7D51"/>
    <w:rsid w:val="29156767"/>
    <w:rsid w:val="29BA649E"/>
    <w:rsid w:val="29DE5491"/>
    <w:rsid w:val="2A9C37A9"/>
    <w:rsid w:val="2BFC0FF0"/>
    <w:rsid w:val="2C01798C"/>
    <w:rsid w:val="2C7C594D"/>
    <w:rsid w:val="2CD14227"/>
    <w:rsid w:val="2EA636D0"/>
    <w:rsid w:val="2F304E13"/>
    <w:rsid w:val="2F4C647C"/>
    <w:rsid w:val="2F8512FC"/>
    <w:rsid w:val="302A1EA4"/>
    <w:rsid w:val="30943860"/>
    <w:rsid w:val="33BC1065"/>
    <w:rsid w:val="374B4BD9"/>
    <w:rsid w:val="374E4B29"/>
    <w:rsid w:val="38557A9F"/>
    <w:rsid w:val="38970585"/>
    <w:rsid w:val="38FF732C"/>
    <w:rsid w:val="3A4A73CA"/>
    <w:rsid w:val="3C440F6E"/>
    <w:rsid w:val="3DCC7449"/>
    <w:rsid w:val="3DE83A67"/>
    <w:rsid w:val="3F0F2990"/>
    <w:rsid w:val="42BD2F8E"/>
    <w:rsid w:val="43364990"/>
    <w:rsid w:val="435B1499"/>
    <w:rsid w:val="440A6827"/>
    <w:rsid w:val="443076C3"/>
    <w:rsid w:val="45976840"/>
    <w:rsid w:val="47100713"/>
    <w:rsid w:val="474C1085"/>
    <w:rsid w:val="474C1DDB"/>
    <w:rsid w:val="48B325A9"/>
    <w:rsid w:val="49203109"/>
    <w:rsid w:val="4A7A55DF"/>
    <w:rsid w:val="4ABB39CC"/>
    <w:rsid w:val="4B5E45B8"/>
    <w:rsid w:val="4BAB1C93"/>
    <w:rsid w:val="4BF71DFE"/>
    <w:rsid w:val="4C0E5B77"/>
    <w:rsid w:val="4C25253E"/>
    <w:rsid w:val="4CB92AE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8324C4B"/>
    <w:rsid w:val="589F2DDF"/>
    <w:rsid w:val="595650BB"/>
    <w:rsid w:val="5A13454B"/>
    <w:rsid w:val="5C651E08"/>
    <w:rsid w:val="5D2574A1"/>
    <w:rsid w:val="5D294756"/>
    <w:rsid w:val="5DC2080A"/>
    <w:rsid w:val="5F6B1E45"/>
    <w:rsid w:val="5FC078B7"/>
    <w:rsid w:val="62894684"/>
    <w:rsid w:val="637569B7"/>
    <w:rsid w:val="64032E7A"/>
    <w:rsid w:val="646451EA"/>
    <w:rsid w:val="65B23EF2"/>
    <w:rsid w:val="65D57105"/>
    <w:rsid w:val="6662250E"/>
    <w:rsid w:val="66D6776C"/>
    <w:rsid w:val="67FF3F88"/>
    <w:rsid w:val="6905258B"/>
    <w:rsid w:val="696A45A4"/>
    <w:rsid w:val="69AB353C"/>
    <w:rsid w:val="69DF74C2"/>
    <w:rsid w:val="6A6D4009"/>
    <w:rsid w:val="6B9F29DB"/>
    <w:rsid w:val="6BFD1C3F"/>
    <w:rsid w:val="6C242CBC"/>
    <w:rsid w:val="6C2947E2"/>
    <w:rsid w:val="6C4A4810"/>
    <w:rsid w:val="6CAD0BB5"/>
    <w:rsid w:val="6D9B34BE"/>
    <w:rsid w:val="6DD6696E"/>
    <w:rsid w:val="6E6B7E58"/>
    <w:rsid w:val="70D6117E"/>
    <w:rsid w:val="70DE50A1"/>
    <w:rsid w:val="70E231B1"/>
    <w:rsid w:val="714F5BD7"/>
    <w:rsid w:val="72D07765"/>
    <w:rsid w:val="73830C7C"/>
    <w:rsid w:val="73DA76D3"/>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7391</Words>
  <Characters>7713</Characters>
  <Lines>28</Lines>
  <Paragraphs>7</Paragraphs>
  <TotalTime>1042</TotalTime>
  <ScaleCrop>false</ScaleCrop>
  <LinksUpToDate>false</LinksUpToDate>
  <CharactersWithSpaces>7955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2024-09-23T02:09:55Z</cp:lastPrinted>
  <dcterms:modified xsi:type="dcterms:W3CDTF">2024-09-24T00:59:46Z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1F10B29855054C8BA92E0EEC39A8773C_13</vt:lpwstr>
  </property>
</Properties>
</file>