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8" w:lineRule="auto"/>
        <w:rPr>
          <w:rFonts w:hint="eastAsia" w:ascii="宋体" w:hAnsi="宋体" w:eastAsia="宋体" w:cs="宋体"/>
        </w:rPr>
      </w:pPr>
      <w:bookmarkStart w:id="0" w:name="_Toc14049"/>
      <w:bookmarkStart w:id="1" w:name="_Toc27807"/>
    </w:p>
    <w:p>
      <w:pPr>
        <w:spacing w:line="278" w:lineRule="auto"/>
        <w:rPr>
          <w:rFonts w:hint="eastAsia" w:ascii="宋体" w:hAnsi="宋体" w:eastAsia="宋体" w:cs="宋体"/>
        </w:rPr>
      </w:pPr>
    </w:p>
    <w:p>
      <w:pPr>
        <w:tabs>
          <w:tab w:val="left" w:pos="5882"/>
        </w:tabs>
        <w:spacing w:before="169" w:line="185" w:lineRule="auto"/>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pPr>
        <w:tabs>
          <w:tab w:val="left" w:pos="5882"/>
        </w:tabs>
        <w:spacing w:before="169" w:line="185" w:lineRule="auto"/>
        <w:jc w:val="center"/>
        <w:outlineLvl w:val="0"/>
        <w:rPr>
          <w:rFonts w:hint="eastAsia" w:ascii="宋体" w:hAnsi="宋体" w:eastAsia="宋体" w:cs="宋体"/>
          <w:spacing w:val="-3"/>
          <w:sz w:val="52"/>
          <w:szCs w:val="52"/>
        </w:rPr>
      </w:pPr>
      <w:r>
        <w:rPr>
          <w:rFonts w:hint="eastAsia" w:ascii="宋体" w:hAnsi="宋体" w:eastAsia="宋体" w:cs="宋体"/>
          <w:spacing w:val="-3"/>
          <w:sz w:val="52"/>
          <w:szCs w:val="52"/>
          <w:u w:val="single"/>
          <w:lang w:val="en-US" w:eastAsia="zh-CN"/>
        </w:rPr>
        <w:t>水性光油</w:t>
      </w:r>
      <w:r>
        <w:rPr>
          <w:rFonts w:hint="eastAsia" w:ascii="宋体" w:hAnsi="宋体" w:eastAsia="宋体" w:cs="宋体"/>
          <w:spacing w:val="-3"/>
          <w:sz w:val="44"/>
          <w:szCs w:val="44"/>
          <w:u w:val="single"/>
          <w:lang w:val="en-US" w:eastAsia="zh-CN"/>
        </w:rPr>
        <w:t>（型号亮光、封光）</w:t>
      </w:r>
      <w:r>
        <w:rPr>
          <w:rFonts w:hint="eastAsia" w:ascii="宋体" w:hAnsi="宋体" w:eastAsia="宋体" w:cs="宋体"/>
          <w:spacing w:val="-3"/>
          <w:sz w:val="52"/>
          <w:szCs w:val="52"/>
        </w:rPr>
        <w:t>采购项目</w:t>
      </w:r>
      <w:bookmarkEnd w:id="2"/>
      <w:bookmarkEnd w:id="3"/>
    </w:p>
    <w:p>
      <w:pPr>
        <w:tabs>
          <w:tab w:val="left" w:pos="5882"/>
        </w:tabs>
        <w:spacing w:before="169" w:line="185" w:lineRule="auto"/>
        <w:ind w:firstLine="1040"/>
        <w:jc w:val="center"/>
        <w:outlineLvl w:val="0"/>
        <w:rPr>
          <w:rFonts w:hint="eastAsia" w:ascii="宋体" w:hAnsi="宋体" w:eastAsia="宋体" w:cs="宋体"/>
          <w:spacing w:val="-3"/>
          <w:sz w:val="52"/>
          <w:szCs w:val="52"/>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HXZB2024090901</w:t>
      </w: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9" w:lineRule="auto"/>
        <w:rPr>
          <w:rFonts w:hint="eastAsia" w:ascii="宋体" w:hAnsi="宋体" w:eastAsia="宋体" w:cs="宋体"/>
        </w:rPr>
      </w:pPr>
    </w:p>
    <w:p>
      <w:pPr>
        <w:tabs>
          <w:tab w:val="left" w:pos="8063"/>
        </w:tabs>
        <w:spacing w:line="249" w:lineRule="auto"/>
        <w:rPr>
          <w:rFonts w:hint="eastAsia" w:ascii="宋体" w:hAnsi="宋体" w:eastAsia="宋体" w:cs="宋体"/>
          <w:lang w:eastAsia="zh-CN"/>
        </w:rPr>
      </w:pPr>
      <w:r>
        <w:rPr>
          <w:rFonts w:hint="eastAsia" w:ascii="宋体" w:hAnsi="宋体" w:eastAsia="宋体" w:cs="宋体"/>
          <w:lang w:eastAsia="zh-CN"/>
        </w:rPr>
        <w:tab/>
      </w:r>
    </w:p>
    <w:p>
      <w:pPr>
        <w:spacing w:before="274" w:line="185" w:lineRule="auto"/>
        <w:jc w:val="center"/>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spacing w:before="104" w:line="188" w:lineRule="auto"/>
        <w:rPr>
          <w:rFonts w:hint="eastAsia" w:ascii="宋体" w:hAnsi="宋体" w:eastAsia="宋体" w:cs="宋体"/>
          <w:spacing w:val="-18"/>
          <w:sz w:val="32"/>
          <w:szCs w:val="32"/>
        </w:rPr>
      </w:pPr>
    </w:p>
    <w:p>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pPr>
        <w:spacing w:line="409" w:lineRule="auto"/>
        <w:rPr>
          <w:rFonts w:hint="eastAsia" w:ascii="宋体" w:hAnsi="宋体" w:eastAsia="宋体" w:cs="宋体"/>
        </w:rPr>
      </w:pPr>
    </w:p>
    <w:p>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09</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09日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pPr>
        <w:pStyle w:val="15"/>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pPr>
        <w:tabs>
          <w:tab w:val="left" w:pos="2648"/>
        </w:tabs>
        <w:spacing w:line="360" w:lineRule="auto"/>
        <w:jc w:val="both"/>
        <w:rPr>
          <w:rFonts w:hint="eastAsia" w:ascii="宋体" w:hAnsi="宋体" w:eastAsia="宋体" w:cs="宋体"/>
          <w:sz w:val="24"/>
          <w:szCs w:val="24"/>
        </w:rPr>
      </w:pPr>
      <w:bookmarkStart w:id="12" w:name="_Hlk121147898"/>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lang w:val="en-US" w:eastAsia="zh-CN"/>
        </w:rPr>
        <w:t xml:space="preserve"> HXZB2024090901    </w:t>
      </w:r>
      <w:r>
        <w:rPr>
          <w:rFonts w:hint="eastAsia" w:ascii="宋体" w:hAnsi="宋体" w:eastAsia="宋体" w:cs="宋体"/>
          <w:sz w:val="24"/>
          <w:szCs w:val="24"/>
        </w:rPr>
        <w:t>，项目名称：</w:t>
      </w:r>
      <w:r>
        <w:rPr>
          <w:rFonts w:hint="eastAsia" w:ascii="宋体" w:hAnsi="宋体" w:eastAsia="宋体" w:cs="宋体"/>
          <w:b w:val="0"/>
          <w:bCs w:val="0"/>
          <w:spacing w:val="-3"/>
          <w:sz w:val="24"/>
          <w:szCs w:val="24"/>
          <w:u w:val="single"/>
          <w:lang w:val="en-US" w:eastAsia="zh-CN"/>
        </w:rPr>
        <w:t>水性光油（型号亮光、封光）</w:t>
      </w:r>
      <w:r>
        <w:rPr>
          <w:rFonts w:hint="eastAsia" w:ascii="宋体" w:hAnsi="宋体" w:eastAsia="宋体" w:cs="宋体"/>
          <w:b w:val="0"/>
          <w:bCs w:val="0"/>
          <w:spacing w:val="-3"/>
          <w:sz w:val="24"/>
          <w:szCs w:val="24"/>
          <w:u w:val="single"/>
        </w:rPr>
        <w:t>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30218"/>
      <w:bookmarkStart w:id="14" w:name="_Toc30525"/>
      <w:bookmarkStart w:id="15" w:name="_Toc3942"/>
      <w:bookmarkStart w:id="16" w:name="_Toc3520"/>
      <w:bookmarkStart w:id="17" w:name="_Toc13304"/>
      <w:bookmarkStart w:id="18" w:name="_Toc23627"/>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05"/>
        <w:gridCol w:w="675"/>
        <w:gridCol w:w="2130"/>
        <w:gridCol w:w="2"/>
        <w:gridCol w:w="1348"/>
        <w:gridCol w:w="2"/>
        <w:gridCol w:w="1753"/>
        <w:gridCol w:w="540"/>
        <w:gridCol w:w="810"/>
        <w:gridCol w:w="1065"/>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2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0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675" w:type="dxa"/>
            <w:tcBorders>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5235" w:type="dxa"/>
            <w:gridSpan w:val="5"/>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540" w:type="dxa"/>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1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6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818"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28"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05"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水性光油</w:t>
            </w:r>
          </w:p>
        </w:tc>
        <w:tc>
          <w:tcPr>
            <w:tcW w:w="675" w:type="dxa"/>
            <w:vMerge w:val="restart"/>
            <w:tcBorders>
              <w:right w:val="single" w:color="auto" w:sz="4" w:space="0"/>
            </w:tcBorders>
            <w:vAlign w:val="center"/>
          </w:tcPr>
          <w:p>
            <w:pPr>
              <w:pStyle w:val="15"/>
              <w:ind w:left="0" w:leftChars="0" w:firstLine="0" w:firstLineChars="0"/>
              <w:jc w:val="center"/>
              <w:rPr>
                <w:rFonts w:hint="default"/>
                <w:lang w:val="en-US" w:eastAsia="zh-CN"/>
              </w:rPr>
            </w:pPr>
            <w:r>
              <w:rPr>
                <w:rFonts w:hint="eastAsia"/>
                <w:lang w:val="en-US" w:eastAsia="zh-CN"/>
              </w:rPr>
              <w:t>亮光</w:t>
            </w:r>
          </w:p>
        </w:tc>
        <w:tc>
          <w:tcPr>
            <w:tcW w:w="2130"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容器中状态</w:t>
            </w:r>
          </w:p>
        </w:tc>
        <w:tc>
          <w:tcPr>
            <w:tcW w:w="1350"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无硬块，搅拌后呈均匀状态</w:t>
            </w:r>
          </w:p>
        </w:tc>
        <w:tc>
          <w:tcPr>
            <w:tcW w:w="1755" w:type="dxa"/>
            <w:gridSpan w:val="2"/>
            <w:tcBorders>
              <w:left w:val="single" w:color="auto" w:sz="4" w:space="0"/>
              <w:bottom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GBIT4847.4.4.2</w:t>
            </w:r>
          </w:p>
        </w:tc>
        <w:tc>
          <w:tcPr>
            <w:tcW w:w="540" w:type="dxa"/>
            <w:vMerge w:val="restart"/>
            <w:tcBorders>
              <w:lef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Kg</w:t>
            </w:r>
          </w:p>
        </w:tc>
        <w:tc>
          <w:tcPr>
            <w:tcW w:w="810"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730000</w:t>
            </w:r>
          </w:p>
        </w:tc>
        <w:tc>
          <w:tcPr>
            <w:tcW w:w="1065"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数量为半年暂估数量，合同签订后每次交货按需方通知数量陆续交货。</w:t>
            </w:r>
          </w:p>
        </w:tc>
        <w:tc>
          <w:tcPr>
            <w:tcW w:w="818"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按半年暂估数量，一次性报单价/kg。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漆膜外观及颜色</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亮光</w:t>
            </w:r>
          </w:p>
        </w:tc>
        <w:tc>
          <w:tcPr>
            <w:tcW w:w="1755" w:type="dxa"/>
            <w:gridSpan w:val="2"/>
            <w:tcBorders>
              <w:top w:val="single" w:color="auto" w:sz="4" w:space="0"/>
              <w:left w:val="single" w:color="auto" w:sz="4" w:space="0"/>
              <w:bottom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GB/T4847.4.4.12</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粘度 /(KU，25℃)</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90-100</w:t>
            </w:r>
          </w:p>
        </w:tc>
        <w:tc>
          <w:tcPr>
            <w:tcW w:w="175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9269-2009</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光泽(%，85°角)</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75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9754-2007</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PH 值</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w:t>
            </w:r>
          </w:p>
        </w:tc>
        <w:tc>
          <w:tcPr>
            <w:tcW w:w="175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9724-2007</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硬度/铅笔法</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75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1730-2007</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细度(um)</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75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GBIT 6753.1-2007</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干燥时间(表干/实干 H)</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≤2/≤24</w:t>
            </w:r>
          </w:p>
        </w:tc>
        <w:tc>
          <w:tcPr>
            <w:tcW w:w="175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GBIT 1728-1979</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冲击试验/&gt;CM</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1755"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1732-1993</w:t>
            </w: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30"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350" w:type="dxa"/>
            <w:gridSpan w:val="2"/>
            <w:tcBorders>
              <w:top w:val="single" w:color="auto" w:sz="4" w:space="0"/>
              <w:left w:val="single" w:color="auto" w:sz="4" w:space="0"/>
              <w:right w:val="single" w:color="auto" w:sz="4" w:space="0"/>
            </w:tcBorders>
            <w:vAlign w:val="center"/>
          </w:tcPr>
          <w:p>
            <w:pPr>
              <w:jc w:val="center"/>
              <w:rPr>
                <w:rFonts w:hint="default" w:ascii="宋体" w:hAnsi="宋体" w:eastAsia="宋体" w:cs="宋体"/>
                <w:sz w:val="24"/>
                <w:szCs w:val="24"/>
                <w:lang w:val="en-US" w:eastAsia="zh-CN"/>
              </w:rPr>
            </w:pPr>
          </w:p>
        </w:tc>
        <w:tc>
          <w:tcPr>
            <w:tcW w:w="1755" w:type="dxa"/>
            <w:gridSpan w:val="2"/>
            <w:tcBorders>
              <w:top w:val="single" w:color="auto" w:sz="4" w:space="0"/>
              <w:left w:val="single" w:color="auto" w:sz="4" w:space="0"/>
            </w:tcBorders>
            <w:vAlign w:val="center"/>
          </w:tcPr>
          <w:p>
            <w:pPr>
              <w:jc w:val="center"/>
              <w:rPr>
                <w:rFonts w:hint="default" w:ascii="宋体" w:hAnsi="宋体" w:eastAsia="宋体" w:cs="宋体"/>
                <w:sz w:val="24"/>
                <w:szCs w:val="24"/>
                <w:lang w:val="en-US" w:eastAsia="zh-CN"/>
              </w:rPr>
            </w:pPr>
          </w:p>
        </w:tc>
        <w:tc>
          <w:tcPr>
            <w:tcW w:w="540" w:type="dxa"/>
            <w:vMerge w:val="continue"/>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jc w:val="center"/>
        </w:trPr>
        <w:tc>
          <w:tcPr>
            <w:tcW w:w="628" w:type="dxa"/>
            <w:vMerge w:val="restart"/>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705" w:type="dxa"/>
            <w:vMerge w:val="restart"/>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水性光油</w:t>
            </w:r>
          </w:p>
        </w:tc>
        <w:tc>
          <w:tcPr>
            <w:tcW w:w="675" w:type="dxa"/>
            <w:vMerge w:val="restart"/>
            <w:tcBorders>
              <w:right w:val="single" w:color="auto" w:sz="4" w:space="0"/>
            </w:tcBorders>
            <w:shd w:val="clear" w:color="auto" w:fill="auto"/>
            <w:vAlign w:val="center"/>
          </w:tcPr>
          <w:p>
            <w:pPr>
              <w:pStyle w:val="15"/>
              <w:ind w:left="0" w:leftChars="0" w:firstLine="0" w:firstLineChars="0"/>
              <w:jc w:val="center"/>
              <w:rPr>
                <w:rFonts w:hint="default" w:ascii="Arial" w:hAnsi="Arial" w:eastAsia="Arial" w:cs="Arial"/>
                <w:snapToGrid w:val="0"/>
                <w:color w:val="000000"/>
                <w:sz w:val="21"/>
                <w:szCs w:val="21"/>
                <w:lang w:val="en-US" w:eastAsia="zh-CN" w:bidi="ar-SA"/>
              </w:rPr>
            </w:pPr>
            <w:r>
              <w:rPr>
                <w:rFonts w:hint="eastAsia"/>
                <w:lang w:val="en-US" w:eastAsia="zh-CN"/>
              </w:rPr>
              <w:t>封光</w:t>
            </w:r>
          </w:p>
        </w:tc>
        <w:tc>
          <w:tcPr>
            <w:tcW w:w="2132" w:type="dxa"/>
            <w:gridSpan w:val="2"/>
            <w:tcBorders>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rPr>
              <w:t>容器中状态</w:t>
            </w:r>
          </w:p>
        </w:tc>
        <w:tc>
          <w:tcPr>
            <w:tcW w:w="1350" w:type="dxa"/>
            <w:gridSpan w:val="2"/>
            <w:tcBorders>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无硬块，搅拌后呈均匀状态</w:t>
            </w:r>
          </w:p>
        </w:tc>
        <w:tc>
          <w:tcPr>
            <w:tcW w:w="1753" w:type="dxa"/>
            <w:tcBorders>
              <w:left w:val="single" w:color="auto" w:sz="4" w:space="0"/>
              <w:bottom w:val="single" w:color="auto" w:sz="4" w:space="0"/>
            </w:tcBorders>
            <w:shd w:val="clear" w:color="auto" w:fill="auto"/>
            <w:vAlign w:val="center"/>
          </w:tcPr>
          <w:p>
            <w:pPr>
              <w:jc w:val="both"/>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GBIT4847.4.4.2</w:t>
            </w:r>
          </w:p>
        </w:tc>
        <w:tc>
          <w:tcPr>
            <w:tcW w:w="540" w:type="dxa"/>
            <w:vMerge w:val="restart"/>
            <w:tcBorders>
              <w:left w:val="single" w:color="auto" w:sz="4" w:space="0"/>
            </w:tcBorders>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Kg</w:t>
            </w:r>
          </w:p>
        </w:tc>
        <w:tc>
          <w:tcPr>
            <w:tcW w:w="810" w:type="dxa"/>
            <w:vMerge w:val="restart"/>
            <w:vAlign w:val="center"/>
          </w:tcPr>
          <w:p>
            <w:pPr>
              <w:jc w:val="center"/>
              <w:rPr>
                <w:rFonts w:hint="default"/>
                <w:lang w:val="en-US" w:eastAsia="zh-CN"/>
              </w:rPr>
            </w:pPr>
            <w:r>
              <w:rPr>
                <w:rFonts w:hint="eastAsia" w:ascii="宋体" w:hAnsi="宋体" w:eastAsia="宋体" w:cs="宋体"/>
                <w:sz w:val="24"/>
                <w:szCs w:val="24"/>
                <w:lang w:val="en-US" w:eastAsia="zh-CN"/>
              </w:rPr>
              <w:t>530000</w:t>
            </w: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漆膜外观及颜色</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哑光</w:t>
            </w:r>
          </w:p>
        </w:tc>
        <w:tc>
          <w:tcPr>
            <w:tcW w:w="1753" w:type="dxa"/>
            <w:tcBorders>
              <w:top w:val="single" w:color="auto" w:sz="4" w:space="0"/>
              <w:left w:val="single" w:color="auto" w:sz="4" w:space="0"/>
              <w:bottom w:val="single" w:color="auto" w:sz="4" w:space="0"/>
            </w:tcBorders>
            <w:shd w:val="clear" w:color="auto" w:fill="auto"/>
            <w:vAlign w:val="center"/>
          </w:tcPr>
          <w:p>
            <w:pPr>
              <w:jc w:val="both"/>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GB/T4847.4.4.12</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粘度 /(KU，25℃)</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90-100</w:t>
            </w:r>
          </w:p>
        </w:tc>
        <w:tc>
          <w:tcPr>
            <w:tcW w:w="1753" w:type="dxa"/>
            <w:tcBorders>
              <w:top w:val="single" w:color="auto" w:sz="4" w:space="0"/>
              <w:left w:val="single" w:color="auto" w:sz="4" w:space="0"/>
              <w:bottom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9269-2009</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光泽(%，20°角)</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≥55</w:t>
            </w:r>
          </w:p>
        </w:tc>
        <w:tc>
          <w:tcPr>
            <w:tcW w:w="1753" w:type="dxa"/>
            <w:tcBorders>
              <w:top w:val="single" w:color="auto" w:sz="4" w:space="0"/>
              <w:left w:val="single" w:color="auto" w:sz="4" w:space="0"/>
              <w:bottom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9754-2007</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PH 值</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9-10</w:t>
            </w:r>
          </w:p>
        </w:tc>
        <w:tc>
          <w:tcPr>
            <w:tcW w:w="1753" w:type="dxa"/>
            <w:tcBorders>
              <w:top w:val="single" w:color="auto" w:sz="4" w:space="0"/>
              <w:left w:val="single" w:color="auto" w:sz="4" w:space="0"/>
              <w:bottom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9724-2007</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硬度/铅笔法</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≥B</w:t>
            </w:r>
          </w:p>
        </w:tc>
        <w:tc>
          <w:tcPr>
            <w:tcW w:w="1753" w:type="dxa"/>
            <w:tcBorders>
              <w:top w:val="single" w:color="auto" w:sz="4" w:space="0"/>
              <w:left w:val="single" w:color="auto" w:sz="4" w:space="0"/>
              <w:bottom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1730-2007</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细度(um)</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≤25</w:t>
            </w:r>
          </w:p>
        </w:tc>
        <w:tc>
          <w:tcPr>
            <w:tcW w:w="1753" w:type="dxa"/>
            <w:tcBorders>
              <w:top w:val="single" w:color="auto" w:sz="4" w:space="0"/>
              <w:left w:val="single" w:color="auto" w:sz="4" w:space="0"/>
              <w:bottom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GBIT 6753.1-2007</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干燥时间(表干/实干 H)</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≤2/≤24</w:t>
            </w:r>
          </w:p>
        </w:tc>
        <w:tc>
          <w:tcPr>
            <w:tcW w:w="1753" w:type="dxa"/>
            <w:tcBorders>
              <w:top w:val="single" w:color="auto" w:sz="4" w:space="0"/>
              <w:left w:val="single" w:color="auto" w:sz="4" w:space="0"/>
              <w:bottom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GBIT 1728-1979</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675"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32" w:type="dxa"/>
            <w:gridSpan w:val="2"/>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冲击试验/&gt;CM</w:t>
            </w:r>
          </w:p>
        </w:tc>
        <w:tc>
          <w:tcPr>
            <w:tcW w:w="1350" w:type="dxa"/>
            <w:gridSpan w:val="2"/>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≥40</w:t>
            </w:r>
          </w:p>
        </w:tc>
        <w:tc>
          <w:tcPr>
            <w:tcW w:w="1753" w:type="dxa"/>
            <w:tcBorders>
              <w:top w:val="single" w:color="auto" w:sz="4" w:space="0"/>
              <w:lef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1732-1993</w:t>
            </w:r>
          </w:p>
        </w:tc>
        <w:tc>
          <w:tcPr>
            <w:tcW w:w="540"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lang w:val="en-US" w:eastAsia="zh-CN"/>
              </w:rPr>
            </w:pPr>
          </w:p>
        </w:tc>
        <w:tc>
          <w:tcPr>
            <w:tcW w:w="810" w:type="dxa"/>
            <w:vMerge w:val="continue"/>
            <w:vAlign w:val="center"/>
          </w:tcPr>
          <w:p>
            <w:pPr>
              <w:jc w:val="center"/>
              <w:rPr>
                <w:rFonts w:hint="eastAsia"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28" w:type="dxa"/>
            <w:vAlign w:val="center"/>
          </w:tcPr>
          <w:p>
            <w:pPr>
              <w:jc w:val="center"/>
              <w:rPr>
                <w:rFonts w:hint="eastAsia" w:ascii="宋体" w:hAnsi="宋体" w:eastAsia="宋体" w:cs="宋体"/>
                <w:sz w:val="24"/>
                <w:szCs w:val="24"/>
                <w:lang w:val="en-US" w:eastAsia="zh-CN"/>
              </w:rPr>
            </w:pPr>
          </w:p>
        </w:tc>
        <w:tc>
          <w:tcPr>
            <w:tcW w:w="705" w:type="dxa"/>
            <w:vAlign w:val="center"/>
          </w:tcPr>
          <w:p>
            <w:pPr>
              <w:jc w:val="center"/>
              <w:rPr>
                <w:rFonts w:hint="default" w:ascii="宋体" w:hAnsi="宋体" w:eastAsia="宋体" w:cs="宋体"/>
                <w:sz w:val="24"/>
                <w:szCs w:val="24"/>
                <w:lang w:val="en-US" w:eastAsia="zh-CN"/>
              </w:rPr>
            </w:pPr>
          </w:p>
        </w:tc>
        <w:tc>
          <w:tcPr>
            <w:tcW w:w="675" w:type="dxa"/>
            <w:tcBorders>
              <w:right w:val="single" w:color="auto" w:sz="4" w:space="0"/>
            </w:tcBorders>
            <w:vAlign w:val="center"/>
          </w:tcPr>
          <w:p>
            <w:pPr>
              <w:pStyle w:val="15"/>
              <w:ind w:left="0" w:leftChars="0" w:firstLine="0" w:firstLineChars="0"/>
              <w:jc w:val="center"/>
              <w:rPr>
                <w:rFonts w:hint="default"/>
                <w:lang w:val="en-US" w:eastAsia="zh-CN"/>
              </w:rPr>
            </w:pPr>
          </w:p>
        </w:tc>
        <w:tc>
          <w:tcPr>
            <w:tcW w:w="5235" w:type="dxa"/>
            <w:gridSpan w:val="5"/>
            <w:tcBorders>
              <w:left w:val="single" w:color="auto" w:sz="4" w:space="0"/>
            </w:tcBorders>
            <w:vAlign w:val="center"/>
          </w:tcPr>
          <w:p>
            <w:pPr>
              <w:jc w:val="center"/>
              <w:rPr>
                <w:rFonts w:hint="default" w:ascii="宋体" w:hAnsi="宋体" w:eastAsia="宋体" w:cs="宋体"/>
                <w:sz w:val="24"/>
                <w:szCs w:val="24"/>
                <w:lang w:val="en-US" w:eastAsia="zh-CN"/>
              </w:rPr>
            </w:pPr>
          </w:p>
        </w:tc>
        <w:tc>
          <w:tcPr>
            <w:tcW w:w="540" w:type="dxa"/>
            <w:tcBorders>
              <w:left w:val="single" w:color="auto" w:sz="4" w:space="0"/>
            </w:tcBorders>
            <w:vAlign w:val="center"/>
          </w:tcPr>
          <w:p>
            <w:pPr>
              <w:jc w:val="center"/>
              <w:rPr>
                <w:rFonts w:hint="eastAsia" w:ascii="宋体" w:hAnsi="宋体" w:eastAsia="宋体" w:cs="宋体"/>
                <w:sz w:val="24"/>
                <w:szCs w:val="24"/>
                <w:lang w:val="en-US" w:eastAsia="zh-CN"/>
              </w:rPr>
            </w:pPr>
          </w:p>
        </w:tc>
        <w:tc>
          <w:tcPr>
            <w:tcW w:w="810" w:type="dxa"/>
            <w:vAlign w:val="center"/>
          </w:tcPr>
          <w:p>
            <w:pPr>
              <w:jc w:val="center"/>
              <w:rPr>
                <w:rFonts w:hint="default" w:ascii="宋体" w:hAnsi="宋体" w:eastAsia="宋体" w:cs="宋体"/>
                <w:sz w:val="24"/>
                <w:szCs w:val="24"/>
                <w:lang w:val="en-US" w:eastAsia="zh-CN"/>
              </w:rPr>
            </w:pPr>
          </w:p>
        </w:tc>
        <w:tc>
          <w:tcPr>
            <w:tcW w:w="1065" w:type="dxa"/>
            <w:vMerge w:val="continue"/>
            <w:vAlign w:val="center"/>
          </w:tcPr>
          <w:p>
            <w:pPr>
              <w:jc w:val="center"/>
              <w:rPr>
                <w:rFonts w:hint="eastAsia" w:ascii="宋体" w:hAnsi="宋体" w:eastAsia="宋体" w:cs="宋体"/>
                <w:sz w:val="24"/>
                <w:szCs w:val="24"/>
                <w:lang w:val="en-US" w:eastAsia="zh-CN"/>
              </w:rPr>
            </w:pPr>
          </w:p>
        </w:tc>
        <w:tc>
          <w:tcPr>
            <w:tcW w:w="818" w:type="dxa"/>
            <w:vMerge w:val="continue"/>
            <w:vAlign w:val="center"/>
          </w:tcPr>
          <w:p>
            <w:pPr>
              <w:jc w:val="center"/>
              <w:rPr>
                <w:rFonts w:hint="eastAsia" w:ascii="宋体" w:hAnsi="宋体" w:eastAsia="宋体" w:cs="宋体"/>
                <w:sz w:val="24"/>
                <w:szCs w:val="24"/>
                <w:lang w:val="en-US" w:eastAsia="zh-CN"/>
              </w:rPr>
            </w:pPr>
          </w:p>
        </w:tc>
      </w:tr>
    </w:tbl>
    <w:p>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林宏浈，</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18806060919</w:t>
      </w:r>
      <w:r>
        <w:rPr>
          <w:rFonts w:hint="eastAsia" w:ascii="宋体" w:hAnsi="宋体" w:eastAsia="宋体" w:cs="宋体"/>
          <w:sz w:val="24"/>
          <w:szCs w:val="24"/>
        </w:rPr>
        <w:t>)</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rPr>
        <w:t>日</w:t>
      </w:r>
      <w:bookmarkEnd w:id="19"/>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rPr>
        <w:t>日</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30159"/>
      <w:bookmarkStart w:id="21" w:name="_Toc24591"/>
      <w:bookmarkStart w:id="22" w:name="_Toc7018"/>
      <w:bookmarkStart w:id="23" w:name="_Toc654"/>
      <w:bookmarkStart w:id="24" w:name="_Toc9339"/>
      <w:bookmarkStart w:id="25" w:name="_Toc27635"/>
      <w:r>
        <w:rPr>
          <w:rFonts w:hint="eastAsia" w:ascii="宋体" w:hAnsi="宋体" w:eastAsia="宋体" w:cs="宋体"/>
          <w:sz w:val="24"/>
          <w:szCs w:val="24"/>
        </w:rPr>
        <w:t>相关要求：</w:t>
      </w:r>
      <w:bookmarkEnd w:id="20"/>
      <w:bookmarkEnd w:id="21"/>
      <w:bookmarkEnd w:id="22"/>
      <w:bookmarkEnd w:id="23"/>
      <w:bookmarkEnd w:id="24"/>
      <w:bookmarkEnd w:id="25"/>
    </w:p>
    <w:p>
      <w:pPr>
        <w:widowControl w:val="0"/>
        <w:kinsoku/>
        <w:spacing w:line="360" w:lineRule="auto"/>
        <w:ind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pPr>
        <w:widowControl w:val="0"/>
        <w:kinsoku/>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7）货到付款。需方收到供方货物，验收合格后3日内需方将相应合同货款转到供方指定账号，供方收到货款后提供相应发票，付银承。</w:t>
      </w:r>
    </w:p>
    <w:p>
      <w:pPr>
        <w:widowControl w:val="0"/>
        <w:kinsoku/>
        <w:spacing w:line="360" w:lineRule="auto"/>
        <w:ind w:firstLine="480" w:firstLineChars="200"/>
        <w:rPr>
          <w:rFonts w:hint="default" w:ascii="宋体" w:hAnsi="宋体" w:eastAsia="宋体" w:cs="宋体"/>
          <w:sz w:val="24"/>
          <w:szCs w:val="24"/>
          <w:lang w:val="en-US" w:eastAsia="zh-CN"/>
        </w:rPr>
      </w:pPr>
      <w:bookmarkStart w:id="101" w:name="_GoBack"/>
      <w:bookmarkEnd w:id="101"/>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19941"/>
      <w:bookmarkStart w:id="27" w:name="_Toc20083"/>
      <w:bookmarkStart w:id="28" w:name="_Toc30078"/>
      <w:bookmarkStart w:id="29" w:name="_Toc21113"/>
      <w:bookmarkStart w:id="30" w:name="_Toc4182"/>
      <w:bookmarkStart w:id="31" w:name="_Toc21790"/>
      <w:r>
        <w:rPr>
          <w:rFonts w:hint="eastAsia" w:ascii="宋体" w:hAnsi="宋体" w:eastAsia="宋体" w:cs="宋体"/>
          <w:sz w:val="24"/>
          <w:szCs w:val="24"/>
        </w:rPr>
        <w:t>联系方式</w:t>
      </w:r>
      <w:bookmarkEnd w:id="26"/>
      <w:bookmarkEnd w:id="27"/>
      <w:bookmarkEnd w:id="28"/>
      <w:bookmarkEnd w:id="29"/>
      <w:bookmarkEnd w:id="30"/>
      <w:bookmarkEnd w:id="31"/>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pPr>
        <w:spacing w:line="27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ind w:firstLine="459"/>
        <w:jc w:val="right"/>
        <w:outlineLvl w:val="0"/>
        <w:rPr>
          <w:rFonts w:hint="eastAsia" w:ascii="宋体" w:hAnsi="宋体" w:eastAsia="宋体" w:cs="宋体"/>
          <w:sz w:val="24"/>
          <w:szCs w:val="24"/>
          <w:lang w:eastAsia="zh-CN"/>
        </w:rPr>
      </w:pPr>
      <w:bookmarkStart w:id="32" w:name="_Toc20059"/>
      <w:bookmarkStart w:id="33" w:name="_Toc322"/>
      <w:bookmarkStart w:id="34" w:name="_Toc23207"/>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p>
    <w:p>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rPr>
        <w:t>日</w:t>
      </w:r>
    </w:p>
    <w:p>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1059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5448"/>
      <w:bookmarkStart w:id="40" w:name="_Toc14879"/>
      <w:bookmarkStart w:id="41" w:name="_Toc9822"/>
      <w:bookmarkStart w:id="42" w:name="_Toc15722"/>
      <w:bookmarkStart w:id="43" w:name="_Toc24156"/>
      <w:bookmarkStart w:id="44" w:name="_Toc21532"/>
      <w:r>
        <w:rPr>
          <w:rFonts w:hint="eastAsia" w:ascii="宋体" w:hAnsi="宋体" w:eastAsia="宋体" w:cs="宋体"/>
          <w:sz w:val="24"/>
          <w:szCs w:val="24"/>
        </w:rPr>
        <w:t>投标资格（包括但不限于）：</w:t>
      </w:r>
      <w:bookmarkEnd w:id="39"/>
      <w:bookmarkEnd w:id="40"/>
      <w:bookmarkEnd w:id="41"/>
      <w:bookmarkEnd w:id="42"/>
      <w:bookmarkEnd w:id="43"/>
      <w:bookmarkEnd w:id="44"/>
    </w:p>
    <w:p>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pPr>
        <w:kinsoku/>
        <w:spacing w:line="360" w:lineRule="auto"/>
        <w:ind w:firstLine="482" w:firstLineChars="200"/>
        <w:outlineLvl w:val="0"/>
        <w:rPr>
          <w:rFonts w:hint="eastAsia" w:ascii="宋体" w:hAnsi="宋体" w:eastAsia="宋体" w:cs="宋体"/>
          <w:b/>
          <w:bCs/>
          <w:sz w:val="24"/>
          <w:szCs w:val="24"/>
        </w:rPr>
      </w:pPr>
      <w:bookmarkStart w:id="45" w:name="_Toc16770"/>
      <w:bookmarkStart w:id="46" w:name="_Toc15847"/>
      <w:bookmarkStart w:id="47" w:name="_Toc9930"/>
      <w:bookmarkStart w:id="48" w:name="_Toc23688"/>
      <w:bookmarkStart w:id="49" w:name="_Toc12309"/>
      <w:r>
        <w:rPr>
          <w:rFonts w:hint="eastAsia" w:ascii="宋体" w:hAnsi="宋体" w:eastAsia="宋体" w:cs="宋体"/>
          <w:b/>
          <w:bCs/>
          <w:sz w:val="24"/>
          <w:szCs w:val="24"/>
        </w:rPr>
        <w:t>二、投标报价</w:t>
      </w:r>
      <w:bookmarkEnd w:id="45"/>
      <w:bookmarkEnd w:id="46"/>
      <w:bookmarkEnd w:id="47"/>
      <w:bookmarkEnd w:id="48"/>
      <w:bookmarkEnd w:id="49"/>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pPr>
        <w:kinsoku/>
        <w:spacing w:line="360" w:lineRule="auto"/>
        <w:ind w:firstLine="482" w:firstLineChars="200"/>
        <w:outlineLvl w:val="0"/>
        <w:rPr>
          <w:rFonts w:hint="eastAsia" w:ascii="宋体" w:hAnsi="宋体" w:eastAsia="宋体" w:cs="宋体"/>
          <w:b/>
          <w:bCs/>
          <w:sz w:val="24"/>
          <w:szCs w:val="24"/>
        </w:rPr>
      </w:pPr>
      <w:bookmarkStart w:id="51" w:name="_Toc24896"/>
      <w:bookmarkStart w:id="52" w:name="_Toc2348"/>
      <w:bookmarkStart w:id="53" w:name="_Toc19945"/>
      <w:bookmarkStart w:id="54" w:name="_Toc14547"/>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7457"/>
      <w:bookmarkStart w:id="57" w:name="_Toc2231"/>
      <w:bookmarkStart w:id="58" w:name="_Toc30571"/>
      <w:bookmarkStart w:id="59" w:name="_Toc30156"/>
      <w:bookmarkStart w:id="60" w:name="_Toc11398"/>
      <w:bookmarkStart w:id="61" w:name="_Toc29954"/>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pPr>
        <w:kinsoku/>
        <w:spacing w:line="360" w:lineRule="auto"/>
        <w:ind w:firstLine="482" w:firstLineChars="200"/>
        <w:outlineLvl w:val="0"/>
        <w:rPr>
          <w:rFonts w:hint="eastAsia" w:ascii="宋体" w:hAnsi="宋体" w:eastAsia="宋体" w:cs="宋体"/>
          <w:b/>
          <w:bCs/>
          <w:sz w:val="24"/>
          <w:szCs w:val="24"/>
        </w:rPr>
      </w:pPr>
      <w:bookmarkStart w:id="62" w:name="_Toc23458"/>
      <w:bookmarkStart w:id="63" w:name="_Toc18677"/>
      <w:bookmarkStart w:id="64" w:name="_Toc29111"/>
      <w:bookmarkStart w:id="65" w:name="_Toc14760"/>
      <w:bookmarkStart w:id="66" w:name="_Toc8"/>
      <w:r>
        <w:rPr>
          <w:rFonts w:hint="eastAsia" w:ascii="宋体" w:hAnsi="宋体" w:eastAsia="宋体" w:cs="宋体"/>
          <w:b/>
          <w:bCs/>
          <w:sz w:val="24"/>
          <w:szCs w:val="24"/>
        </w:rPr>
        <w:t>四、开标、评标、定标</w:t>
      </w:r>
      <w:bookmarkEnd w:id="62"/>
      <w:bookmarkEnd w:id="63"/>
      <w:bookmarkEnd w:id="64"/>
      <w:bookmarkEnd w:id="65"/>
      <w:bookmarkEnd w:id="66"/>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3331"/>
      <w:bookmarkStart w:id="68" w:name="_Toc29386"/>
      <w:bookmarkStart w:id="69" w:name="_Toc20255"/>
      <w:bookmarkStart w:id="70" w:name="_Toc998"/>
      <w:bookmarkStart w:id="71" w:name="_Toc31780"/>
      <w:bookmarkStart w:id="72" w:name="_Toc569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6426"/>
      <w:bookmarkStart w:id="74" w:name="_Toc14086"/>
      <w:bookmarkStart w:id="75" w:name="_Toc26371"/>
      <w:bookmarkStart w:id="76" w:name="_Toc18886"/>
      <w:bookmarkStart w:id="77" w:name="_Toc12"/>
      <w:bookmarkStart w:id="78" w:name="_Toc24129"/>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pPr>
        <w:kinsoku/>
        <w:spacing w:line="360" w:lineRule="auto"/>
        <w:ind w:firstLine="482" w:firstLineChars="200"/>
        <w:outlineLvl w:val="0"/>
        <w:rPr>
          <w:rFonts w:hint="eastAsia" w:ascii="宋体" w:hAnsi="宋体" w:eastAsia="宋体" w:cs="宋体"/>
          <w:b/>
          <w:bCs/>
          <w:sz w:val="24"/>
          <w:szCs w:val="24"/>
        </w:rPr>
      </w:pPr>
      <w:bookmarkStart w:id="79" w:name="_Toc29662"/>
      <w:bookmarkStart w:id="80" w:name="_Toc6326"/>
      <w:bookmarkStart w:id="81" w:name="_Toc32748"/>
      <w:bookmarkStart w:id="82" w:name="_Toc2586"/>
      <w:bookmarkStart w:id="83" w:name="_Toc25649"/>
      <w:r>
        <w:rPr>
          <w:rFonts w:hint="eastAsia" w:ascii="宋体" w:hAnsi="宋体" w:eastAsia="宋体" w:cs="宋体"/>
          <w:b/>
          <w:bCs/>
          <w:sz w:val="24"/>
          <w:szCs w:val="24"/>
        </w:rPr>
        <w:t>五、纪律要求</w:t>
      </w:r>
      <w:bookmarkEnd w:id="79"/>
      <w:bookmarkEnd w:id="80"/>
      <w:bookmarkEnd w:id="81"/>
      <w:bookmarkEnd w:id="82"/>
      <w:bookmarkEnd w:id="83"/>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pPr>
        <w:kinsoku/>
        <w:spacing w:line="360" w:lineRule="auto"/>
        <w:ind w:firstLine="482" w:firstLineChars="200"/>
        <w:outlineLvl w:val="0"/>
        <w:rPr>
          <w:rFonts w:hint="eastAsia" w:ascii="宋体" w:hAnsi="宋体" w:eastAsia="宋体" w:cs="宋体"/>
          <w:b/>
          <w:bCs/>
          <w:sz w:val="24"/>
          <w:szCs w:val="24"/>
        </w:rPr>
      </w:pPr>
      <w:bookmarkStart w:id="84" w:name="_Toc23438"/>
      <w:bookmarkStart w:id="85" w:name="_Toc9588"/>
      <w:bookmarkStart w:id="86" w:name="_Toc3302"/>
      <w:bookmarkStart w:id="87" w:name="_Toc11099"/>
      <w:bookmarkStart w:id="88" w:name="_Toc7771"/>
      <w:r>
        <w:rPr>
          <w:rFonts w:hint="eastAsia" w:ascii="宋体" w:hAnsi="宋体" w:eastAsia="宋体" w:cs="宋体"/>
          <w:b/>
          <w:bCs/>
          <w:sz w:val="24"/>
          <w:szCs w:val="24"/>
        </w:rPr>
        <w:t>六、其他</w:t>
      </w:r>
      <w:bookmarkEnd w:id="84"/>
      <w:bookmarkEnd w:id="85"/>
      <w:bookmarkEnd w:id="86"/>
      <w:bookmarkEnd w:id="87"/>
      <w:bookmarkEnd w:id="88"/>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035"/>
      <w:bookmarkStart w:id="90" w:name="_Toc14207"/>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pPr>
        <w:pStyle w:val="23"/>
        <w:rPr>
          <w:rFonts w:hint="eastAsia" w:ascii="宋体" w:hAnsi="宋体" w:eastAsia="宋体" w:cs="宋体"/>
          <w:color w:val="auto"/>
          <w:sz w:val="24"/>
          <w:highlight w:val="none"/>
        </w:rPr>
      </w:pPr>
    </w:p>
    <w:p>
      <w:pPr>
        <w:pStyle w:val="23"/>
        <w:rPr>
          <w:rFonts w:hint="eastAsia" w:ascii="宋体" w:hAnsi="宋体" w:eastAsia="宋体" w:cs="宋体"/>
          <w:color w:val="auto"/>
          <w:sz w:val="24"/>
          <w:highlight w:val="none"/>
        </w:rPr>
      </w:pPr>
    </w:p>
    <w:p>
      <w:pPr>
        <w:ind w:firstLine="458" w:firstLineChars="200"/>
        <w:rPr>
          <w:rFonts w:hint="eastAsia" w:ascii="宋体" w:hAnsi="宋体" w:eastAsia="宋体" w:cs="宋体"/>
          <w:b/>
          <w:bCs/>
          <w:color w:val="auto"/>
          <w:spacing w:val="-6"/>
          <w:sz w:val="24"/>
          <w:highlight w:val="none"/>
          <w:lang w:eastAsia="zh-CN"/>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3537"/>
      <w:bookmarkStart w:id="94"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pPr>
        <w:spacing w:line="360" w:lineRule="auto"/>
        <w:jc w:val="both"/>
        <w:rPr>
          <w:rFonts w:hint="eastAsia" w:ascii="宋体" w:hAnsi="宋体" w:eastAsia="宋体" w:cs="宋体"/>
          <w:b/>
          <w:bCs/>
          <w:sz w:val="24"/>
        </w:rPr>
      </w:pP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szCs w:val="24"/>
              </w:rPr>
            </w:pPr>
          </w:p>
        </w:tc>
      </w:tr>
    </w:tbl>
    <w:p>
      <w:pPr>
        <w:pStyle w:val="15"/>
        <w:ind w:left="0" w:leftChars="0" w:firstLine="0" w:firstLineChars="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中标候选人。如果出现并列得分最高，则确定价格较低者排名在前；价格投标仍相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7216"/>
      <w:bookmarkStart w:id="96" w:name="_Toc12820"/>
      <w:bookmarkStart w:id="97"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pPr>
        <w:pStyle w:val="6"/>
        <w:spacing w:line="360" w:lineRule="auto"/>
        <w:rPr>
          <w:rFonts w:hint="eastAsia" w:ascii="宋体" w:hAnsi="宋体" w:eastAsia="宋体" w:cs="宋体"/>
        </w:rPr>
      </w:pPr>
      <w:r>
        <w:rPr>
          <w:rFonts w:hint="eastAsia" w:ascii="宋体" w:hAnsi="宋体" w:eastAsia="宋体" w:cs="宋体"/>
        </w:rPr>
        <w:t>投标人应满足以下要求：</w:t>
      </w:r>
    </w:p>
    <w:p>
      <w:pPr>
        <w:pStyle w:val="6"/>
        <w:spacing w:line="360" w:lineRule="auto"/>
        <w:rPr>
          <w:rFonts w:hint="eastAsia" w:ascii="宋体" w:hAnsi="宋体" w:eastAsia="宋体" w:cs="宋体"/>
          <w:lang w:val="en-US" w:eastAsia="zh-CN"/>
        </w:rPr>
      </w:pPr>
      <w:r>
        <w:rPr>
          <w:rFonts w:hint="eastAsia" w:cs="宋体"/>
          <w:lang w:val="en-US" w:eastAsia="zh-CN"/>
        </w:rPr>
        <w:t xml:space="preserve">水性光油 </w:t>
      </w:r>
      <w:r>
        <w:rPr>
          <w:rFonts w:hint="eastAsia" w:ascii="宋体" w:hAnsi="宋体" w:eastAsia="宋体" w:cs="宋体"/>
          <w:lang w:val="en-US" w:eastAsia="zh-CN"/>
        </w:rPr>
        <w:t>理化指标：</w:t>
      </w:r>
    </w:p>
    <w:p>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21"/>
        <w:tblpPr w:leftFromText="180" w:rightFromText="180" w:vertAnchor="text" w:horzAnchor="margin" w:tblpXSpec="center" w:tblpY="75"/>
        <w:tblOverlap w:val="never"/>
        <w:tblW w:w="91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05"/>
        <w:gridCol w:w="583"/>
        <w:gridCol w:w="2190"/>
        <w:gridCol w:w="2055"/>
        <w:gridCol w:w="2010"/>
        <w:gridCol w:w="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2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0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583" w:type="dxa"/>
            <w:tcBorders>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6255" w:type="dxa"/>
            <w:gridSpan w:val="3"/>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55"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28"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05"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水性光油</w:t>
            </w:r>
          </w:p>
        </w:tc>
        <w:tc>
          <w:tcPr>
            <w:tcW w:w="583" w:type="dxa"/>
            <w:vMerge w:val="restart"/>
            <w:tcBorders>
              <w:right w:val="single" w:color="auto" w:sz="4" w:space="0"/>
            </w:tcBorders>
            <w:vAlign w:val="center"/>
          </w:tcPr>
          <w:p>
            <w:pPr>
              <w:pStyle w:val="15"/>
              <w:ind w:left="0" w:leftChars="0" w:firstLine="0" w:firstLineChars="0"/>
              <w:jc w:val="center"/>
              <w:rPr>
                <w:rFonts w:hint="default"/>
                <w:lang w:val="en-US" w:eastAsia="zh-CN"/>
              </w:rPr>
            </w:pPr>
            <w:r>
              <w:rPr>
                <w:rFonts w:hint="eastAsia"/>
                <w:lang w:val="en-US" w:eastAsia="zh-CN"/>
              </w:rPr>
              <w:t>亮光</w:t>
            </w:r>
          </w:p>
        </w:tc>
        <w:tc>
          <w:tcPr>
            <w:tcW w:w="2190"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容器中状态</w:t>
            </w:r>
          </w:p>
        </w:tc>
        <w:tc>
          <w:tcPr>
            <w:tcW w:w="2055"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无硬块，搅拌后呈均匀状态</w:t>
            </w:r>
          </w:p>
        </w:tc>
        <w:tc>
          <w:tcPr>
            <w:tcW w:w="2010" w:type="dxa"/>
            <w:tcBorders>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GBIT4847.4.4.2</w:t>
            </w:r>
          </w:p>
        </w:tc>
        <w:tc>
          <w:tcPr>
            <w:tcW w:w="955" w:type="dxa"/>
            <w:vMerge w:val="restart"/>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漆膜外观及颜色</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亮光</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GB/T4847.4.4.12</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粘度 /(KU，25℃)</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90-100</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9269-2009</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光泽(%，85°角)</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9754-2007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PH 值</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9724-2007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硬度/铅笔法</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1730-2007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细度(um)</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GBIT 6753.1-2007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干燥时间(表干/实干 H)</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≤2/≤24</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GBIT 1728-1979</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jc w:val="center"/>
        </w:trPr>
        <w:tc>
          <w:tcPr>
            <w:tcW w:w="628" w:type="dxa"/>
            <w:vMerge w:val="continue"/>
            <w:vAlign w:val="center"/>
          </w:tcPr>
          <w:p>
            <w:pPr>
              <w:jc w:val="center"/>
              <w:rPr>
                <w:rFonts w:hint="eastAsia" w:ascii="宋体" w:hAnsi="宋体" w:eastAsia="宋体" w:cs="宋体"/>
                <w:sz w:val="24"/>
                <w:szCs w:val="24"/>
                <w:lang w:val="en-US" w:eastAsia="zh-CN"/>
              </w:rPr>
            </w:pPr>
          </w:p>
        </w:tc>
        <w:tc>
          <w:tcPr>
            <w:tcW w:w="705" w:type="dxa"/>
            <w:vMerge w:val="continue"/>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冲击试验/&gt;CM</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01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1732-1993</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jc w:val="center"/>
        </w:trPr>
        <w:tc>
          <w:tcPr>
            <w:tcW w:w="628" w:type="dxa"/>
            <w:vMerge w:val="restart"/>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705" w:type="dxa"/>
            <w:vMerge w:val="restart"/>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水性光油</w:t>
            </w:r>
          </w:p>
        </w:tc>
        <w:tc>
          <w:tcPr>
            <w:tcW w:w="583" w:type="dxa"/>
            <w:vMerge w:val="restart"/>
            <w:tcBorders>
              <w:right w:val="single" w:color="auto" w:sz="4" w:space="0"/>
            </w:tcBorders>
            <w:shd w:val="clear" w:color="auto" w:fill="auto"/>
            <w:vAlign w:val="center"/>
          </w:tcPr>
          <w:p>
            <w:pPr>
              <w:pStyle w:val="15"/>
              <w:ind w:left="0" w:leftChars="0" w:firstLine="0" w:firstLineChars="0"/>
              <w:jc w:val="center"/>
              <w:rPr>
                <w:rFonts w:hint="default" w:ascii="Arial" w:hAnsi="Arial" w:eastAsia="Arial" w:cs="Arial"/>
                <w:snapToGrid w:val="0"/>
                <w:color w:val="000000"/>
                <w:sz w:val="21"/>
                <w:szCs w:val="21"/>
                <w:lang w:val="en-US" w:eastAsia="zh-CN" w:bidi="ar-SA"/>
              </w:rPr>
            </w:pPr>
            <w:r>
              <w:rPr>
                <w:rFonts w:hint="eastAsia"/>
                <w:lang w:val="en-US" w:eastAsia="zh-CN"/>
              </w:rPr>
              <w:t>封光</w:t>
            </w:r>
          </w:p>
        </w:tc>
        <w:tc>
          <w:tcPr>
            <w:tcW w:w="2190" w:type="dxa"/>
            <w:tcBorders>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rPr>
              <w:t>容器中状态</w:t>
            </w:r>
          </w:p>
        </w:tc>
        <w:tc>
          <w:tcPr>
            <w:tcW w:w="2055" w:type="dxa"/>
            <w:tcBorders>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无硬块，搅拌后呈均匀状态</w:t>
            </w:r>
          </w:p>
        </w:tc>
        <w:tc>
          <w:tcPr>
            <w:tcW w:w="2010" w:type="dxa"/>
            <w:tcBorders>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GBIT4847.4.4.2</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漆膜外观及颜色</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哑光</w:t>
            </w:r>
          </w:p>
        </w:tc>
        <w:tc>
          <w:tcPr>
            <w:tcW w:w="2010" w:type="dxa"/>
            <w:tcBorders>
              <w:top w:val="single" w:color="auto" w:sz="4" w:space="0"/>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GB/T4847.4.4.12</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粘度 /(KU，25℃)</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90-100</w:t>
            </w:r>
          </w:p>
        </w:tc>
        <w:tc>
          <w:tcPr>
            <w:tcW w:w="2010" w:type="dxa"/>
            <w:tcBorders>
              <w:top w:val="single" w:color="auto" w:sz="4" w:space="0"/>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9269-2009</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光泽(%，20°角)</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≥55</w:t>
            </w:r>
          </w:p>
        </w:tc>
        <w:tc>
          <w:tcPr>
            <w:tcW w:w="2010" w:type="dxa"/>
            <w:tcBorders>
              <w:top w:val="single" w:color="auto" w:sz="4" w:space="0"/>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9754-2007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PH 值</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9-10</w:t>
            </w:r>
          </w:p>
        </w:tc>
        <w:tc>
          <w:tcPr>
            <w:tcW w:w="2010" w:type="dxa"/>
            <w:tcBorders>
              <w:top w:val="single" w:color="auto" w:sz="4" w:space="0"/>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9724-2007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硬度/铅笔法</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≥B</w:t>
            </w:r>
          </w:p>
        </w:tc>
        <w:tc>
          <w:tcPr>
            <w:tcW w:w="2010" w:type="dxa"/>
            <w:tcBorders>
              <w:top w:val="single" w:color="auto" w:sz="4" w:space="0"/>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1730-2007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细度(um)</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≤25</w:t>
            </w:r>
          </w:p>
        </w:tc>
        <w:tc>
          <w:tcPr>
            <w:tcW w:w="2010" w:type="dxa"/>
            <w:tcBorders>
              <w:top w:val="single" w:color="auto" w:sz="4" w:space="0"/>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GBIT 6753.1-2007</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干燥时间(表干/实干 H)</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≤2/≤24</w:t>
            </w:r>
          </w:p>
        </w:tc>
        <w:tc>
          <w:tcPr>
            <w:tcW w:w="2010" w:type="dxa"/>
            <w:tcBorders>
              <w:top w:val="single" w:color="auto" w:sz="4" w:space="0"/>
              <w:left w:val="single" w:color="auto" w:sz="4" w:space="0"/>
              <w:bottom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GBIT 1728-1979</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jc w:val="center"/>
        </w:trPr>
        <w:tc>
          <w:tcPr>
            <w:tcW w:w="628"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705" w:type="dxa"/>
            <w:vMerge w:val="continue"/>
            <w:shd w:val="clear" w:color="auto" w:fill="auto"/>
            <w:vAlign w:val="center"/>
          </w:tcPr>
          <w:p>
            <w:pPr>
              <w:jc w:val="center"/>
              <w:rPr>
                <w:rFonts w:hint="eastAsia" w:ascii="宋体" w:hAnsi="宋体" w:eastAsia="宋体" w:cs="宋体"/>
                <w:sz w:val="24"/>
                <w:szCs w:val="24"/>
                <w:lang w:val="en-US" w:eastAsia="zh-CN"/>
              </w:rPr>
            </w:pPr>
          </w:p>
        </w:tc>
        <w:tc>
          <w:tcPr>
            <w:tcW w:w="583" w:type="dxa"/>
            <w:vMerge w:val="continue"/>
            <w:tcBorders>
              <w:right w:val="single" w:color="auto" w:sz="4" w:space="0"/>
            </w:tcBorders>
            <w:shd w:val="clear" w:color="auto" w:fill="auto"/>
            <w:vAlign w:val="center"/>
          </w:tcPr>
          <w:p>
            <w:pPr>
              <w:pStyle w:val="15"/>
              <w:ind w:left="0" w:leftChars="0" w:firstLine="0" w:firstLineChars="0"/>
              <w:jc w:val="center"/>
              <w:rPr>
                <w:rFonts w:hint="eastAsia"/>
                <w:lang w:val="en-US" w:eastAsia="zh-CN"/>
              </w:rPr>
            </w:pPr>
          </w:p>
        </w:tc>
        <w:tc>
          <w:tcPr>
            <w:tcW w:w="2190" w:type="dxa"/>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冲击试验/&gt;CM</w:t>
            </w:r>
          </w:p>
        </w:tc>
        <w:tc>
          <w:tcPr>
            <w:tcW w:w="2055" w:type="dxa"/>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≥40</w:t>
            </w:r>
          </w:p>
        </w:tc>
        <w:tc>
          <w:tcPr>
            <w:tcW w:w="2010" w:type="dxa"/>
            <w:tcBorders>
              <w:top w:val="single" w:color="auto" w:sz="4" w:space="0"/>
              <w:left w:val="single" w:color="auto" w:sz="4" w:space="0"/>
            </w:tcBorders>
            <w:shd w:val="clear" w:color="auto" w:fill="auto"/>
            <w:vAlign w:val="center"/>
          </w:tcPr>
          <w:p>
            <w:pPr>
              <w:jc w:val="left"/>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GB/T 1732-1993</w:t>
            </w:r>
          </w:p>
        </w:tc>
        <w:tc>
          <w:tcPr>
            <w:tcW w:w="955"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126" w:type="dxa"/>
            <w:gridSpan w:val="7"/>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2"/>
                <w:szCs w:val="22"/>
              </w:rPr>
              <w:t>其他独特方案请自行罗列，行数不够可自行添加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126" w:type="dxa"/>
            <w:gridSpan w:val="7"/>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b/>
                <w:sz w:val="22"/>
                <w:szCs w:val="22"/>
              </w:rPr>
              <w:t>以上所提供的参数必须真实，如实际运行过程中存在偏差，产生的费用将由投标方承担。</w:t>
            </w:r>
          </w:p>
        </w:tc>
      </w:tr>
    </w:tbl>
    <w:p>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6"/>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pPr>
        <w:spacing w:before="240" w:beforeLines="100" w:after="120" w:afterLines="50" w:line="360" w:lineRule="auto"/>
        <w:jc w:val="center"/>
        <w:outlineLvl w:val="0"/>
        <w:rPr>
          <w:rFonts w:ascii="仿宋" w:hAnsi="仿宋" w:eastAsia="仿宋" w:cs="仿宋"/>
          <w:b/>
          <w:bCs/>
          <w:sz w:val="40"/>
          <w:szCs w:val="40"/>
        </w:rPr>
      </w:pPr>
      <w:bookmarkStart w:id="98" w:name="_Toc31981"/>
      <w:bookmarkStart w:id="99" w:name="_Toc1084"/>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pPr>
        <w:pStyle w:val="31"/>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930"/>
        <w:gridCol w:w="1456"/>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lang w:val="en-US"/>
              </w:rPr>
            </w:pPr>
            <w:r>
              <w:rPr>
                <w:rFonts w:hint="eastAsia" w:ascii="仿宋" w:hAnsi="仿宋" w:eastAsia="仿宋" w:cs="仿宋"/>
                <w:sz w:val="24"/>
                <w:szCs w:val="24"/>
                <w:lang w:val="en-US" w:eastAsia="zh-CN"/>
              </w:rPr>
              <w:t>水性光油</w:t>
            </w:r>
          </w:p>
        </w:tc>
        <w:tc>
          <w:tcPr>
            <w:tcW w:w="2313" w:type="dxa"/>
            <w:tcBorders>
              <w:top w:val="single" w:color="000000" w:sz="4" w:space="0"/>
              <w:left w:val="single" w:color="000000" w:sz="4" w:space="0"/>
              <w:bottom w:val="single" w:color="000000" w:sz="4" w:space="0"/>
              <w:right w:val="single" w:color="000000" w:sz="4" w:space="0"/>
            </w:tcBorders>
            <w:noWrap w:val="0"/>
            <w:vAlign w:val="center"/>
          </w:tcPr>
          <w:p>
            <w:pPr>
              <w:pStyle w:val="15"/>
              <w:ind w:left="0" w:leftChars="0" w:firstLine="0" w:firstLineChars="0"/>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亮光</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水性光油</w:t>
            </w:r>
          </w:p>
        </w:tc>
        <w:tc>
          <w:tcPr>
            <w:tcW w:w="2313" w:type="dxa"/>
            <w:tcBorders>
              <w:top w:val="single" w:color="000000" w:sz="4" w:space="0"/>
              <w:left w:val="single" w:color="000000" w:sz="4" w:space="0"/>
              <w:bottom w:val="single" w:color="000000" w:sz="4" w:space="0"/>
              <w:right w:val="single" w:color="000000" w:sz="4" w:space="0"/>
            </w:tcBorders>
            <w:noWrap w:val="0"/>
            <w:vAlign w:val="center"/>
          </w:tcPr>
          <w:p>
            <w:pPr>
              <w:pStyle w:val="15"/>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封光</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以上货物价格为固定单价，采购货物的实际数量以</w:t>
      </w:r>
      <w:r>
        <w:rPr>
          <w:rFonts w:hint="eastAsia" w:ascii="仿宋" w:hAnsi="仿宋" w:eastAsia="仿宋" w:cs="华文仿宋"/>
          <w:color w:val="000000"/>
          <w:sz w:val="24"/>
          <w:lang w:val="en-US" w:eastAsia="zh-CN"/>
        </w:rPr>
        <w:t>最终以实际过磅重量结算。</w:t>
      </w:r>
      <w:r>
        <w:rPr>
          <w:rFonts w:hint="eastAsia" w:ascii="仿宋" w:hAnsi="仿宋" w:eastAsia="仿宋" w:cs="华文仿宋"/>
          <w:color w:val="000000"/>
          <w:sz w:val="24"/>
          <w:lang w:val="zh-CN"/>
        </w:rPr>
        <w:t>（</w:t>
      </w:r>
      <w:r>
        <w:rPr>
          <w:rFonts w:hint="eastAsia" w:ascii="仿宋" w:hAnsi="仿宋" w:eastAsia="仿宋" w:cs="华文仿宋"/>
          <w:color w:val="000000"/>
          <w:sz w:val="24"/>
        </w:rPr>
        <w:t>如采购总金额有超过5%-10％范围内需签订补充协议</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，货物价格包括产品制造、损耗、售后服务、税收｛</w:t>
      </w:r>
      <w:r>
        <w:rPr>
          <w:rFonts w:hint="eastAsia" w:ascii="仿宋" w:hAnsi="仿宋" w:eastAsia="仿宋" w:cs="仿宋"/>
          <w:color w:val="000000"/>
          <w:kern w:val="0"/>
          <w:sz w:val="24"/>
        </w:rPr>
        <w:t>乙方</w:t>
      </w:r>
      <w:r>
        <w:rPr>
          <w:rFonts w:hint="eastAsia" w:ascii="仿宋" w:hAnsi="仿宋" w:eastAsia="仿宋" w:cs="仿宋"/>
          <w:color w:val="000000"/>
          <w:kern w:val="0"/>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000000"/>
          <w:kern w:val="0"/>
          <w:sz w:val="24"/>
          <w:lang w:val="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二</w:t>
      </w:r>
      <w:r>
        <w:rPr>
          <w:rFonts w:hint="eastAsia" w:ascii="仿宋" w:hAnsi="仿宋" w:eastAsia="仿宋" w:cs="仿宋"/>
          <w:b w:val="0"/>
          <w:bCs w:val="0"/>
          <w:color w:val="000000"/>
          <w:sz w:val="24"/>
          <w:szCs w:val="24"/>
        </w:rPr>
        <w:t>、质量要求技术标准、供方对质量的条件和期限：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1、按国家标准验收。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方收货注意事项：（1）需方有化验设备的，请务必化验合格后才卸货。（2）需方若无化验设备的，请仓管和供方司机一起取样两包并双方签名封存，并在送货单上注明样板包编号并签名确认，各留一包作为产品检测的依据。若需方对产品质量有异议，应自留存样板之日起7天内向供方书面提出：否则，视为需方默认产品质量符合约定。若检测出质量问题，供方只负责按所销售产品的价值赔付，其余责任概不负责。（3）若需方既无化验又不留样，卸货后出现质量问题的，均由需方负责。</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2、若产品</w:t>
      </w:r>
      <w:r>
        <w:rPr>
          <w:rFonts w:hint="eastAsia" w:ascii="仿宋" w:hAnsi="仿宋" w:eastAsia="仿宋" w:cs="仿宋"/>
          <w:color w:val="000000"/>
          <w:kern w:val="0"/>
          <w:sz w:val="24"/>
          <w:lang w:val="en-US" w:eastAsia="zh-CN"/>
        </w:rPr>
        <w:t>经检测未达到国家标准的优等品等</w:t>
      </w:r>
      <w:r>
        <w:rPr>
          <w:rFonts w:hint="eastAsia" w:ascii="仿宋" w:hAnsi="仿宋" w:eastAsia="仿宋" w:cs="仿宋"/>
          <w:color w:val="000000"/>
          <w:kern w:val="0"/>
          <w:sz w:val="24"/>
          <w:lang w:val="zh-CN"/>
        </w:rPr>
        <w:t>质量问题，</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方无条件退货，退货的往返运费、延误工期等损失均由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三、交货方式、交货地点、履行地点、接收单位：</w:t>
      </w:r>
    </w:p>
    <w:p>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1、交货方式：由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方代办托运至指定地点，运费、</w:t>
      </w:r>
      <w:r>
        <w:rPr>
          <w:rFonts w:hint="eastAsia" w:ascii="仿宋" w:hAnsi="仿宋" w:eastAsia="仿宋" w:cs="仿宋"/>
          <w:color w:val="000000"/>
          <w:kern w:val="0"/>
          <w:sz w:val="24"/>
          <w:lang w:val="en-US" w:eastAsia="zh-CN"/>
        </w:rPr>
        <w:t>过磅</w:t>
      </w:r>
      <w:r>
        <w:rPr>
          <w:rFonts w:hint="eastAsia" w:ascii="仿宋" w:hAnsi="仿宋" w:eastAsia="仿宋" w:cs="仿宋"/>
          <w:color w:val="000000"/>
          <w:kern w:val="0"/>
          <w:sz w:val="24"/>
          <w:lang w:val="zh-CN"/>
        </w:rPr>
        <w:t>费、和运输保险等费用由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zh-CN"/>
        </w:rPr>
        <w:t>2、交货地点：福建省三明市沙县区金沙园</w:t>
      </w:r>
      <w:r>
        <w:rPr>
          <w:rFonts w:hint="eastAsia" w:ascii="仿宋" w:hAnsi="仿宋" w:eastAsia="仿宋" w:cs="仿宋"/>
          <w:color w:val="000000"/>
          <w:kern w:val="0"/>
          <w:sz w:val="24"/>
          <w:lang w:val="en-US" w:eastAsia="zh-CN"/>
        </w:rPr>
        <w:t>金富路189</w:t>
      </w:r>
      <w:r>
        <w:rPr>
          <w:rFonts w:hint="eastAsia" w:ascii="仿宋" w:hAnsi="仿宋" w:eastAsia="仿宋" w:cs="仿宋"/>
          <w:color w:val="000000"/>
          <w:kern w:val="0"/>
          <w:sz w:val="24"/>
          <w:lang w:val="zh-CN"/>
        </w:rPr>
        <w:t>号</w:t>
      </w:r>
      <w:r>
        <w:rPr>
          <w:rFonts w:hint="eastAsia" w:ascii="仿宋" w:hAnsi="仿宋" w:eastAsia="仿宋" w:cs="仿宋"/>
          <w:color w:val="000000"/>
          <w:kern w:val="0"/>
          <w:sz w:val="24"/>
          <w:lang w:val="en-US" w:eastAsia="zh-CN"/>
        </w:rPr>
        <w:t xml:space="preserve"> 。</w:t>
      </w:r>
    </w:p>
    <w:p>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3、履行地点：</w:t>
      </w:r>
      <w:r>
        <w:rPr>
          <w:rFonts w:hint="eastAsia" w:ascii="仿宋" w:hAnsi="仿宋" w:eastAsia="仿宋" w:cs="仿宋"/>
          <w:color w:val="000000"/>
          <w:kern w:val="0"/>
          <w:sz w:val="24"/>
          <w:lang w:val="en-US" w:eastAsia="zh-CN"/>
        </w:rPr>
        <w:t xml:space="preserve">福建省三明市沙县区 </w:t>
      </w:r>
      <w:r>
        <w:rPr>
          <w:rFonts w:hint="eastAsia" w:ascii="仿宋" w:hAnsi="仿宋" w:eastAsia="仿宋" w:cs="仿宋"/>
          <w:color w:val="000000"/>
          <w:kern w:val="0"/>
          <w:sz w:val="24"/>
          <w:lang w:val="zh-CN"/>
        </w:rPr>
        <w:t xml:space="preserve"> </w:t>
      </w:r>
    </w:p>
    <w:p>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highlight w:val="none"/>
          <w:lang w:val="zh-CN"/>
        </w:rPr>
        <w:t>4.供货清单：</w:t>
      </w:r>
      <w:r>
        <w:rPr>
          <w:rFonts w:hint="eastAsia" w:ascii="仿宋" w:hAnsi="仿宋" w:eastAsia="仿宋" w:cs="仿宋"/>
          <w:color w:val="000000"/>
          <w:kern w:val="0"/>
          <w:sz w:val="24"/>
          <w:highlight w:val="none"/>
          <w:lang w:val="en-US" w:eastAsia="zh-CN"/>
        </w:rPr>
        <w:t>送货单、过磅单</w:t>
      </w:r>
      <w:r>
        <w:rPr>
          <w:rFonts w:hint="eastAsia" w:ascii="仿宋" w:hAnsi="仿宋" w:eastAsia="仿宋" w:cs="仿宋"/>
          <w:color w:val="000000"/>
          <w:kern w:val="0"/>
          <w:sz w:val="24"/>
          <w:lang w:val="zh-CN"/>
        </w:rPr>
        <w:t>。</w:t>
      </w:r>
    </w:p>
    <w:p>
      <w:pPr>
        <w:keepNext w:val="0"/>
        <w:keepLines w:val="0"/>
        <w:pageBreakBefore w:val="0"/>
        <w:kinsoku/>
        <w:wordWrap/>
        <w:overflowPunct/>
        <w:topLinePunct w:val="0"/>
        <w:autoSpaceDE w:val="0"/>
        <w:autoSpaceDN w:val="0"/>
        <w:bidi w:val="0"/>
        <w:adjustRightInd w:val="0"/>
        <w:spacing w:line="420" w:lineRule="exact"/>
        <w:ind w:firstLine="480"/>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zh-CN"/>
        </w:rPr>
        <w:t>四、交货日期：</w:t>
      </w:r>
      <w:r>
        <w:rPr>
          <w:rFonts w:hint="eastAsia" w:ascii="仿宋" w:hAnsi="仿宋" w:eastAsia="仿宋" w:cs="仿宋"/>
          <w:color w:val="000000"/>
          <w:kern w:val="0"/>
          <w:sz w:val="24"/>
          <w:lang w:val="en-US" w:eastAsia="zh-CN"/>
        </w:rPr>
        <w:t>合同签订后,2天内发出。</w:t>
      </w:r>
    </w:p>
    <w:p>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五、包装标准与回收方法：满足运输及甲方要求的包装方式，乙方负责包装并承担包装费用。</w:t>
      </w:r>
    </w:p>
    <w:p>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000000"/>
          <w:kern w:val="0"/>
          <w:sz w:val="24"/>
          <w:lang w:val="en-US" w:eastAsia="zh-CN"/>
        </w:rPr>
        <w:t>送货单、过磅单</w:t>
      </w:r>
      <w:r>
        <w:rPr>
          <w:rFonts w:hint="eastAsia" w:ascii="仿宋" w:hAnsi="仿宋" w:eastAsia="仿宋" w:cs="仿宋"/>
          <w:color w:val="000000"/>
          <w:kern w:val="0"/>
          <w:sz w:val="24"/>
          <w:lang w:val="zh-CN"/>
        </w:rPr>
        <w:t>等资料。</w:t>
      </w:r>
    </w:p>
    <w:p>
      <w:pPr>
        <w:keepNext w:val="0"/>
        <w:keepLines w:val="0"/>
        <w:pageBreakBefore w:val="0"/>
        <w:kinsoku/>
        <w:wordWrap/>
        <w:overflowPunct/>
        <w:topLinePunct w:val="0"/>
        <w:autoSpaceDE w:val="0"/>
        <w:autoSpaceDN w:val="0"/>
        <w:bidi w:val="0"/>
        <w:adjustRightInd w:val="0"/>
        <w:spacing w:line="420" w:lineRule="exact"/>
        <w:ind w:left="54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验收规则</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七、结算</w:t>
      </w:r>
      <w:r>
        <w:rPr>
          <w:rFonts w:hint="eastAsia" w:ascii="仿宋" w:hAnsi="仿宋" w:eastAsia="仿宋" w:cs="仿宋"/>
          <w:color w:val="000000"/>
          <w:kern w:val="0"/>
          <w:sz w:val="24"/>
        </w:rPr>
        <w:t>条件与</w:t>
      </w:r>
      <w:r>
        <w:rPr>
          <w:rFonts w:hint="eastAsia" w:ascii="仿宋" w:hAnsi="仿宋" w:eastAsia="仿宋" w:cs="仿宋"/>
          <w:color w:val="000000"/>
          <w:kern w:val="0"/>
          <w:sz w:val="24"/>
          <w:lang w:val="zh-CN"/>
        </w:rPr>
        <w:t>方式：</w:t>
      </w:r>
    </w:p>
    <w:p>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eastAsia="zh-CN"/>
        </w:rPr>
        <w:t>、</w:t>
      </w:r>
      <w:r>
        <w:rPr>
          <w:rFonts w:hint="eastAsia" w:ascii="仿宋" w:hAnsi="仿宋" w:eastAsia="仿宋" w:cs="仿宋"/>
          <w:color w:val="000000"/>
        </w:rPr>
        <w:t>结算条件</w:t>
      </w:r>
    </w:p>
    <w:p>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color w:val="000000"/>
          <w:lang w:val="en-US" w:eastAsia="zh-CN"/>
        </w:rPr>
        <w:t>货到甲方指定工厂</w:t>
      </w:r>
      <w:r>
        <w:rPr>
          <w:rFonts w:hint="eastAsia" w:ascii="仿宋" w:hAnsi="仿宋" w:eastAsia="仿宋" w:cs="仿宋"/>
          <w:color w:val="000000"/>
        </w:rPr>
        <w:t>，要求</w:t>
      </w:r>
      <w:r>
        <w:rPr>
          <w:rFonts w:hint="eastAsia" w:ascii="仿宋" w:hAnsi="仿宋" w:eastAsia="仿宋" w:cs="仿宋"/>
          <w:color w:val="000000"/>
          <w:lang w:val="en-US" w:eastAsia="zh-CN"/>
        </w:rPr>
        <w:t>乙方提供</w:t>
      </w:r>
      <w:r>
        <w:rPr>
          <w:rFonts w:hint="eastAsia" w:ascii="仿宋" w:hAnsi="仿宋" w:eastAsia="仿宋" w:cs="仿宋"/>
          <w:color w:val="000000"/>
        </w:rPr>
        <w:t>提交下列单证和文件。</w:t>
      </w:r>
    </w:p>
    <w:p>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a.乙方开具合同等额的正式发票。</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rPr>
        <w:t>2</w:t>
      </w:r>
      <w:r>
        <w:rPr>
          <w:rFonts w:ascii="仿宋" w:hAnsi="仿宋" w:eastAsia="仿宋" w:cs="仿宋"/>
          <w:color w:val="000000"/>
          <w:sz w:val="24"/>
        </w:rPr>
        <w:t xml:space="preserve"> </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结算方式：</w:t>
      </w:r>
      <w:r>
        <w:rPr>
          <w:rFonts w:hint="eastAsia" w:ascii="仿宋" w:hAnsi="仿宋" w:eastAsia="仿宋" w:cs="仿宋"/>
          <w:color w:val="000000"/>
          <w:sz w:val="24"/>
          <w:highlight w:val="none"/>
          <w:lang w:val="en-US" w:eastAsia="zh-CN"/>
        </w:rPr>
        <w:t>货</w:t>
      </w:r>
      <w:r>
        <w:rPr>
          <w:rFonts w:hint="eastAsia" w:ascii="仿宋" w:hAnsi="仿宋" w:eastAsia="仿宋" w:cs="仿宋"/>
          <w:color w:val="000000"/>
          <w:sz w:val="24"/>
          <w:szCs w:val="24"/>
          <w:highlight w:val="none"/>
          <w:lang w:val="en-US" w:eastAsia="zh-CN"/>
        </w:rPr>
        <w:t>到付款。需方收到供方货物，验收合格后3日内需方将相应合同货款转到供方指定账号，供方收到货款后提供相应发票。</w:t>
      </w:r>
    </w:p>
    <w:p>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、由于</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方开具发票不真实、不合格而引起的一切责任（包括商业责任和法律责任)和损失，由</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方承担。</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八、质量保证期：</w:t>
      </w:r>
    </w:p>
    <w:p>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1、质量保证期为：</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rPr>
        <w:t>年，从全部材料进场经签收之日起计算，在质保期内出现问题，乙方必须免费予以退换。</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九、产品交接：</w:t>
      </w:r>
    </w:p>
    <w:p>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甲方根据产品交接清单清点数量，检查产品外观质量。数量清点当场验收，质量验收以检测结果为准，</w:t>
      </w:r>
      <w:r>
        <w:rPr>
          <w:rFonts w:hint="eastAsia" w:ascii="仿宋" w:hAnsi="仿宋" w:eastAsia="仿宋" w:cs="仿宋"/>
          <w:b w:val="0"/>
          <w:bCs w:val="0"/>
          <w:color w:val="000000"/>
          <w:kern w:val="0"/>
          <w:sz w:val="24"/>
          <w:szCs w:val="24"/>
          <w:lang w:val="en-US" w:eastAsia="zh-CN" w:bidi="ar"/>
        </w:rPr>
        <w:t>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肆</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叁</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pPr>
        <w:pStyle w:val="15"/>
        <w:spacing w:line="240" w:lineRule="auto"/>
        <w:ind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pPr>
        <w:shd w:val="clear" w:color="auto" w:fill="FFFFFF"/>
        <w:adjustRightInd w:val="0"/>
        <w:snapToGrid w:val="0"/>
        <w:spacing w:line="240" w:lineRule="auto"/>
        <w:rPr>
          <w:rFonts w:ascii="仿宋" w:hAnsi="仿宋" w:eastAsia="仿宋"/>
          <w:sz w:val="24"/>
          <w:szCs w:val="24"/>
        </w:rPr>
      </w:pPr>
    </w:p>
    <w:p>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Y2I3NGJkYjFkMmI3NjNlNzYzMTljYmE0ZmFkMjA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D75BB1"/>
    <w:rsid w:val="0C97306B"/>
    <w:rsid w:val="0C9E047D"/>
    <w:rsid w:val="0D3C1DC3"/>
    <w:rsid w:val="0E0137ED"/>
    <w:rsid w:val="0F184516"/>
    <w:rsid w:val="0F66217A"/>
    <w:rsid w:val="10F82212"/>
    <w:rsid w:val="12E6250F"/>
    <w:rsid w:val="13C95DDF"/>
    <w:rsid w:val="13DD4624"/>
    <w:rsid w:val="143516C6"/>
    <w:rsid w:val="1441006B"/>
    <w:rsid w:val="144D10FA"/>
    <w:rsid w:val="14B608C1"/>
    <w:rsid w:val="15142E72"/>
    <w:rsid w:val="15BE749A"/>
    <w:rsid w:val="187A6CED"/>
    <w:rsid w:val="19416EE3"/>
    <w:rsid w:val="19E54C84"/>
    <w:rsid w:val="1A2B2E16"/>
    <w:rsid w:val="1A584361"/>
    <w:rsid w:val="1CA53035"/>
    <w:rsid w:val="1CB72E06"/>
    <w:rsid w:val="1D406077"/>
    <w:rsid w:val="1F9B0ADF"/>
    <w:rsid w:val="1F9C44B8"/>
    <w:rsid w:val="1FC00470"/>
    <w:rsid w:val="213B2D65"/>
    <w:rsid w:val="21B97B04"/>
    <w:rsid w:val="22161631"/>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EA636D0"/>
    <w:rsid w:val="2F8512FC"/>
    <w:rsid w:val="302A1EA4"/>
    <w:rsid w:val="30943860"/>
    <w:rsid w:val="374B4BD9"/>
    <w:rsid w:val="38557A9F"/>
    <w:rsid w:val="38970585"/>
    <w:rsid w:val="3A4A73CA"/>
    <w:rsid w:val="3C440F6E"/>
    <w:rsid w:val="3DCC7449"/>
    <w:rsid w:val="3DE83A67"/>
    <w:rsid w:val="42BD2F8E"/>
    <w:rsid w:val="435B1499"/>
    <w:rsid w:val="440A6827"/>
    <w:rsid w:val="45976840"/>
    <w:rsid w:val="47100713"/>
    <w:rsid w:val="474C1085"/>
    <w:rsid w:val="474C1DDB"/>
    <w:rsid w:val="48B325A9"/>
    <w:rsid w:val="49203109"/>
    <w:rsid w:val="4A7A55DF"/>
    <w:rsid w:val="4ABB39CC"/>
    <w:rsid w:val="4B5E45B8"/>
    <w:rsid w:val="4BF71DFE"/>
    <w:rsid w:val="4C0E5B77"/>
    <w:rsid w:val="4C25253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8324C4B"/>
    <w:rsid w:val="589F2DDF"/>
    <w:rsid w:val="5A13454B"/>
    <w:rsid w:val="5D2574A1"/>
    <w:rsid w:val="5D294756"/>
    <w:rsid w:val="5DC2080A"/>
    <w:rsid w:val="5F6B1E45"/>
    <w:rsid w:val="5FC078B7"/>
    <w:rsid w:val="62951F99"/>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A44989"/>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6"/>
    <w:autoRedefine/>
    <w:qFormat/>
    <w:uiPriority w:val="0"/>
    <w:rPr>
      <w:b/>
      <w:bCs/>
    </w:rPr>
  </w:style>
  <w:style w:type="paragraph" w:styleId="15">
    <w:name w:val="Body Text First Indent 2"/>
    <w:basedOn w:val="7"/>
    <w:autoRedefine/>
    <w:qFormat/>
    <w:uiPriority w:val="0"/>
    <w:pPr>
      <w:ind w:firstLine="420" w:firstLineChars="200"/>
    </w:p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4"/>
    <w:autoRedefine/>
    <w:qFormat/>
    <w:uiPriority w:val="0"/>
    <w:rPr>
      <w:rFonts w:ascii="Arial" w:hAnsi="Arial" w:eastAsia="Arial" w:cs="Arial"/>
      <w:snapToGrid w:val="0"/>
      <w:color w:val="000000"/>
      <w:sz w:val="21"/>
      <w:szCs w:val="21"/>
    </w:rPr>
  </w:style>
  <w:style w:type="character" w:customStyle="1" w:styleId="26">
    <w:name w:val="批注主题 字符"/>
    <w:basedOn w:val="25"/>
    <w:link w:val="14"/>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2"/>
    <w:autoRedefine/>
    <w:qFormat/>
    <w:uiPriority w:val="0"/>
    <w:rPr>
      <w:rFonts w:ascii="Arial" w:hAnsi="Arial" w:eastAsia="Arial" w:cs="Arial"/>
      <w:b/>
      <w:bCs/>
      <w:snapToGrid w:val="0"/>
      <w:color w:val="000000"/>
      <w:kern w:val="44"/>
      <w:sz w:val="44"/>
      <w:szCs w:val="44"/>
    </w:rPr>
  </w:style>
  <w:style w:type="paragraph" w:customStyle="1" w:styleId="29">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1"/>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7672</Words>
  <Characters>8411</Characters>
  <Lines>28</Lines>
  <Paragraphs>7</Paragraphs>
  <TotalTime>11</TotalTime>
  <ScaleCrop>false</ScaleCrop>
  <LinksUpToDate>false</LinksUpToDate>
  <CharactersWithSpaces>8697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李浩东</cp:lastModifiedBy>
  <cp:lastPrinted>2024-09-09T08:00:00Z</cp:lastPrinted>
  <dcterms:modified xsi:type="dcterms:W3CDTF">2024-09-10T02:44:30Z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65AF48A9333A465F89500EB3DF218B05_13</vt:lpwstr>
  </property>
</Properties>
</file>