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8" w:lineRule="auto"/>
        <w:rPr>
          <w:rFonts w:hint="eastAsia" w:ascii="宋体" w:hAnsi="宋体" w:eastAsia="宋体" w:cs="宋体"/>
        </w:rPr>
      </w:pPr>
      <w:bookmarkStart w:id="0" w:name="_Toc27807"/>
      <w:bookmarkStart w:id="1" w:name="_Toc14049"/>
    </w:p>
    <w:p>
      <w:pPr>
        <w:spacing w:line="278" w:lineRule="auto"/>
        <w:rPr>
          <w:rFonts w:hint="eastAsia" w:ascii="宋体" w:hAnsi="宋体" w:eastAsia="宋体" w:cs="宋体"/>
        </w:rPr>
      </w:pPr>
    </w:p>
    <w:p>
      <w:pPr>
        <w:tabs>
          <w:tab w:val="left" w:pos="5882"/>
        </w:tabs>
        <w:spacing w:before="169" w:line="185" w:lineRule="auto"/>
        <w:jc w:val="center"/>
        <w:outlineLvl w:val="0"/>
        <w:rPr>
          <w:rFonts w:hint="eastAsia" w:ascii="宋体" w:hAnsi="宋体" w:eastAsia="宋体" w:cs="宋体"/>
          <w:color w:val="auto"/>
          <w:sz w:val="52"/>
          <w:szCs w:val="52"/>
          <w:u w:val="single"/>
          <w:lang w:val="en-US" w:eastAsia="zh-CN"/>
        </w:rPr>
      </w:pPr>
      <w:bookmarkStart w:id="2" w:name="_Toc11471"/>
      <w:bookmarkStart w:id="3" w:name="_Toc16784"/>
    </w:p>
    <w:p>
      <w:pPr>
        <w:tabs>
          <w:tab w:val="left" w:pos="5882"/>
        </w:tabs>
        <w:spacing w:before="169" w:line="185" w:lineRule="auto"/>
        <w:jc w:val="center"/>
        <w:outlineLvl w:val="0"/>
        <w:rPr>
          <w:rFonts w:hint="eastAsia" w:ascii="宋体" w:hAnsi="宋体" w:eastAsia="宋体" w:cs="宋体"/>
          <w:spacing w:val="-3"/>
          <w:sz w:val="52"/>
          <w:szCs w:val="52"/>
        </w:rPr>
      </w:pPr>
      <w:r>
        <w:rPr>
          <w:rFonts w:hint="eastAsia" w:ascii="宋体" w:hAnsi="宋体" w:eastAsia="宋体" w:cs="宋体"/>
          <w:color w:val="auto"/>
          <w:sz w:val="52"/>
          <w:szCs w:val="52"/>
          <w:u w:val="single"/>
          <w:lang w:val="en-US" w:eastAsia="zh-CN"/>
        </w:rPr>
        <w:t>ABS破碎料</w:t>
      </w:r>
      <w:r>
        <w:rPr>
          <w:rFonts w:hint="eastAsia" w:ascii="宋体" w:hAnsi="宋体" w:eastAsia="宋体" w:cs="宋体"/>
          <w:spacing w:val="-3"/>
          <w:sz w:val="52"/>
          <w:szCs w:val="52"/>
        </w:rPr>
        <w:t>采购项目</w:t>
      </w:r>
      <w:bookmarkEnd w:id="2"/>
      <w:bookmarkEnd w:id="3"/>
    </w:p>
    <w:p>
      <w:pPr>
        <w:tabs>
          <w:tab w:val="left" w:pos="5882"/>
        </w:tabs>
        <w:spacing w:before="169" w:line="185" w:lineRule="auto"/>
        <w:ind w:firstLine="1040"/>
        <w:jc w:val="center"/>
        <w:outlineLvl w:val="0"/>
        <w:rPr>
          <w:rFonts w:hint="eastAsia" w:ascii="宋体" w:hAnsi="宋体" w:eastAsia="宋体" w:cs="宋体"/>
          <w:spacing w:val="-3"/>
          <w:sz w:val="52"/>
          <w:szCs w:val="52"/>
        </w:rPr>
      </w:pP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8" w:lineRule="auto"/>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b w:val="0"/>
          <w:bCs w:val="0"/>
          <w:sz w:val="52"/>
          <w:szCs w:val="52"/>
          <w:highlight w:val="none"/>
          <w:lang w:eastAsia="zh-CN"/>
        </w:rPr>
        <w:t>HXZB2024</w:t>
      </w:r>
      <w:r>
        <w:rPr>
          <w:rFonts w:hint="eastAsia" w:ascii="宋体" w:hAnsi="宋体" w:eastAsia="宋体" w:cs="宋体"/>
          <w:b w:val="0"/>
          <w:bCs w:val="0"/>
          <w:sz w:val="52"/>
          <w:szCs w:val="52"/>
          <w:highlight w:val="none"/>
          <w:lang w:val="en-US" w:eastAsia="zh-CN"/>
        </w:rPr>
        <w:t>0905</w:t>
      </w:r>
      <w:r>
        <w:rPr>
          <w:rFonts w:hint="eastAsia" w:ascii="宋体" w:hAnsi="宋体" w:eastAsia="宋体" w:cs="宋体"/>
          <w:b w:val="0"/>
          <w:bCs w:val="0"/>
          <w:sz w:val="52"/>
          <w:szCs w:val="52"/>
          <w:highlight w:val="none"/>
          <w:lang w:eastAsia="zh-CN"/>
        </w:rPr>
        <w:t>01</w:t>
      </w:r>
    </w:p>
    <w:p>
      <w:pPr>
        <w:spacing w:line="248" w:lineRule="auto"/>
        <w:rPr>
          <w:rFonts w:hint="eastAsia" w:ascii="宋体" w:hAnsi="宋体" w:eastAsia="宋体" w:cs="宋体"/>
        </w:rPr>
      </w:pPr>
    </w:p>
    <w:p>
      <w:pPr>
        <w:spacing w:line="248" w:lineRule="auto"/>
        <w:rPr>
          <w:rFonts w:hint="eastAsia" w:ascii="宋体" w:hAnsi="宋体" w:eastAsia="宋体" w:cs="宋体"/>
        </w:rPr>
      </w:pPr>
    </w:p>
    <w:p>
      <w:pPr>
        <w:spacing w:line="249" w:lineRule="auto"/>
        <w:rPr>
          <w:rFonts w:hint="eastAsia" w:ascii="宋体" w:hAnsi="宋体" w:eastAsia="宋体" w:cs="宋体"/>
        </w:rPr>
      </w:pPr>
    </w:p>
    <w:p>
      <w:pPr>
        <w:tabs>
          <w:tab w:val="left" w:pos="8063"/>
        </w:tabs>
        <w:spacing w:line="249" w:lineRule="auto"/>
        <w:rPr>
          <w:rFonts w:hint="eastAsia" w:ascii="宋体" w:hAnsi="宋体" w:eastAsia="宋体" w:cs="宋体"/>
          <w:lang w:eastAsia="zh-CN"/>
        </w:rPr>
      </w:pPr>
      <w:r>
        <w:rPr>
          <w:rFonts w:hint="eastAsia" w:ascii="宋体" w:hAnsi="宋体" w:eastAsia="宋体" w:cs="宋体"/>
          <w:lang w:eastAsia="zh-CN"/>
        </w:rPr>
        <w:tab/>
      </w:r>
    </w:p>
    <w:p>
      <w:pPr>
        <w:spacing w:before="274" w:line="185" w:lineRule="auto"/>
        <w:jc w:val="center"/>
        <w:outlineLvl w:val="0"/>
        <w:rPr>
          <w:rFonts w:hint="eastAsia" w:ascii="宋体" w:hAnsi="宋体" w:eastAsia="宋体" w:cs="宋体"/>
          <w:sz w:val="84"/>
          <w:szCs w:val="84"/>
        </w:rPr>
      </w:pPr>
      <w:bookmarkStart w:id="5" w:name="_Toc7773"/>
      <w:bookmarkStart w:id="6" w:name="_Toc13557"/>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2" w:lineRule="auto"/>
        <w:rPr>
          <w:rFonts w:hint="eastAsia" w:ascii="宋体" w:hAnsi="宋体" w:eastAsia="宋体" w:cs="宋体"/>
        </w:rPr>
      </w:pPr>
    </w:p>
    <w:p>
      <w:pPr>
        <w:spacing w:line="253" w:lineRule="auto"/>
        <w:rPr>
          <w:rFonts w:hint="eastAsia" w:ascii="宋体" w:hAnsi="宋体" w:eastAsia="宋体" w:cs="宋体"/>
        </w:rPr>
      </w:pPr>
    </w:p>
    <w:p>
      <w:pPr>
        <w:spacing w:line="253" w:lineRule="auto"/>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spacing w:line="253" w:lineRule="auto"/>
        <w:rPr>
          <w:rFonts w:hint="eastAsia" w:ascii="宋体" w:hAnsi="宋体" w:eastAsia="宋体" w:cs="宋体"/>
        </w:rPr>
      </w:pPr>
    </w:p>
    <w:p>
      <w:pPr>
        <w:spacing w:line="253" w:lineRule="auto"/>
        <w:rPr>
          <w:rFonts w:hint="eastAsia" w:ascii="宋体" w:hAnsi="宋体" w:eastAsia="宋体" w:cs="宋体"/>
        </w:rPr>
      </w:pPr>
    </w:p>
    <w:p>
      <w:pPr>
        <w:spacing w:before="104" w:line="188" w:lineRule="auto"/>
        <w:rPr>
          <w:rFonts w:hint="eastAsia" w:ascii="宋体" w:hAnsi="宋体" w:eastAsia="宋体" w:cs="宋体"/>
          <w:spacing w:val="-18"/>
          <w:sz w:val="32"/>
          <w:szCs w:val="32"/>
        </w:rPr>
      </w:pPr>
    </w:p>
    <w:p>
      <w:pPr>
        <w:spacing w:before="104" w:line="188" w:lineRule="auto"/>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pPr>
        <w:spacing w:line="409" w:lineRule="auto"/>
        <w:rPr>
          <w:rFonts w:hint="eastAsia" w:ascii="宋体" w:hAnsi="宋体" w:eastAsia="宋体" w:cs="宋体"/>
        </w:rPr>
      </w:pPr>
    </w:p>
    <w:p>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09</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06日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pPr>
            <w:pStyle w:val="13"/>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pPr>
        <w:pStyle w:val="2"/>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pPr>
        <w:tabs>
          <w:tab w:val="left" w:pos="2648"/>
        </w:tabs>
        <w:spacing w:line="360" w:lineRule="auto"/>
        <w:ind w:firstLine="2640" w:firstLineChars="1100"/>
        <w:rPr>
          <w:rFonts w:hint="eastAsia" w:ascii="宋体" w:hAnsi="宋体" w:eastAsia="宋体" w:cs="宋体"/>
          <w:sz w:val="24"/>
          <w:szCs w:val="24"/>
        </w:rPr>
      </w:pPr>
      <w:bookmarkStart w:id="12" w:name="_Hlk121147898"/>
      <w:r>
        <w:rPr>
          <w:rFonts w:hint="eastAsia" w:ascii="宋体" w:hAnsi="宋体" w:eastAsia="宋体" w:cs="宋体"/>
          <w:sz w:val="24"/>
          <w:szCs w:val="24"/>
        </w:rPr>
        <w:t>：</w:t>
      </w:r>
    </w:p>
    <w:p>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40905</w:t>
      </w:r>
      <w:r>
        <w:rPr>
          <w:rFonts w:hint="eastAsia" w:ascii="宋体" w:hAnsi="宋体" w:eastAsia="宋体" w:cs="宋体"/>
          <w:b w:val="0"/>
          <w:bCs w:val="0"/>
          <w:sz w:val="28"/>
          <w:szCs w:val="28"/>
          <w:highlight w:val="none"/>
          <w:u w:val="single"/>
        </w:rPr>
        <w:t>01</w:t>
      </w:r>
      <w:r>
        <w:rPr>
          <w:rFonts w:hint="eastAsia" w:ascii="宋体" w:hAnsi="宋体" w:eastAsia="宋体" w:cs="宋体"/>
          <w:sz w:val="24"/>
          <w:szCs w:val="24"/>
        </w:rPr>
        <w:t>，项目名称：</w:t>
      </w:r>
      <w:r>
        <w:rPr>
          <w:rFonts w:hint="eastAsia" w:ascii="宋体" w:hAnsi="宋体" w:eastAsia="宋体" w:cs="宋体"/>
          <w:color w:val="auto"/>
          <w:sz w:val="24"/>
          <w:szCs w:val="24"/>
          <w:u w:val="single"/>
          <w:lang w:val="en-US" w:eastAsia="zh-CN"/>
        </w:rPr>
        <w:t>ABS破碎料采购项目</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pPr>
        <w:pStyle w:val="27"/>
        <w:numPr>
          <w:ilvl w:val="0"/>
          <w:numId w:val="1"/>
        </w:numPr>
        <w:kinsoku/>
        <w:spacing w:line="360" w:lineRule="auto"/>
        <w:ind w:left="0" w:firstLine="480"/>
        <w:outlineLvl w:val="0"/>
        <w:rPr>
          <w:rFonts w:hint="eastAsia" w:ascii="宋体" w:hAnsi="宋体" w:eastAsia="宋体" w:cs="宋体"/>
          <w:sz w:val="24"/>
          <w:szCs w:val="24"/>
        </w:rPr>
      </w:pPr>
      <w:bookmarkStart w:id="13" w:name="_Toc30218"/>
      <w:bookmarkStart w:id="14" w:name="_Toc30525"/>
      <w:bookmarkStart w:id="15" w:name="_Toc23627"/>
      <w:bookmarkStart w:id="16" w:name="_Toc3520"/>
      <w:bookmarkStart w:id="17" w:name="_Toc3942"/>
      <w:bookmarkStart w:id="18" w:name="_Toc13304"/>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540"/>
        <w:gridCol w:w="1872"/>
        <w:gridCol w:w="1668"/>
        <w:gridCol w:w="996"/>
        <w:gridCol w:w="936"/>
        <w:gridCol w:w="1404"/>
        <w:gridCol w:w="12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40"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872" w:type="dxa"/>
            <w:tcBorders>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1668" w:type="dxa"/>
            <w:tcBorders>
              <w:lef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996" w:type="dxa"/>
            <w:tcBorders>
              <w:lef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0"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ABS破碎料</w:t>
            </w:r>
          </w:p>
        </w:tc>
        <w:tc>
          <w:tcPr>
            <w:tcW w:w="1872" w:type="dxa"/>
            <w:tcBorders>
              <w:right w:val="single" w:color="auto" w:sz="4" w:space="0"/>
            </w:tcBorders>
            <w:vAlign w:val="center"/>
          </w:tcPr>
          <w:p>
            <w:pPr>
              <w:pStyle w:val="2"/>
              <w:ind w:left="0" w:leftChars="0" w:firstLine="0" w:firstLineChars="0"/>
              <w:jc w:val="center"/>
              <w:rPr>
                <w:rFonts w:hint="default"/>
                <w:lang w:val="en-US" w:eastAsia="zh-CN"/>
              </w:rPr>
            </w:pPr>
            <w:r>
              <w:rPr>
                <w:rFonts w:hint="eastAsia"/>
                <w:lang w:val="en-US" w:eastAsia="zh-CN"/>
              </w:rPr>
              <w:t>黑色料</w:t>
            </w:r>
          </w:p>
        </w:tc>
        <w:tc>
          <w:tcPr>
            <w:tcW w:w="1668" w:type="dxa"/>
            <w:tcBorders>
              <w:lef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冲击≧9</w:t>
            </w:r>
          </w:p>
        </w:tc>
        <w:tc>
          <w:tcPr>
            <w:tcW w:w="996" w:type="dxa"/>
            <w:tcBorders>
              <w:lef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93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w:t>
            </w:r>
          </w:p>
        </w:tc>
        <w:tc>
          <w:tcPr>
            <w:tcW w:w="1404" w:type="dxa"/>
            <w:vMerge w:val="restart"/>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合同签订后3天开始陆续交货</w:t>
            </w:r>
          </w:p>
        </w:tc>
        <w:tc>
          <w:tcPr>
            <w:tcW w:w="1203" w:type="dxa"/>
            <w:vMerge w:val="restart"/>
            <w:vAlign w:val="center"/>
          </w:tcPr>
          <w:p>
            <w:pPr>
              <w:jc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φ2cm以下，过盐水、色选、硅胶、静电机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2</w:t>
            </w:r>
          </w:p>
        </w:tc>
        <w:tc>
          <w:tcPr>
            <w:tcW w:w="1540" w:type="dxa"/>
            <w:shd w:val="clear" w:color="auto" w:fill="auto"/>
            <w:vAlign w:val="center"/>
          </w:tcPr>
          <w:p>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ABS破碎料</w:t>
            </w:r>
          </w:p>
        </w:tc>
        <w:tc>
          <w:tcPr>
            <w:tcW w:w="1872" w:type="dxa"/>
            <w:tcBorders>
              <w:right w:val="single" w:color="auto" w:sz="4" w:space="0"/>
            </w:tcBorders>
            <w:shd w:val="clear" w:color="auto" w:fill="auto"/>
            <w:vAlign w:val="center"/>
          </w:tcPr>
          <w:p>
            <w:pPr>
              <w:pStyle w:val="2"/>
              <w:ind w:left="0" w:leftChars="0" w:firstLine="0" w:firstLineChars="0"/>
              <w:jc w:val="center"/>
              <w:rPr>
                <w:rFonts w:hint="eastAsia" w:ascii="Arial" w:hAnsi="Arial" w:eastAsia="Arial" w:cs="Arial"/>
                <w:snapToGrid w:val="0"/>
                <w:color w:val="000000"/>
                <w:sz w:val="21"/>
                <w:szCs w:val="21"/>
                <w:lang w:val="en-US" w:eastAsia="zh-CN" w:bidi="ar-SA"/>
              </w:rPr>
            </w:pPr>
            <w:r>
              <w:rPr>
                <w:rFonts w:hint="eastAsia"/>
                <w:lang w:val="en-US" w:eastAsia="zh-CN"/>
              </w:rPr>
              <w:t>家电白</w:t>
            </w:r>
          </w:p>
        </w:tc>
        <w:tc>
          <w:tcPr>
            <w:tcW w:w="1668" w:type="dxa"/>
            <w:tcBorders>
              <w:left w:val="single" w:color="auto" w:sz="4" w:space="0"/>
            </w:tcBorders>
            <w:shd w:val="clear" w:color="auto" w:fill="auto"/>
            <w:vAlign w:val="center"/>
          </w:tcPr>
          <w:p>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冲击≧12</w:t>
            </w:r>
          </w:p>
        </w:tc>
        <w:tc>
          <w:tcPr>
            <w:tcW w:w="996" w:type="dxa"/>
            <w:tcBorders>
              <w:left w:val="single" w:color="auto" w:sz="4" w:space="0"/>
            </w:tcBorders>
            <w:shd w:val="clear" w:color="auto" w:fill="auto"/>
            <w:vAlign w:val="center"/>
          </w:tcPr>
          <w:p>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吨</w:t>
            </w:r>
          </w:p>
        </w:tc>
        <w:tc>
          <w:tcPr>
            <w:tcW w:w="936" w:type="dxa"/>
            <w:vAlign w:val="center"/>
          </w:tcPr>
          <w:p>
            <w:pPr>
              <w:jc w:val="center"/>
              <w:rPr>
                <w:rFonts w:hint="default"/>
                <w:lang w:val="en-US" w:eastAsia="zh-CN"/>
              </w:rPr>
            </w:pPr>
            <w:r>
              <w:rPr>
                <w:rFonts w:hint="eastAsia" w:ascii="宋体" w:hAnsi="宋体" w:eastAsia="宋体" w:cs="宋体"/>
                <w:sz w:val="24"/>
                <w:szCs w:val="24"/>
                <w:lang w:val="en-US" w:eastAsia="zh-CN"/>
              </w:rPr>
              <w:t>235</w:t>
            </w:r>
          </w:p>
        </w:tc>
        <w:tc>
          <w:tcPr>
            <w:tcW w:w="1404" w:type="dxa"/>
            <w:vMerge w:val="continue"/>
            <w:vAlign w:val="center"/>
          </w:tcPr>
          <w:p>
            <w:pPr>
              <w:jc w:val="center"/>
              <w:rPr>
                <w:rFonts w:hint="eastAsia" w:ascii="宋体" w:hAnsi="宋体" w:eastAsia="宋体" w:cs="宋体"/>
                <w:sz w:val="24"/>
                <w:szCs w:val="24"/>
                <w:lang w:val="en-US" w:eastAsia="zh-CN"/>
              </w:rPr>
            </w:pPr>
          </w:p>
        </w:tc>
        <w:tc>
          <w:tcPr>
            <w:tcW w:w="1203" w:type="dxa"/>
            <w:vMerge w:val="continue"/>
            <w:vAlign w:val="center"/>
          </w:tcPr>
          <w:p>
            <w:pPr>
              <w:jc w:val="center"/>
              <w:rPr>
                <w:rFonts w:hint="eastAsia"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540"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ABS破碎料</w:t>
            </w:r>
          </w:p>
        </w:tc>
        <w:tc>
          <w:tcPr>
            <w:tcW w:w="1872" w:type="dxa"/>
            <w:tcBorders>
              <w:right w:val="single" w:color="auto" w:sz="4" w:space="0"/>
            </w:tcBorders>
            <w:vAlign w:val="center"/>
          </w:tcPr>
          <w:p>
            <w:pPr>
              <w:pStyle w:val="2"/>
              <w:ind w:left="0" w:leftChars="0" w:firstLine="0" w:firstLineChars="0"/>
              <w:jc w:val="center"/>
              <w:rPr>
                <w:rFonts w:hint="default"/>
                <w:lang w:val="en-US" w:eastAsia="zh-CN"/>
              </w:rPr>
            </w:pPr>
            <w:r>
              <w:rPr>
                <w:rFonts w:hint="eastAsia"/>
                <w:lang w:val="en-US" w:eastAsia="zh-CN"/>
              </w:rPr>
              <w:t>电信灰</w:t>
            </w:r>
          </w:p>
        </w:tc>
        <w:tc>
          <w:tcPr>
            <w:tcW w:w="1668" w:type="dxa"/>
            <w:tcBorders>
              <w:lef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冲击≧16</w:t>
            </w:r>
          </w:p>
        </w:tc>
        <w:tc>
          <w:tcPr>
            <w:tcW w:w="996" w:type="dxa"/>
            <w:tcBorders>
              <w:lef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93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404" w:type="dxa"/>
            <w:vMerge w:val="continue"/>
            <w:vAlign w:val="center"/>
          </w:tcPr>
          <w:p>
            <w:pPr>
              <w:jc w:val="center"/>
              <w:rPr>
                <w:rFonts w:hint="eastAsia" w:ascii="宋体" w:hAnsi="宋体" w:eastAsia="宋体" w:cs="宋体"/>
                <w:sz w:val="24"/>
                <w:szCs w:val="24"/>
                <w:lang w:val="en-US" w:eastAsia="zh-CN"/>
              </w:rPr>
            </w:pPr>
          </w:p>
        </w:tc>
        <w:tc>
          <w:tcPr>
            <w:tcW w:w="1203" w:type="dxa"/>
            <w:vMerge w:val="continue"/>
            <w:vAlign w:val="center"/>
          </w:tcPr>
          <w:p>
            <w:pPr>
              <w:jc w:val="center"/>
              <w:rPr>
                <w:rFonts w:hint="eastAsia" w:ascii="宋体" w:hAnsi="宋体" w:eastAsia="宋体" w:cs="宋体"/>
                <w:sz w:val="24"/>
                <w:szCs w:val="24"/>
                <w:lang w:val="en-US" w:eastAsia="zh-CN"/>
              </w:rPr>
            </w:pPr>
          </w:p>
        </w:tc>
      </w:tr>
    </w:tbl>
    <w:p>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徐经理，</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rPr>
        <w:t>)</w:t>
      </w:r>
    </w:p>
    <w:p>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pPr>
        <w:pStyle w:val="27"/>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w:t>
      </w:r>
      <w:bookmarkEnd w:id="19"/>
    </w:p>
    <w:p>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w:t>
      </w:r>
    </w:p>
    <w:p>
      <w:pPr>
        <w:pStyle w:val="27"/>
        <w:numPr>
          <w:ilvl w:val="0"/>
          <w:numId w:val="1"/>
        </w:numPr>
        <w:kinsoku/>
        <w:spacing w:line="360" w:lineRule="auto"/>
        <w:ind w:left="0" w:firstLine="480"/>
        <w:outlineLvl w:val="0"/>
        <w:rPr>
          <w:rFonts w:hint="eastAsia" w:ascii="宋体" w:hAnsi="宋体" w:eastAsia="宋体" w:cs="宋体"/>
          <w:sz w:val="24"/>
          <w:szCs w:val="24"/>
        </w:rPr>
      </w:pPr>
      <w:bookmarkStart w:id="20" w:name="_Toc24591"/>
      <w:bookmarkStart w:id="21" w:name="_Toc7018"/>
      <w:bookmarkStart w:id="22" w:name="_Toc30159"/>
      <w:bookmarkStart w:id="23" w:name="_Toc9339"/>
      <w:bookmarkStart w:id="24" w:name="_Toc654"/>
      <w:bookmarkStart w:id="25" w:name="_Toc27635"/>
      <w:r>
        <w:rPr>
          <w:rFonts w:hint="eastAsia" w:ascii="宋体" w:hAnsi="宋体" w:eastAsia="宋体" w:cs="宋体"/>
          <w:sz w:val="24"/>
          <w:szCs w:val="24"/>
        </w:rPr>
        <w:t>相关要求：</w:t>
      </w:r>
      <w:bookmarkEnd w:id="20"/>
      <w:bookmarkEnd w:id="21"/>
      <w:bookmarkEnd w:id="22"/>
      <w:bookmarkEnd w:id="23"/>
      <w:bookmarkEnd w:id="24"/>
      <w:bookmarkEnd w:id="25"/>
    </w:p>
    <w:p>
      <w:pPr>
        <w:widowControl w:val="0"/>
        <w:kinsoku/>
        <w:spacing w:line="360" w:lineRule="auto"/>
        <w:ind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pPr>
        <w:pStyle w:val="2"/>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pPr>
        <w:kinsoku/>
        <w:autoSpaceDE/>
        <w:autoSpaceDN/>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7）货到、票到检验合格后7天付款，付银承。</w:t>
      </w:r>
    </w:p>
    <w:p>
      <w:pPr>
        <w:pStyle w:val="2"/>
        <w:ind w:left="0" w:leftChars="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（8）</w:t>
      </w:r>
      <w:r>
        <w:rPr>
          <w:rFonts w:hint="eastAsia" w:ascii="宋体" w:hAnsi="宋体" w:eastAsia="宋体" w:cs="宋体"/>
          <w:color w:val="auto"/>
          <w:sz w:val="24"/>
          <w:szCs w:val="24"/>
        </w:rPr>
        <w:t>投标人须对所售出的产品实行三包:即产品在正常使用情况下发生质量问题时，投标人应按使用方的要求，负责对产品实行包修、包换、包退。</w:t>
      </w:r>
    </w:p>
    <w:p>
      <w:pPr>
        <w:pStyle w:val="27"/>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pPr>
        <w:pStyle w:val="27"/>
        <w:numPr>
          <w:ilvl w:val="0"/>
          <w:numId w:val="1"/>
        </w:numPr>
        <w:kinsoku/>
        <w:spacing w:line="360" w:lineRule="auto"/>
        <w:ind w:left="0" w:firstLine="480"/>
        <w:outlineLvl w:val="0"/>
        <w:rPr>
          <w:rFonts w:hint="eastAsia" w:ascii="宋体" w:hAnsi="宋体" w:eastAsia="宋体" w:cs="宋体"/>
          <w:sz w:val="24"/>
          <w:szCs w:val="24"/>
        </w:rPr>
      </w:pPr>
      <w:bookmarkStart w:id="26" w:name="_Toc19941"/>
      <w:bookmarkStart w:id="27" w:name="_Toc21113"/>
      <w:bookmarkStart w:id="28" w:name="_Toc21790"/>
      <w:bookmarkStart w:id="29" w:name="_Toc20083"/>
      <w:bookmarkStart w:id="30" w:name="_Toc4182"/>
      <w:bookmarkStart w:id="31" w:name="_Toc30078"/>
      <w:r>
        <w:rPr>
          <w:rFonts w:hint="eastAsia" w:ascii="宋体" w:hAnsi="宋体" w:eastAsia="宋体" w:cs="宋体"/>
          <w:sz w:val="24"/>
          <w:szCs w:val="24"/>
        </w:rPr>
        <w:t>联系方式</w:t>
      </w:r>
      <w:bookmarkEnd w:id="26"/>
      <w:bookmarkEnd w:id="27"/>
      <w:bookmarkEnd w:id="28"/>
      <w:bookmarkEnd w:id="29"/>
      <w:bookmarkEnd w:id="30"/>
      <w:bookmarkEnd w:id="31"/>
    </w:p>
    <w:p>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pPr>
        <w:tabs>
          <w:tab w:val="left" w:pos="1446"/>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pPr>
        <w:spacing w:line="27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ind w:firstLine="459"/>
        <w:jc w:val="right"/>
        <w:outlineLvl w:val="0"/>
        <w:rPr>
          <w:rFonts w:hint="eastAsia" w:ascii="宋体" w:hAnsi="宋体" w:eastAsia="宋体" w:cs="宋体"/>
          <w:sz w:val="24"/>
          <w:szCs w:val="24"/>
          <w:lang w:eastAsia="zh-CN"/>
        </w:rPr>
      </w:pPr>
      <w:bookmarkStart w:id="32" w:name="_Toc19147"/>
      <w:bookmarkStart w:id="33" w:name="_Toc322"/>
      <w:bookmarkStart w:id="34" w:name="_Toc23207"/>
      <w:bookmarkStart w:id="35" w:name="_Toc20059"/>
      <w:r>
        <w:rPr>
          <w:rFonts w:hint="eastAsia" w:ascii="宋体" w:hAnsi="宋体" w:eastAsia="宋体" w:cs="宋体"/>
          <w:sz w:val="24"/>
          <w:szCs w:val="24"/>
        </w:rPr>
        <w:t>中国机械总院集团海西（福建）分院有限公司</w:t>
      </w:r>
      <w:bookmarkEnd w:id="32"/>
      <w:bookmarkEnd w:id="33"/>
      <w:bookmarkEnd w:id="34"/>
      <w:bookmarkEnd w:id="35"/>
    </w:p>
    <w:p>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09</w:t>
      </w:r>
      <w:r>
        <w:rPr>
          <w:rFonts w:hint="eastAsia" w:ascii="宋体" w:hAnsi="宋体" w:eastAsia="宋体" w:cs="宋体"/>
          <w:sz w:val="24"/>
          <w:szCs w:val="24"/>
        </w:rPr>
        <w:t>月</w:t>
      </w:r>
      <w:r>
        <w:rPr>
          <w:rFonts w:hint="eastAsia" w:ascii="宋体" w:hAnsi="宋体" w:eastAsia="宋体" w:cs="宋体"/>
          <w:sz w:val="24"/>
          <w:szCs w:val="24"/>
          <w:lang w:val="en-US" w:eastAsia="zh-CN"/>
        </w:rPr>
        <w:t>06</w:t>
      </w:r>
      <w:r>
        <w:rPr>
          <w:rFonts w:hint="eastAsia" w:ascii="宋体" w:hAnsi="宋体" w:eastAsia="宋体" w:cs="宋体"/>
          <w:sz w:val="24"/>
          <w:szCs w:val="24"/>
        </w:rPr>
        <w:t>日</w:t>
      </w:r>
    </w:p>
    <w:p>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0599"/>
      <w:bookmarkStart w:id="37" w:name="_Toc18439"/>
      <w:bookmarkStart w:id="38" w:name="_Toc2572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pPr>
        <w:pStyle w:val="27"/>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21532"/>
      <w:bookmarkStart w:id="40" w:name="_Toc9822"/>
      <w:bookmarkStart w:id="41" w:name="_Toc24156"/>
      <w:bookmarkStart w:id="42" w:name="_Toc14879"/>
      <w:bookmarkStart w:id="43" w:name="_Toc15722"/>
      <w:bookmarkStart w:id="44" w:name="_Toc5448"/>
      <w:r>
        <w:rPr>
          <w:rFonts w:hint="eastAsia" w:ascii="宋体" w:hAnsi="宋体" w:eastAsia="宋体" w:cs="宋体"/>
          <w:sz w:val="24"/>
          <w:szCs w:val="24"/>
        </w:rPr>
        <w:t>投标资格（包括但不限于）：</w:t>
      </w:r>
      <w:bookmarkEnd w:id="39"/>
      <w:bookmarkEnd w:id="40"/>
      <w:bookmarkEnd w:id="41"/>
      <w:bookmarkEnd w:id="42"/>
      <w:bookmarkEnd w:id="43"/>
      <w:bookmarkEnd w:id="44"/>
    </w:p>
    <w:p>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pPr>
        <w:kinsoku/>
        <w:spacing w:line="360" w:lineRule="auto"/>
        <w:ind w:firstLine="482" w:firstLineChars="200"/>
        <w:outlineLvl w:val="0"/>
        <w:rPr>
          <w:rFonts w:hint="eastAsia" w:ascii="宋体" w:hAnsi="宋体" w:eastAsia="宋体" w:cs="宋体"/>
          <w:b/>
          <w:bCs/>
          <w:sz w:val="24"/>
          <w:szCs w:val="24"/>
        </w:rPr>
      </w:pPr>
      <w:bookmarkStart w:id="45" w:name="_Toc15847"/>
      <w:bookmarkStart w:id="46" w:name="_Toc9930"/>
      <w:bookmarkStart w:id="47" w:name="_Toc12309"/>
      <w:bookmarkStart w:id="48" w:name="_Toc16770"/>
      <w:bookmarkStart w:id="49" w:name="_Toc23688"/>
      <w:r>
        <w:rPr>
          <w:rFonts w:hint="eastAsia" w:ascii="宋体" w:hAnsi="宋体" w:eastAsia="宋体" w:cs="宋体"/>
          <w:b/>
          <w:bCs/>
          <w:sz w:val="24"/>
          <w:szCs w:val="24"/>
        </w:rPr>
        <w:t>二、投标报价</w:t>
      </w:r>
      <w:bookmarkEnd w:id="45"/>
      <w:bookmarkEnd w:id="46"/>
      <w:bookmarkEnd w:id="47"/>
      <w:bookmarkEnd w:id="48"/>
      <w:bookmarkEnd w:id="49"/>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pPr>
        <w:kinsoku/>
        <w:spacing w:line="360" w:lineRule="auto"/>
        <w:ind w:firstLine="482" w:firstLineChars="200"/>
        <w:outlineLvl w:val="0"/>
        <w:rPr>
          <w:rFonts w:hint="eastAsia" w:ascii="宋体" w:hAnsi="宋体" w:eastAsia="宋体" w:cs="宋体"/>
          <w:b/>
          <w:bCs/>
          <w:sz w:val="24"/>
          <w:szCs w:val="24"/>
        </w:rPr>
      </w:pPr>
      <w:bookmarkStart w:id="51" w:name="_Toc14547"/>
      <w:bookmarkStart w:id="52" w:name="_Toc2348"/>
      <w:bookmarkStart w:id="53" w:name="_Toc24896"/>
      <w:bookmarkStart w:id="54" w:name="_Toc13329"/>
      <w:bookmarkStart w:id="55" w:name="_Toc19945"/>
      <w:r>
        <w:rPr>
          <w:rFonts w:hint="eastAsia" w:ascii="宋体" w:hAnsi="宋体" w:eastAsia="宋体" w:cs="宋体"/>
          <w:b/>
          <w:bCs/>
          <w:sz w:val="24"/>
          <w:szCs w:val="24"/>
        </w:rPr>
        <w:t>三、投标文件</w:t>
      </w:r>
      <w:bookmarkEnd w:id="51"/>
      <w:bookmarkEnd w:id="52"/>
      <w:bookmarkEnd w:id="53"/>
      <w:bookmarkEnd w:id="54"/>
      <w:bookmarkEnd w:id="55"/>
    </w:p>
    <w:p>
      <w:pPr>
        <w:pStyle w:val="27"/>
        <w:numPr>
          <w:ilvl w:val="0"/>
          <w:numId w:val="5"/>
        </w:numPr>
        <w:kinsoku/>
        <w:spacing w:line="360" w:lineRule="auto"/>
        <w:ind w:left="0" w:firstLine="480"/>
        <w:outlineLvl w:val="0"/>
        <w:rPr>
          <w:rFonts w:hint="eastAsia" w:ascii="宋体" w:hAnsi="宋体" w:eastAsia="宋体" w:cs="宋体"/>
          <w:sz w:val="24"/>
          <w:szCs w:val="24"/>
        </w:rPr>
      </w:pPr>
      <w:bookmarkStart w:id="56" w:name="_Toc29954"/>
      <w:bookmarkStart w:id="57" w:name="_Toc2231"/>
      <w:bookmarkStart w:id="58" w:name="_Toc7457"/>
      <w:bookmarkStart w:id="59" w:name="_Toc30156"/>
      <w:bookmarkStart w:id="60" w:name="_Toc30571"/>
      <w:bookmarkStart w:id="61" w:name="_Toc11398"/>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pPr>
        <w:kinsoku/>
        <w:spacing w:line="360" w:lineRule="auto"/>
        <w:ind w:firstLine="482" w:firstLineChars="200"/>
        <w:outlineLvl w:val="0"/>
        <w:rPr>
          <w:rFonts w:hint="eastAsia" w:ascii="宋体" w:hAnsi="宋体" w:eastAsia="宋体" w:cs="宋体"/>
          <w:b/>
          <w:bCs/>
          <w:sz w:val="24"/>
          <w:szCs w:val="24"/>
        </w:rPr>
      </w:pPr>
      <w:bookmarkStart w:id="62" w:name="_Toc29111"/>
      <w:bookmarkStart w:id="63" w:name="_Toc18677"/>
      <w:bookmarkStart w:id="64" w:name="_Toc8"/>
      <w:bookmarkStart w:id="65" w:name="_Toc14760"/>
      <w:bookmarkStart w:id="66" w:name="_Toc23458"/>
      <w:r>
        <w:rPr>
          <w:rFonts w:hint="eastAsia" w:ascii="宋体" w:hAnsi="宋体" w:eastAsia="宋体" w:cs="宋体"/>
          <w:b/>
          <w:bCs/>
          <w:sz w:val="24"/>
          <w:szCs w:val="24"/>
        </w:rPr>
        <w:t>四、开标、评标、定标</w:t>
      </w:r>
      <w:bookmarkEnd w:id="62"/>
      <w:bookmarkEnd w:id="63"/>
      <w:bookmarkEnd w:id="64"/>
      <w:bookmarkEnd w:id="65"/>
      <w:bookmarkEnd w:id="66"/>
    </w:p>
    <w:p>
      <w:pPr>
        <w:pStyle w:val="27"/>
        <w:numPr>
          <w:ilvl w:val="0"/>
          <w:numId w:val="6"/>
        </w:numPr>
        <w:kinsoku/>
        <w:spacing w:line="360" w:lineRule="auto"/>
        <w:ind w:left="0" w:firstLine="480"/>
        <w:outlineLvl w:val="0"/>
        <w:rPr>
          <w:rFonts w:hint="eastAsia" w:ascii="宋体" w:hAnsi="宋体" w:eastAsia="宋体" w:cs="宋体"/>
          <w:sz w:val="24"/>
          <w:szCs w:val="24"/>
        </w:rPr>
      </w:pPr>
      <w:bookmarkStart w:id="67" w:name="_Toc998"/>
      <w:bookmarkStart w:id="68" w:name="_Toc20255"/>
      <w:bookmarkStart w:id="69" w:name="_Toc3331"/>
      <w:bookmarkStart w:id="70" w:name="_Toc29386"/>
      <w:bookmarkStart w:id="71" w:name="_Toc31780"/>
      <w:bookmarkStart w:id="72" w:name="_Toc5695"/>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pPr>
        <w:pStyle w:val="27"/>
        <w:numPr>
          <w:ilvl w:val="0"/>
          <w:numId w:val="6"/>
        </w:numPr>
        <w:kinsoku/>
        <w:spacing w:line="360" w:lineRule="auto"/>
        <w:ind w:left="0" w:firstLine="480"/>
        <w:outlineLvl w:val="0"/>
        <w:rPr>
          <w:rFonts w:hint="eastAsia" w:ascii="宋体" w:hAnsi="宋体" w:eastAsia="宋体" w:cs="宋体"/>
          <w:sz w:val="24"/>
          <w:szCs w:val="24"/>
        </w:rPr>
      </w:pPr>
      <w:bookmarkStart w:id="73" w:name="_Toc24129"/>
      <w:bookmarkStart w:id="74" w:name="_Toc18886"/>
      <w:bookmarkStart w:id="75" w:name="_Toc6426"/>
      <w:bookmarkStart w:id="76" w:name="_Toc26371"/>
      <w:bookmarkStart w:id="77" w:name="_Toc12"/>
      <w:bookmarkStart w:id="78" w:name="_Toc14086"/>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pPr>
        <w:kinsoku/>
        <w:spacing w:line="360" w:lineRule="auto"/>
        <w:ind w:firstLine="482" w:firstLineChars="200"/>
        <w:outlineLvl w:val="0"/>
        <w:rPr>
          <w:rFonts w:hint="eastAsia" w:ascii="宋体" w:hAnsi="宋体" w:eastAsia="宋体" w:cs="宋体"/>
          <w:b/>
          <w:bCs/>
          <w:sz w:val="24"/>
          <w:szCs w:val="24"/>
        </w:rPr>
      </w:pPr>
      <w:bookmarkStart w:id="79" w:name="_Toc2586"/>
      <w:bookmarkStart w:id="80" w:name="_Toc29662"/>
      <w:bookmarkStart w:id="81" w:name="_Toc32748"/>
      <w:bookmarkStart w:id="82" w:name="_Toc25649"/>
      <w:bookmarkStart w:id="83" w:name="_Toc6326"/>
      <w:r>
        <w:rPr>
          <w:rFonts w:hint="eastAsia" w:ascii="宋体" w:hAnsi="宋体" w:eastAsia="宋体" w:cs="宋体"/>
          <w:b/>
          <w:bCs/>
          <w:sz w:val="24"/>
          <w:szCs w:val="24"/>
        </w:rPr>
        <w:t>五、纪律要求</w:t>
      </w:r>
      <w:bookmarkEnd w:id="79"/>
      <w:bookmarkEnd w:id="80"/>
      <w:bookmarkEnd w:id="81"/>
      <w:bookmarkEnd w:id="82"/>
      <w:bookmarkEnd w:id="83"/>
    </w:p>
    <w:p>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pPr>
        <w:kinsoku/>
        <w:spacing w:line="360" w:lineRule="auto"/>
        <w:ind w:firstLine="482" w:firstLineChars="200"/>
        <w:outlineLvl w:val="0"/>
        <w:rPr>
          <w:rFonts w:hint="eastAsia" w:ascii="宋体" w:hAnsi="宋体" w:eastAsia="宋体" w:cs="宋体"/>
          <w:b/>
          <w:bCs/>
          <w:sz w:val="24"/>
          <w:szCs w:val="24"/>
        </w:rPr>
      </w:pPr>
      <w:bookmarkStart w:id="84" w:name="_Toc3302"/>
      <w:bookmarkStart w:id="85" w:name="_Toc23438"/>
      <w:bookmarkStart w:id="86" w:name="_Toc7771"/>
      <w:bookmarkStart w:id="87" w:name="_Toc11099"/>
      <w:bookmarkStart w:id="88" w:name="_Toc9588"/>
      <w:r>
        <w:rPr>
          <w:rFonts w:hint="eastAsia" w:ascii="宋体" w:hAnsi="宋体" w:eastAsia="宋体" w:cs="宋体"/>
          <w:b/>
          <w:bCs/>
          <w:sz w:val="24"/>
          <w:szCs w:val="24"/>
        </w:rPr>
        <w:t>六、其他</w:t>
      </w:r>
      <w:bookmarkEnd w:id="84"/>
      <w:bookmarkEnd w:id="85"/>
      <w:bookmarkEnd w:id="86"/>
      <w:bookmarkEnd w:id="87"/>
      <w:bookmarkEnd w:id="88"/>
    </w:p>
    <w:p>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035"/>
      <w:bookmarkStart w:id="90" w:name="_Toc26223"/>
      <w:bookmarkStart w:id="91" w:name="_Toc1420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val="en-US" w:eastAsia="zh-CN"/>
        </w:rPr>
        <w:t>技术部分（20分）、报价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pPr>
        <w:pStyle w:val="23"/>
        <w:rPr>
          <w:rFonts w:hint="eastAsia" w:ascii="宋体" w:hAnsi="宋体" w:eastAsia="宋体" w:cs="宋体"/>
          <w:color w:val="auto"/>
          <w:sz w:val="24"/>
          <w:highlight w:val="none"/>
        </w:rPr>
      </w:pPr>
    </w:p>
    <w:p>
      <w:pPr>
        <w:pStyle w:val="23"/>
        <w:rPr>
          <w:rFonts w:hint="eastAsia" w:ascii="宋体" w:hAnsi="宋体" w:eastAsia="宋体" w:cs="宋体"/>
          <w:color w:val="auto"/>
          <w:sz w:val="24"/>
          <w:highlight w:val="none"/>
        </w:rPr>
      </w:pPr>
    </w:p>
    <w:p>
      <w:pPr>
        <w:ind w:firstLine="458" w:firstLineChars="200"/>
        <w:rPr>
          <w:rFonts w:hint="eastAsia" w:ascii="宋体" w:hAnsi="宋体" w:eastAsia="宋体" w:cs="宋体"/>
          <w:b/>
          <w:bCs/>
          <w:color w:val="auto"/>
          <w:spacing w:val="-6"/>
          <w:sz w:val="24"/>
          <w:highlight w:val="none"/>
          <w:lang w:eastAsia="zh-CN"/>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4784"/>
      <w:bookmarkStart w:id="93" w:name="_Toc13537"/>
      <w:bookmarkStart w:id="94" w:name="_Toc2329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关键参数：一项不响应扣3分。</w:t>
            </w:r>
          </w:p>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pPr>
        <w:spacing w:line="360" w:lineRule="auto"/>
        <w:jc w:val="both"/>
        <w:rPr>
          <w:rFonts w:hint="eastAsia" w:ascii="宋体" w:hAnsi="宋体" w:eastAsia="宋体" w:cs="宋体"/>
          <w:b/>
          <w:bCs/>
          <w:sz w:val="24"/>
        </w:rPr>
      </w:pPr>
    </w:p>
    <w:p>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hint="eastAsia" w:ascii="宋体" w:hAnsi="宋体" w:eastAsia="宋体" w:cs="宋体"/>
                <w:sz w:val="24"/>
                <w:szCs w:val="24"/>
              </w:rPr>
            </w:pPr>
          </w:p>
        </w:tc>
      </w:tr>
    </w:tbl>
    <w:p>
      <w:pPr>
        <w:pStyle w:val="2"/>
        <w:ind w:left="0" w:leftChars="0" w:firstLine="0" w:firstLineChars="0"/>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w:t>
      </w:r>
      <w:bookmarkStart w:id="101" w:name="_GoBack"/>
      <w:r>
        <w:rPr>
          <w:rFonts w:hint="eastAsia" w:ascii="宋体" w:hAnsi="宋体" w:eastAsia="宋体" w:cs="宋体"/>
          <w:color w:val="auto"/>
          <w:sz w:val="24"/>
          <w:highlight w:val="none"/>
        </w:rPr>
        <w:t>评标小组评委依据得分高低顺序依次</w:t>
      </w:r>
      <w:r>
        <w:rPr>
          <w:rFonts w:hint="eastAsia" w:ascii="宋体" w:hAnsi="宋体" w:eastAsia="宋体" w:cs="宋体"/>
          <w:color w:val="auto"/>
          <w:sz w:val="24"/>
          <w:highlight w:val="none"/>
          <w:lang w:val="en-US" w:eastAsia="zh-CN"/>
        </w:rPr>
        <w:t>最多</w:t>
      </w:r>
      <w:r>
        <w:rPr>
          <w:rFonts w:hint="eastAsia" w:ascii="宋体" w:hAnsi="宋体" w:eastAsia="宋体" w:cs="宋体"/>
          <w:color w:val="auto"/>
          <w:sz w:val="24"/>
          <w:highlight w:val="none"/>
        </w:rPr>
        <w:t>确定</w:t>
      </w:r>
      <w:r>
        <w:rPr>
          <w:rFonts w:hint="eastAsia" w:ascii="宋体" w:hAnsi="宋体" w:eastAsia="宋体" w:cs="宋体"/>
          <w:color w:val="auto"/>
          <w:sz w:val="24"/>
          <w:highlight w:val="none"/>
          <w:lang w:val="en-US" w:eastAsia="zh-CN"/>
        </w:rPr>
        <w:t>三家</w:t>
      </w:r>
      <w:r>
        <w:rPr>
          <w:rFonts w:hint="eastAsia" w:ascii="宋体" w:hAnsi="宋体" w:eastAsia="宋体" w:cs="宋体"/>
          <w:color w:val="auto"/>
          <w:sz w:val="24"/>
          <w:highlight w:val="none"/>
        </w:rPr>
        <w:t>中标候选人，评分以得分最高者作为第一中标候选人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以此类推，第一中标候选人分配本次招投标原材料约60%，第二中标候选人分配本次招投标原材料约35%，第三中标候选人分配本次招投标原材料约5%</w:t>
      </w:r>
      <w:r>
        <w:rPr>
          <w:rFonts w:hint="eastAsia" w:ascii="宋体" w:hAnsi="宋体" w:eastAsia="宋体" w:cs="宋体"/>
          <w:color w:val="auto"/>
          <w:sz w:val="24"/>
          <w:highlight w:val="none"/>
        </w:rPr>
        <w:t>。如果出现并列得分最高，则确定价格较低者排名在前；价格投标仍相</w:t>
      </w:r>
      <w:r>
        <w:rPr>
          <w:rFonts w:hint="eastAsia" w:ascii="宋体" w:hAnsi="宋体" w:eastAsia="宋体" w:cs="宋体"/>
          <w:color w:val="auto"/>
          <w:sz w:val="24"/>
          <w:highlight w:val="none"/>
          <w:lang w:val="en-US" w:eastAsia="zh-CN"/>
        </w:rPr>
        <w:t>同时则采用抽签方式现场确定中标候选人，如投标人数超过3家但不足5家，则仅确定一家中标单位。</w:t>
      </w:r>
    </w:p>
    <w:bookmarkEnd w:id="101"/>
    <w:p>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7216"/>
      <w:bookmarkStart w:id="96" w:name="_Toc12820"/>
      <w:bookmarkStart w:id="97" w:name="_Toc2019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pPr>
        <w:pStyle w:val="8"/>
        <w:spacing w:line="360" w:lineRule="auto"/>
        <w:rPr>
          <w:rFonts w:hint="eastAsia" w:ascii="宋体" w:hAnsi="宋体" w:eastAsia="宋体" w:cs="宋体"/>
        </w:rPr>
      </w:pPr>
      <w:r>
        <w:rPr>
          <w:rFonts w:hint="eastAsia" w:ascii="宋体" w:hAnsi="宋体" w:eastAsia="宋体" w:cs="宋体"/>
        </w:rPr>
        <w:t>投标人应满足以下要求：</w:t>
      </w:r>
    </w:p>
    <w:p>
      <w:pPr>
        <w:pStyle w:val="8"/>
        <w:spacing w:line="360" w:lineRule="auto"/>
        <w:rPr>
          <w:rFonts w:hint="eastAsia" w:ascii="宋体" w:hAnsi="宋体" w:eastAsia="宋体" w:cs="宋体"/>
          <w:lang w:val="en-US" w:eastAsia="zh-CN"/>
        </w:rPr>
      </w:pPr>
      <w:r>
        <w:rPr>
          <w:rFonts w:hint="eastAsia" w:cs="宋体"/>
          <w:lang w:val="en-US" w:eastAsia="zh-CN"/>
        </w:rPr>
        <w:t xml:space="preserve">ABS破碎料 </w:t>
      </w:r>
      <w:r>
        <w:rPr>
          <w:rFonts w:hint="eastAsia" w:ascii="宋体" w:hAnsi="宋体" w:eastAsia="宋体" w:cs="宋体"/>
          <w:lang w:val="en-US" w:eastAsia="zh-CN"/>
        </w:rPr>
        <w:t>理化指标：</w:t>
      </w:r>
    </w:p>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序号一：</w:t>
      </w:r>
    </w:p>
    <w:tbl>
      <w:tblPr>
        <w:tblStyle w:val="16"/>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11"/>
        <w:gridCol w:w="2161"/>
        <w:gridCol w:w="216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1" w:type="dxa"/>
            <w:noWrap w:val="0"/>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511" w:type="dxa"/>
            <w:noWrap w:val="0"/>
            <w:vAlign w:val="center"/>
          </w:tcPr>
          <w:p>
            <w:pPr>
              <w:jc w:val="center"/>
              <w:rPr>
                <w:rFonts w:hint="eastAsia" w:ascii="宋体" w:hAnsi="宋体" w:eastAsia="宋体" w:cs="宋体"/>
                <w:b/>
                <w:bCs/>
                <w:kern w:val="0"/>
                <w:sz w:val="22"/>
                <w:szCs w:val="22"/>
              </w:rPr>
            </w:pPr>
            <w:r>
              <w:rPr>
                <w:rFonts w:hint="eastAsia" w:ascii="宋体" w:hAnsi="宋体" w:eastAsia="宋体" w:cs="宋体"/>
                <w:b/>
                <w:bCs/>
                <w:sz w:val="24"/>
                <w:szCs w:val="24"/>
              </w:rPr>
              <w:t>原料名称</w:t>
            </w:r>
          </w:p>
        </w:tc>
        <w:tc>
          <w:tcPr>
            <w:tcW w:w="2161" w:type="dxa"/>
            <w:noWrap w:val="0"/>
            <w:vAlign w:val="center"/>
          </w:tcPr>
          <w:p>
            <w:pPr>
              <w:jc w:val="center"/>
              <w:rPr>
                <w:rFonts w:hint="eastAsia" w:ascii="宋体" w:hAnsi="宋体" w:eastAsia="宋体" w:cs="宋体"/>
                <w:b/>
                <w:bCs/>
                <w:kern w:val="0"/>
                <w:sz w:val="22"/>
                <w:szCs w:val="22"/>
              </w:rPr>
            </w:pPr>
            <w:r>
              <w:rPr>
                <w:rFonts w:hint="eastAsia" w:ascii="宋体" w:hAnsi="宋体" w:eastAsia="宋体" w:cs="宋体"/>
                <w:b/>
                <w:bCs/>
                <w:sz w:val="24"/>
                <w:szCs w:val="24"/>
              </w:rPr>
              <w:t>型号规格</w:t>
            </w:r>
          </w:p>
        </w:tc>
        <w:tc>
          <w:tcPr>
            <w:tcW w:w="2161" w:type="dxa"/>
            <w:noWrap w:val="0"/>
            <w:vAlign w:val="center"/>
          </w:tcPr>
          <w:p>
            <w:pPr>
              <w:jc w:val="center"/>
              <w:rPr>
                <w:rFonts w:hint="eastAsia" w:ascii="宋体" w:hAnsi="宋体" w:eastAsia="宋体" w:cs="宋体"/>
                <w:b/>
                <w:bCs/>
                <w:kern w:val="0"/>
                <w:sz w:val="22"/>
                <w:szCs w:val="22"/>
              </w:rPr>
            </w:pPr>
            <w:r>
              <w:rPr>
                <w:rFonts w:hint="eastAsia" w:ascii="宋体" w:hAnsi="宋体" w:eastAsia="宋体" w:cs="宋体"/>
                <w:b/>
                <w:bCs/>
                <w:sz w:val="24"/>
                <w:szCs w:val="24"/>
              </w:rPr>
              <w:t>技术要求</w:t>
            </w:r>
          </w:p>
        </w:tc>
        <w:tc>
          <w:tcPr>
            <w:tcW w:w="2764" w:type="dxa"/>
            <w:noWrap w:val="0"/>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511" w:type="dxa"/>
            <w:noWrap w:val="0"/>
            <w:vAlign w:val="center"/>
          </w:tcPr>
          <w:p>
            <w:pPr>
              <w:jc w:val="center"/>
              <w:rPr>
                <w:rFonts w:hint="eastAsia" w:ascii="宋体" w:hAnsi="宋体" w:eastAsia="宋体" w:cs="宋体"/>
                <w:b w:val="0"/>
                <w:color w:val="auto"/>
                <w:spacing w:val="10"/>
                <w:kern w:val="2"/>
                <w:sz w:val="22"/>
                <w:szCs w:val="22"/>
                <w:lang w:val="en-US" w:eastAsia="zh-CN"/>
              </w:rPr>
            </w:pPr>
            <w:r>
              <w:rPr>
                <w:rFonts w:hint="eastAsia" w:ascii="宋体" w:hAnsi="宋体" w:eastAsia="宋体" w:cs="宋体"/>
                <w:sz w:val="24"/>
                <w:szCs w:val="24"/>
                <w:lang w:val="en-US" w:eastAsia="zh-CN"/>
              </w:rPr>
              <w:t>ABS破碎料</w:t>
            </w:r>
          </w:p>
        </w:tc>
        <w:tc>
          <w:tcPr>
            <w:tcW w:w="2161" w:type="dxa"/>
            <w:noWrap w:val="0"/>
            <w:vAlign w:val="center"/>
          </w:tcPr>
          <w:p>
            <w:pPr>
              <w:pStyle w:val="2"/>
              <w:ind w:left="0" w:leftChars="0" w:firstLine="0" w:firstLineChars="0"/>
              <w:jc w:val="center"/>
              <w:rPr>
                <w:rFonts w:hint="eastAsia" w:ascii="宋体" w:hAnsi="宋体" w:eastAsia="宋体" w:cs="宋体"/>
                <w:kern w:val="0"/>
                <w:sz w:val="22"/>
                <w:szCs w:val="22"/>
              </w:rPr>
            </w:pPr>
            <w:r>
              <w:rPr>
                <w:rFonts w:hint="eastAsia"/>
                <w:lang w:val="en-US" w:eastAsia="zh-CN"/>
              </w:rPr>
              <w:t>黑色料</w:t>
            </w:r>
          </w:p>
        </w:tc>
        <w:tc>
          <w:tcPr>
            <w:tcW w:w="2161" w:type="dxa"/>
            <w:noWrap w:val="0"/>
            <w:vAlign w:val="center"/>
          </w:tcPr>
          <w:p>
            <w:pPr>
              <w:jc w:val="center"/>
              <w:rPr>
                <w:rFonts w:hint="eastAsia" w:ascii="宋体" w:hAnsi="宋体" w:eastAsia="宋体" w:cs="宋体"/>
                <w:kern w:val="0"/>
                <w:sz w:val="22"/>
                <w:szCs w:val="22"/>
              </w:rPr>
            </w:pPr>
            <w:r>
              <w:rPr>
                <w:rFonts w:hint="eastAsia" w:ascii="宋体" w:hAnsi="宋体" w:eastAsia="宋体" w:cs="宋体"/>
                <w:sz w:val="24"/>
                <w:szCs w:val="24"/>
                <w:lang w:val="en-US" w:eastAsia="zh-CN"/>
              </w:rPr>
              <w:t>冲击≧9</w:t>
            </w:r>
          </w:p>
        </w:tc>
        <w:tc>
          <w:tcPr>
            <w:tcW w:w="2764" w:type="dxa"/>
            <w:vMerge w:val="restart"/>
            <w:noWrap w:val="0"/>
            <w:vAlign w:val="center"/>
          </w:tcPr>
          <w:p>
            <w:pPr>
              <w:widowControl/>
              <w:jc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φ2cm以下，过盐水、色选、硅胶、静电机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511" w:type="dxa"/>
            <w:noWrap w:val="0"/>
            <w:vAlign w:val="center"/>
          </w:tcPr>
          <w:p>
            <w:pPr>
              <w:jc w:val="center"/>
              <w:rPr>
                <w:rFonts w:hint="eastAsia" w:ascii="宋体" w:hAnsi="宋体" w:eastAsia="宋体" w:cs="宋体"/>
                <w:bCs/>
                <w:kern w:val="0"/>
                <w:sz w:val="22"/>
                <w:szCs w:val="22"/>
                <w:lang w:val="en-US" w:eastAsia="zh-CN"/>
              </w:rPr>
            </w:pPr>
            <w:r>
              <w:rPr>
                <w:rFonts w:hint="eastAsia" w:ascii="宋体" w:hAnsi="宋体" w:eastAsia="宋体" w:cs="宋体"/>
                <w:sz w:val="24"/>
                <w:szCs w:val="24"/>
                <w:lang w:val="en-US" w:eastAsia="zh-CN"/>
              </w:rPr>
              <w:t>ABS破碎料</w:t>
            </w:r>
          </w:p>
        </w:tc>
        <w:tc>
          <w:tcPr>
            <w:tcW w:w="2161" w:type="dxa"/>
            <w:noWrap w:val="0"/>
            <w:vAlign w:val="center"/>
          </w:tcPr>
          <w:p>
            <w:pPr>
              <w:pStyle w:val="2"/>
              <w:ind w:left="0" w:leftChars="0" w:firstLine="0" w:firstLineChars="0"/>
              <w:jc w:val="center"/>
              <w:rPr>
                <w:rFonts w:hint="eastAsia" w:ascii="宋体" w:hAnsi="宋体" w:eastAsia="宋体" w:cs="宋体"/>
                <w:kern w:val="0"/>
                <w:sz w:val="22"/>
                <w:szCs w:val="22"/>
                <w:lang w:val="en-US" w:eastAsia="zh-CN"/>
              </w:rPr>
            </w:pPr>
            <w:r>
              <w:rPr>
                <w:rFonts w:hint="eastAsia"/>
                <w:lang w:val="en-US" w:eastAsia="zh-CN"/>
              </w:rPr>
              <w:t>家电白</w:t>
            </w:r>
          </w:p>
        </w:tc>
        <w:tc>
          <w:tcPr>
            <w:tcW w:w="2161" w:type="dxa"/>
            <w:noWrap w:val="0"/>
            <w:vAlign w:val="center"/>
          </w:tcPr>
          <w:p>
            <w:pPr>
              <w:jc w:val="center"/>
              <w:rPr>
                <w:rFonts w:hint="eastAsia" w:ascii="宋体" w:hAnsi="宋体" w:eastAsia="宋体" w:cs="宋体"/>
                <w:kern w:val="0"/>
                <w:sz w:val="22"/>
                <w:szCs w:val="22"/>
                <w:lang w:val="en-US" w:eastAsia="zh-CN"/>
              </w:rPr>
            </w:pPr>
            <w:r>
              <w:rPr>
                <w:rFonts w:hint="eastAsia" w:ascii="宋体" w:hAnsi="宋体" w:eastAsia="宋体" w:cs="宋体"/>
                <w:sz w:val="24"/>
                <w:szCs w:val="24"/>
                <w:lang w:val="en-US" w:eastAsia="zh-CN"/>
              </w:rPr>
              <w:t>冲击≧12</w:t>
            </w:r>
          </w:p>
        </w:tc>
        <w:tc>
          <w:tcPr>
            <w:tcW w:w="2764" w:type="dxa"/>
            <w:vMerge w:val="continue"/>
            <w:noWrap w:val="0"/>
            <w:vAlign w:val="center"/>
          </w:tcPr>
          <w:p>
            <w:pPr>
              <w:widowControl/>
              <w:jc w:val="center"/>
              <w:rPr>
                <w:rFonts w:hint="default" w:ascii="宋体" w:hAnsi="宋体" w:eastAsia="宋体" w:cs="宋体"/>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1" w:type="dxa"/>
            <w:noWrap w:val="0"/>
            <w:vAlign w:val="center"/>
          </w:tcPr>
          <w:p>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3</w:t>
            </w:r>
          </w:p>
        </w:tc>
        <w:tc>
          <w:tcPr>
            <w:tcW w:w="2511" w:type="dxa"/>
            <w:noWrap w:val="0"/>
            <w:vAlign w:val="center"/>
          </w:tcPr>
          <w:p>
            <w:pPr>
              <w:jc w:val="center"/>
              <w:rPr>
                <w:rFonts w:hint="eastAsia" w:ascii="宋体" w:hAnsi="宋体" w:eastAsia="宋体" w:cs="宋体"/>
                <w:bCs/>
                <w:kern w:val="0"/>
                <w:sz w:val="22"/>
                <w:szCs w:val="22"/>
              </w:rPr>
            </w:pPr>
            <w:r>
              <w:rPr>
                <w:rFonts w:hint="eastAsia" w:ascii="宋体" w:hAnsi="宋体" w:eastAsia="宋体" w:cs="宋体"/>
                <w:sz w:val="24"/>
                <w:szCs w:val="24"/>
                <w:lang w:val="en-US" w:eastAsia="zh-CN"/>
              </w:rPr>
              <w:t>ABS破碎料</w:t>
            </w:r>
          </w:p>
        </w:tc>
        <w:tc>
          <w:tcPr>
            <w:tcW w:w="2161" w:type="dxa"/>
            <w:noWrap w:val="0"/>
            <w:vAlign w:val="center"/>
          </w:tcPr>
          <w:p>
            <w:pPr>
              <w:pStyle w:val="2"/>
              <w:ind w:left="0" w:leftChars="0" w:firstLine="0" w:firstLineChars="0"/>
              <w:jc w:val="center"/>
              <w:rPr>
                <w:rFonts w:hint="eastAsia" w:ascii="宋体" w:hAnsi="宋体" w:eastAsia="宋体" w:cs="宋体"/>
                <w:kern w:val="0"/>
                <w:sz w:val="22"/>
                <w:szCs w:val="22"/>
                <w:lang w:val="en-US" w:eastAsia="zh-CN"/>
              </w:rPr>
            </w:pPr>
            <w:r>
              <w:rPr>
                <w:rFonts w:hint="eastAsia"/>
                <w:lang w:val="en-US" w:eastAsia="zh-CN"/>
              </w:rPr>
              <w:t>电信灰</w:t>
            </w:r>
          </w:p>
        </w:tc>
        <w:tc>
          <w:tcPr>
            <w:tcW w:w="2161" w:type="dxa"/>
            <w:noWrap w:val="0"/>
            <w:vAlign w:val="center"/>
          </w:tcPr>
          <w:p>
            <w:pPr>
              <w:jc w:val="center"/>
              <w:rPr>
                <w:rFonts w:hint="eastAsia" w:ascii="宋体" w:hAnsi="宋体" w:eastAsia="宋体" w:cs="宋体"/>
                <w:kern w:val="0"/>
                <w:sz w:val="22"/>
                <w:szCs w:val="22"/>
                <w:lang w:val="en-US" w:eastAsia="zh-CN"/>
              </w:rPr>
            </w:pPr>
            <w:r>
              <w:rPr>
                <w:rFonts w:hint="eastAsia" w:ascii="宋体" w:hAnsi="宋体" w:eastAsia="宋体" w:cs="宋体"/>
                <w:sz w:val="24"/>
                <w:szCs w:val="24"/>
                <w:lang w:val="en-US" w:eastAsia="zh-CN"/>
              </w:rPr>
              <w:t>冲击≧16</w:t>
            </w:r>
          </w:p>
        </w:tc>
        <w:tc>
          <w:tcPr>
            <w:tcW w:w="2764" w:type="dxa"/>
            <w:vMerge w:val="continue"/>
            <w:noWrap w:val="0"/>
            <w:vAlign w:val="center"/>
          </w:tcPr>
          <w:p>
            <w:pPr>
              <w:widowControl/>
              <w:jc w:val="center"/>
              <w:rPr>
                <w:rFonts w:hint="eastAsia" w:ascii="宋体" w:hAnsi="宋体" w:eastAsia="宋体" w:cs="宋体"/>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38" w:type="dxa"/>
            <w:gridSpan w:val="5"/>
            <w:noWrap w:val="0"/>
            <w:vAlign w:val="center"/>
          </w:tcPr>
          <w:p>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438" w:type="dxa"/>
            <w:gridSpan w:val="5"/>
            <w:noWrap w:val="0"/>
            <w:vAlign w:val="center"/>
          </w:tcPr>
          <w:p>
            <w:pPr>
              <w:adjustRightInd w:val="0"/>
              <w:snapToGrid w:val="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p>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pPr>
        <w:pStyle w:val="8"/>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pPr>
        <w:spacing w:before="240" w:beforeLines="100" w:after="120" w:afterLines="50" w:line="360" w:lineRule="auto"/>
        <w:jc w:val="center"/>
        <w:outlineLvl w:val="0"/>
        <w:rPr>
          <w:rFonts w:ascii="仿宋" w:hAnsi="仿宋" w:eastAsia="仿宋" w:cs="仿宋"/>
          <w:b/>
          <w:bCs/>
          <w:sz w:val="40"/>
          <w:szCs w:val="40"/>
        </w:rPr>
      </w:pPr>
      <w:bookmarkStart w:id="98" w:name="_Toc1084"/>
      <w:bookmarkStart w:id="99" w:name="_Toc31981"/>
      <w:bookmarkStart w:id="100" w:name="_Toc304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b/>
          <w:bCs/>
          <w:sz w:val="24"/>
          <w:szCs w:val="24"/>
          <w:lang w:eastAsia="zh-CN"/>
        </w:rPr>
      </w:pPr>
      <w:r>
        <w:rPr>
          <w:rFonts w:hint="eastAsia" w:ascii="仿宋" w:hAnsi="仿宋" w:eastAsia="仿宋" w:cs="华文仿宋"/>
          <w:sz w:val="24"/>
        </w:rPr>
        <w:t xml:space="preserve">       </w:t>
      </w:r>
      <w:r>
        <w:rPr>
          <w:rFonts w:hint="eastAsia" w:ascii="仿宋" w:hAnsi="仿宋" w:eastAsia="仿宋" w:cs="华文仿宋"/>
          <w:b/>
          <w:bCs/>
          <w:sz w:val="24"/>
        </w:rPr>
        <w:t xml:space="preserve">                                       </w:t>
      </w:r>
      <w:r>
        <w:rPr>
          <w:rFonts w:hint="eastAsia" w:ascii="仿宋" w:hAnsi="仿宋" w:eastAsia="仿宋" w:cs="华文仿宋"/>
          <w:b/>
          <w:bCs/>
          <w:sz w:val="24"/>
          <w:szCs w:val="24"/>
        </w:rPr>
        <w:t xml:space="preserve"> </w:t>
      </w:r>
      <w:r>
        <w:rPr>
          <w:rFonts w:ascii="仿宋" w:hAnsi="仿宋" w:eastAsia="仿宋" w:cs="华文仿宋"/>
          <w:b/>
          <w:bCs/>
          <w:sz w:val="24"/>
          <w:szCs w:val="24"/>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甲方</w:t>
      </w:r>
      <w:r>
        <w:rPr>
          <w:rFonts w:hint="eastAsia" w:ascii="仿宋" w:hAnsi="仿宋" w:eastAsia="仿宋" w:cs="仿宋"/>
          <w:sz w:val="24"/>
          <w:szCs w:val="24"/>
        </w:rPr>
        <w:t xml:space="preserve">）：中国机械总院集团海西（福建）分院有限公司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760" w:firstLineChars="2400"/>
        <w:textAlignment w:val="auto"/>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p>
    <w:p>
      <w:pPr>
        <w:pStyle w:val="31"/>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szCs w:val="24"/>
        </w:rPr>
        <w:t>《中华人民共和国民法典》，并经甲乙双方友好协商，就以下事项达成一致并签订本合同：</w:t>
      </w:r>
    </w:p>
    <w:p>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一、品种、型号、数量</w:t>
      </w:r>
    </w:p>
    <w:p>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ABS破碎料</w:t>
            </w:r>
          </w:p>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电信绿</w:t>
            </w:r>
          </w:p>
        </w:tc>
        <w:tc>
          <w:tcPr>
            <w:tcW w:w="2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φ2cm以下，过盐水、色选、硅胶、静电机</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不含税金额：</w:t>
            </w:r>
            <w:r>
              <w:rPr>
                <w:rFonts w:hint="eastAsia" w:ascii="仿宋" w:hAnsi="仿宋" w:eastAsia="仿宋" w:cs="仿宋"/>
                <w:i w:val="0"/>
                <w:iCs w:val="0"/>
                <w:color w:val="000000"/>
                <w:kern w:val="0"/>
                <w:sz w:val="24"/>
                <w:szCs w:val="24"/>
                <w:u w:val="none"/>
                <w:lang w:val="en-US" w:eastAsia="zh-CN" w:bidi="ar"/>
              </w:rPr>
              <w:t>￥         .00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snapToGrid/>
              <w:spacing w:line="24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C</w:t>
      </w:r>
      <w:r>
        <w:rPr>
          <w:rFonts w:hint="eastAsia" w:ascii="仿宋" w:hAnsi="仿宋" w:eastAsia="仿宋" w:cs="仿宋"/>
          <w:color w:val="auto"/>
          <w:kern w:val="0"/>
          <w:sz w:val="24"/>
          <w:szCs w:val="24"/>
          <w:highlight w:val="none"/>
          <w:lang w:val="zh-CN"/>
        </w:rPr>
        <w:t>（A、国家标准；B、行业标准；C、</w:t>
      </w:r>
      <w:r>
        <w:rPr>
          <w:rFonts w:hint="eastAsia" w:ascii="仿宋" w:hAnsi="仿宋" w:eastAsia="仿宋" w:cs="仿宋"/>
          <w:color w:val="auto"/>
          <w:kern w:val="0"/>
          <w:sz w:val="24"/>
          <w:szCs w:val="24"/>
          <w:highlight w:val="none"/>
          <w:lang w:val="en-US" w:eastAsia="zh-CN"/>
        </w:rPr>
        <w:t>甲</w:t>
      </w:r>
      <w:r>
        <w:rPr>
          <w:rFonts w:hint="eastAsia" w:ascii="仿宋" w:hAnsi="仿宋" w:eastAsia="仿宋" w:cs="仿宋"/>
          <w:color w:val="auto"/>
          <w:kern w:val="0"/>
          <w:sz w:val="24"/>
          <w:szCs w:val="24"/>
          <w:highlight w:val="none"/>
          <w:lang w:val="zh-CN"/>
        </w:rPr>
        <w:t>方企业标准；D、双方协议标准）</w:t>
      </w:r>
      <w:r>
        <w:rPr>
          <w:rFonts w:hint="eastAsia" w:ascii="仿宋" w:hAnsi="仿宋" w:eastAsia="仿宋" w:cs="仿宋"/>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 xml:space="preserve">    1、</w:t>
      </w:r>
      <w:r>
        <w:rPr>
          <w:rFonts w:hint="eastAsia" w:ascii="仿宋" w:hAnsi="仿宋" w:eastAsia="仿宋" w:cs="仿宋"/>
          <w:kern w:val="0"/>
          <w:sz w:val="24"/>
          <w:szCs w:val="24"/>
          <w:lang w:val="zh-CN"/>
        </w:rPr>
        <w:t>即冲击≥</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，无硅胶，无松香，无橡胶帽，无其他杂质。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1024" w:firstLineChars="427"/>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2、若产品生产时出现大量的橡胶帽、松香、杂片、金属杂质等质量问题，卖方无条件退货，退货的往返运费均由卖方承担。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三、交货方式、交货地点、履行地点、接收单位：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2、交货地点：福建省三明市沙县区金沙园开发区</w:t>
      </w:r>
      <w:r>
        <w:rPr>
          <w:rFonts w:hint="eastAsia" w:ascii="仿宋" w:hAnsi="仿宋" w:eastAsia="仿宋" w:cs="仿宋"/>
          <w:kern w:val="0"/>
          <w:sz w:val="24"/>
          <w:szCs w:val="24"/>
          <w:lang w:val="en-US" w:eastAsia="zh-CN"/>
        </w:rPr>
        <w:t>创新东路180</w:t>
      </w:r>
      <w:r>
        <w:rPr>
          <w:rFonts w:hint="eastAsia" w:ascii="仿宋" w:hAnsi="仿宋" w:eastAsia="仿宋" w:cs="仿宋"/>
          <w:kern w:val="0"/>
          <w:sz w:val="24"/>
          <w:szCs w:val="24"/>
          <w:lang w:val="zh-CN"/>
        </w:rPr>
        <w:t>号中机</w:t>
      </w:r>
      <w:r>
        <w:rPr>
          <w:rFonts w:hint="eastAsia" w:ascii="仿宋" w:hAnsi="仿宋" w:eastAsia="仿宋" w:cs="仿宋"/>
          <w:kern w:val="0"/>
          <w:sz w:val="24"/>
          <w:szCs w:val="24"/>
          <w:lang w:val="en-US" w:eastAsia="zh-CN"/>
        </w:rPr>
        <w:t>数控3</w:t>
      </w:r>
      <w:r>
        <w:rPr>
          <w:rFonts w:hint="eastAsia" w:ascii="仿宋" w:hAnsi="仿宋" w:eastAsia="仿宋" w:cs="仿宋"/>
          <w:kern w:val="0"/>
          <w:sz w:val="24"/>
          <w:szCs w:val="24"/>
          <w:lang w:val="zh-CN"/>
        </w:rPr>
        <w:t>#厂房，买方指定接货联系人：陆李华，电话13850876329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3、履行地点： </w:t>
      </w:r>
      <w:r>
        <w:rPr>
          <w:rFonts w:hint="eastAsia" w:ascii="仿宋" w:hAnsi="仿宋" w:eastAsia="仿宋" w:cs="仿宋"/>
          <w:kern w:val="0"/>
          <w:sz w:val="24"/>
          <w:szCs w:val="24"/>
          <w:lang w:val="en-US" w:eastAsia="zh-CN"/>
        </w:rPr>
        <w:t>福建省</w:t>
      </w:r>
      <w:r>
        <w:rPr>
          <w:rFonts w:hint="eastAsia" w:ascii="仿宋" w:hAnsi="仿宋" w:eastAsia="仿宋" w:cs="仿宋"/>
          <w:kern w:val="0"/>
          <w:sz w:val="24"/>
          <w:szCs w:val="24"/>
          <w:lang w:val="zh-CN"/>
        </w:rPr>
        <w:t>三明市沙县区；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方通过微信或书面通知提前通知</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w:t>
      </w:r>
      <w:r>
        <w:rPr>
          <w:rFonts w:hint="eastAsia" w:ascii="仿宋" w:hAnsi="仿宋" w:eastAsia="仿宋" w:cs="仿宋"/>
          <w:kern w:val="0"/>
          <w:sz w:val="24"/>
          <w:szCs w:val="24"/>
          <w:lang w:val="en-US" w:eastAsia="zh-CN"/>
        </w:rPr>
        <w:t>发</w:t>
      </w:r>
      <w:r>
        <w:rPr>
          <w:rFonts w:hint="eastAsia" w:ascii="仿宋" w:hAnsi="仿宋" w:eastAsia="仿宋" w:cs="仿宋"/>
          <w:kern w:val="0"/>
          <w:sz w:val="24"/>
          <w:szCs w:val="24"/>
          <w:lang w:val="zh-CN"/>
        </w:rPr>
        <w:t>货，合同签订后按照计划交货</w:t>
      </w:r>
      <w:r>
        <w:rPr>
          <w:rFonts w:hint="eastAsia" w:ascii="仿宋" w:hAnsi="仿宋" w:eastAsia="仿宋" w:cs="仿宋"/>
          <w:kern w:val="0"/>
          <w:sz w:val="24"/>
          <w:szCs w:val="24"/>
          <w:lang w:val="en-US" w:eastAsia="zh-CN"/>
        </w:rPr>
        <w:t>出货</w:t>
      </w:r>
      <w:r>
        <w:rPr>
          <w:rFonts w:hint="eastAsia" w:ascii="仿宋" w:hAnsi="仿宋" w:eastAsia="仿宋" w:cs="仿宋"/>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58" w:firstLineChars="191"/>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sz w:val="24"/>
          <w:szCs w:val="24"/>
          <w:lang w:val="zh-CN"/>
        </w:rPr>
      </w:pPr>
      <w:r>
        <w:rPr>
          <w:rFonts w:hint="eastAsia" w:ascii="仿宋" w:hAnsi="仿宋" w:eastAsia="仿宋" w:cs="仿宋"/>
          <w:kern w:val="0"/>
          <w:sz w:val="24"/>
          <w:szCs w:val="24"/>
          <w:lang w:val="en-US" w:eastAsia="zh-CN"/>
        </w:rPr>
        <w:t>*乙方货物数量以甲方收货过磅后的实际净重数量为准。按甲方要求统一使用吨包包装大、小包装袋须统一颜色、尺寸，且表面干净，无破损。若出现吨袋破损罚 100 元/个。每个吨袋扣除重量2公斤。</w:t>
      </w:r>
    </w:p>
    <w:p>
      <w:pPr>
        <w:keepNext w:val="0"/>
        <w:keepLines w:val="0"/>
        <w:pageBreakBefore w:val="0"/>
        <w:widowControl w:val="0"/>
        <w:tabs>
          <w:tab w:val="left" w:pos="1200"/>
        </w:tabs>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w:t>
      </w:r>
      <w:r>
        <w:rPr>
          <w:rFonts w:hint="eastAsia" w:ascii="仿宋" w:hAnsi="仿宋" w:eastAsia="仿宋" w:cs="仿宋"/>
          <w:kern w:val="0"/>
          <w:sz w:val="24"/>
          <w:szCs w:val="24"/>
          <w:lang w:val="en-US" w:eastAsia="zh-CN"/>
        </w:rPr>
        <w:t>独立验收</w:t>
      </w:r>
      <w:r>
        <w:rPr>
          <w:rFonts w:hint="eastAsia" w:ascii="仿宋" w:hAnsi="仿宋" w:eastAsia="仿宋" w:cs="仿宋"/>
          <w:kern w:val="0"/>
          <w:sz w:val="24"/>
          <w:szCs w:val="24"/>
          <w:lang w:val="zh-CN"/>
        </w:rPr>
        <w:t>。乙方在验收前必须向甲方提供产品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pPr>
        <w:keepNext w:val="0"/>
        <w:keepLines w:val="0"/>
        <w:pageBreakBefore w:val="0"/>
        <w:widowControl w:val="0"/>
        <w:tabs>
          <w:tab w:val="left" w:pos="0"/>
        </w:tabs>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pPr>
        <w:keepNext w:val="0"/>
        <w:keepLines w:val="0"/>
        <w:pageBreakBefore w:val="0"/>
        <w:widowControl w:val="0"/>
        <w:tabs>
          <w:tab w:val="left" w:pos="0"/>
        </w:tabs>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b/>
          <w:bCs/>
          <w:kern w:val="0"/>
          <w:sz w:val="24"/>
          <w:szCs w:val="24"/>
          <w:lang w:val="zh-CN"/>
        </w:rPr>
        <w:t>验收时，</w:t>
      </w:r>
      <w:r>
        <w:rPr>
          <w:rFonts w:hint="eastAsia" w:ascii="仿宋" w:hAnsi="仿宋" w:eastAsia="仿宋" w:cs="仿宋"/>
          <w:b/>
          <w:bCs/>
          <w:kern w:val="0"/>
          <w:sz w:val="24"/>
          <w:szCs w:val="24"/>
          <w:lang w:val="en-US" w:eastAsia="zh-CN"/>
        </w:rPr>
        <w:t>以甲方的最终检测结果为准，</w:t>
      </w:r>
      <w:r>
        <w:rPr>
          <w:rFonts w:hint="eastAsia" w:ascii="仿宋" w:hAnsi="仿宋" w:eastAsia="仿宋" w:cs="仿宋"/>
          <w:kern w:val="0"/>
          <w:sz w:val="24"/>
          <w:szCs w:val="24"/>
          <w:lang w:val="zh-CN"/>
        </w:rPr>
        <w:t>乙方所供到场货物与本合同约定的质量标准不相符，甲方可要求退货，退货的往返运费均由乙方承担。买方验收人：王伟 电话：13791409132。</w:t>
      </w:r>
    </w:p>
    <w:p>
      <w:pPr>
        <w:pStyle w:val="2"/>
        <w:keepNext w:val="0"/>
        <w:keepLines w:val="0"/>
        <w:pageBreakBefore w:val="0"/>
        <w:wordWrap/>
        <w:overflowPunct/>
        <w:topLinePunct w:val="0"/>
        <w:autoSpaceDE w:val="0"/>
        <w:autoSpaceDN w:val="0"/>
        <w:bidi w:val="0"/>
        <w:adjustRightInd/>
        <w:snapToGrid/>
        <w:spacing w:after="0" w:line="240" w:lineRule="auto"/>
        <w:ind w:left="0" w:leftChars="0" w:right="0" w:firstLine="420" w:firstLineChars="175"/>
        <w:rPr>
          <w:rFonts w:hint="eastAsia" w:ascii="仿宋" w:hAnsi="仿宋" w:eastAsia="仿宋" w:cs="仿宋"/>
          <w:sz w:val="24"/>
          <w:szCs w:val="24"/>
          <w:lang w:val="en-US" w:eastAsia="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w:t>
      </w:r>
      <w:r>
        <w:rPr>
          <w:rFonts w:hint="eastAsia" w:ascii="仿宋" w:hAnsi="仿宋" w:eastAsia="仿宋" w:cs="仿宋"/>
          <w:sz w:val="24"/>
          <w:szCs w:val="24"/>
          <w:lang w:val="en-US" w:eastAsia="zh-CN"/>
        </w:rPr>
        <w:t>如经甲方验收，发现乙方交付的材料不满足本合同第二条约定的质量标准，如材料的冲击指标低于本合同约定的5%以内，经乙方同意则绿料可折价200/吨，电信灰料可折价300/吨，否则按照退货处理。</w:t>
      </w:r>
    </w:p>
    <w:p>
      <w:pPr>
        <w:pStyle w:val="2"/>
        <w:keepNext w:val="0"/>
        <w:keepLines w:val="0"/>
        <w:pageBreakBefore w:val="0"/>
        <w:wordWrap/>
        <w:overflowPunct/>
        <w:topLinePunct w:val="0"/>
        <w:autoSpaceDE w:val="0"/>
        <w:autoSpaceDN w:val="0"/>
        <w:bidi w:val="0"/>
        <w:adjustRightInd/>
        <w:snapToGrid/>
        <w:spacing w:after="0" w:line="240" w:lineRule="auto"/>
        <w:ind w:left="0" w:leftChars="0" w:right="0" w:firstLine="0" w:firstLineChars="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p>
    <w:p>
      <w:pPr>
        <w:pStyle w:val="2"/>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pPr>
        <w:pStyle w:val="2"/>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货到买方指定工厂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结算方式：本合同生效后，每提货一车出货前仅支付当车重量的30%订金，货到、票到15日内支付剩下70%货款，</w:t>
      </w:r>
      <w:r>
        <w:rPr>
          <w:rFonts w:hint="eastAsia" w:ascii="仿宋" w:hAnsi="仿宋" w:eastAsia="仿宋" w:cs="仿宋"/>
          <w:sz w:val="24"/>
          <w:szCs w:val="24"/>
          <w:lang w:val="en-US" w:eastAsia="zh-CN"/>
        </w:rPr>
        <w:t>支付方式：银承承兑汇票</w:t>
      </w:r>
      <w:r>
        <w:rPr>
          <w:rFonts w:hint="eastAsia" w:ascii="仿宋" w:hAnsi="仿宋" w:eastAsia="仿宋" w:cs="仿宋"/>
          <w:sz w:val="24"/>
          <w:szCs w:val="24"/>
        </w:rPr>
        <w:t>。买方收到货复磅后允许存在±0.</w:t>
      </w:r>
      <w:r>
        <w:rPr>
          <w:rFonts w:hint="eastAsia" w:ascii="仿宋" w:hAnsi="仿宋" w:eastAsia="仿宋" w:cs="仿宋"/>
          <w:sz w:val="24"/>
          <w:szCs w:val="24"/>
          <w:lang w:val="en-US" w:eastAsia="zh-CN"/>
        </w:rPr>
        <w:t>15</w:t>
      </w:r>
      <w:r>
        <w:rPr>
          <w:rFonts w:hint="eastAsia" w:ascii="仿宋" w:hAnsi="仿宋" w:eastAsia="仿宋" w:cs="仿宋"/>
          <w:sz w:val="24"/>
          <w:szCs w:val="24"/>
        </w:rPr>
        <w:t>%的磅差，若超出磅差以买方实际过磅重量为准。卖买双方多还少补。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八、质量保证期：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年，从全部材料进场经签收之日起计算，在质保期内出现问题，乙方必须免费予以退换。</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九、产品交接：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3、如果乙方未能按照合同约定的时间提供服务的，每逾期1天的，乙方应按本合同总金额的1%向甲方支付违约金，若因此给甲方造成损失的，乙方还应赔偿甲方所受的损失。</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双方为谋取商业利益给对方员工贿赂或者不拒绝对方员工索取贿赂的，违约方承担相关法律责任。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双方违反本条约定，任何一方有权单方解除合同或协议，并不承担任何违约责任及赔偿责任，但提出解除合同方应向对方出具司法机关出具的证据。</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7、甲乙</w:t>
      </w:r>
      <w:r>
        <w:rPr>
          <w:rFonts w:hint="eastAsia" w:ascii="仿宋" w:hAnsi="仿宋" w:eastAsia="仿宋" w:cs="仿宋"/>
          <w:kern w:val="0"/>
          <w:sz w:val="24"/>
          <w:szCs w:val="24"/>
          <w:lang w:val="zh-CN"/>
        </w:rPr>
        <w:t>双方积极全面履行协议，并能向对方举报其员工索取、收受贿赂事实的，</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双方将优先与其发展合作关系，给予在同等条件下优先采购及优惠条件；如果举报与事实不符，</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双方有权终止与其商业合作关系，并承担法律责任。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8、甲乙</w:t>
      </w:r>
      <w:r>
        <w:rPr>
          <w:rFonts w:hint="eastAsia" w:ascii="仿宋" w:hAnsi="仿宋" w:eastAsia="仿宋" w:cs="仿宋"/>
          <w:kern w:val="0"/>
          <w:sz w:val="24"/>
          <w:szCs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十五、本合同的任何变更，均应以书面形式提出，并由双方授权人等协商一致后书面达成协议方有效。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十六、甲乙双方应对在本合同谈判期间、履行期间从另一方获得或收到的价格、资料、信息及其它商业秘密进行保密，未经对方书面事先同意不得向任何第三方以任何方式披露。</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十七、</w:t>
      </w:r>
      <w:r>
        <w:rPr>
          <w:rFonts w:hint="eastAsia" w:ascii="仿宋" w:hAnsi="仿宋" w:eastAsia="仿宋" w:cs="仿宋"/>
          <w:kern w:val="0"/>
          <w:sz w:val="24"/>
          <w:szCs w:val="24"/>
        </w:rPr>
        <w:t>本合同适用中华人民共和国法律，并据其进行解释。</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rPr>
        <w:t>合同履行过程中，若发生争议，双方应协商解决；如协商不成均由</w:t>
      </w:r>
      <w:r>
        <w:rPr>
          <w:rFonts w:hint="eastAsia" w:ascii="仿宋" w:hAnsi="仿宋" w:eastAsia="仿宋" w:cs="仿宋"/>
          <w:kern w:val="0"/>
          <w:sz w:val="24"/>
          <w:szCs w:val="24"/>
          <w:lang w:val="en-US" w:eastAsia="zh-CN"/>
        </w:rPr>
        <w:t>三明市沙县区</w:t>
      </w:r>
      <w:r>
        <w:rPr>
          <w:rFonts w:hint="eastAsia" w:ascii="仿宋" w:hAnsi="仿宋" w:eastAsia="仿宋" w:cs="仿宋"/>
          <w:kern w:val="0"/>
          <w:sz w:val="24"/>
          <w:szCs w:val="24"/>
        </w:rPr>
        <w:t>有管辖权的人民法院</w:t>
      </w:r>
      <w:r>
        <w:rPr>
          <w:rFonts w:hint="eastAsia" w:ascii="仿宋" w:hAnsi="仿宋" w:eastAsia="仿宋" w:cs="仿宋"/>
          <w:kern w:val="0"/>
          <w:sz w:val="24"/>
          <w:szCs w:val="24"/>
          <w:lang w:val="en-US" w:eastAsia="zh-CN"/>
        </w:rPr>
        <w:t>管辖</w:t>
      </w:r>
      <w:r>
        <w:rPr>
          <w:rFonts w:hint="eastAsia" w:ascii="仿宋" w:hAnsi="仿宋" w:eastAsia="仿宋" w:cs="仿宋"/>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十八、</w:t>
      </w:r>
      <w:r>
        <w:rPr>
          <w:rFonts w:hint="eastAsia" w:ascii="仿宋" w:hAnsi="仿宋" w:eastAsia="仿宋" w:cs="仿宋"/>
          <w:kern w:val="0"/>
          <w:sz w:val="24"/>
          <w:szCs w:val="24"/>
        </w:rPr>
        <w:t>其他</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合同附件为本合同不可分割的一部分，与本合同具有同等的法律效力，补充协议与本协议有冲突的，以补充协议为准。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本合同一经生效，非经</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双方签署书面补充协议同意，任何一方以其他方式对合同条款的增减及其他变更均无约束力。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本合同的内容及其有关的附件是</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双方关于此次合作所最终确定的全部内容，双方均承认其已审阅、理解本合同及相关附件的内容，并同意取代</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双方之间此前关于此次合作所做出的任何口头或书面的承诺。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本合同自双方加盖公章或合同专用章后生效，合同约定所有义务履行完毕后自行终止。合同的终止并不影响保密义务的继续履行。</w:t>
      </w:r>
    </w:p>
    <w:p>
      <w:pPr>
        <w:keepNext w:val="0"/>
        <w:keepLines w:val="0"/>
        <w:pageBreakBefore w:val="0"/>
        <w:widowControl w:val="0"/>
        <w:shd w:val="clear" w:color="auto" w:fill="FFFFFF"/>
        <w:kinsoku/>
        <w:wordWrap/>
        <w:overflowPunct/>
        <w:topLinePunct w:val="0"/>
        <w:autoSpaceDE w:val="0"/>
        <w:autoSpaceDN w:val="0"/>
        <w:bidi w:val="0"/>
        <w:adjustRightInd/>
        <w:snapToGrid/>
        <w:spacing w:line="24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本合同及附件一式</w:t>
      </w:r>
      <w:r>
        <w:rPr>
          <w:rFonts w:hint="eastAsia" w:ascii="仿宋" w:hAnsi="仿宋" w:eastAsia="仿宋" w:cs="仿宋"/>
          <w:kern w:val="0"/>
          <w:sz w:val="24"/>
          <w:szCs w:val="24"/>
          <w:lang w:val="en-US" w:eastAsia="zh-CN"/>
        </w:rPr>
        <w:t>陆</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w:t>
      </w:r>
      <w:r>
        <w:rPr>
          <w:rFonts w:hint="eastAsia" w:ascii="仿宋" w:hAnsi="仿宋" w:eastAsia="仿宋" w:cs="仿宋"/>
          <w:kern w:val="0"/>
          <w:sz w:val="24"/>
          <w:szCs w:val="24"/>
          <w:lang w:val="en-US" w:eastAsia="zh-CN"/>
        </w:rPr>
        <w:t>叁</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乙方叁</w:t>
      </w:r>
      <w:r>
        <w:rPr>
          <w:rFonts w:hint="eastAsia" w:ascii="仿宋" w:hAnsi="仿宋" w:eastAsia="仿宋" w:cs="仿宋"/>
          <w:kern w:val="0"/>
          <w:sz w:val="24"/>
          <w:szCs w:val="24"/>
        </w:rPr>
        <w:t>份，每份具有同等的法律效力。</w:t>
      </w:r>
    </w:p>
    <w:p>
      <w:pPr>
        <w:pStyle w:val="2"/>
        <w:spacing w:line="240" w:lineRule="auto"/>
        <w:rPr>
          <w:rFonts w:hint="eastAsia" w:ascii="仿宋" w:hAnsi="仿宋" w:eastAsia="仿宋" w:cs="仿宋"/>
          <w:kern w:val="0"/>
          <w:sz w:val="24"/>
          <w:szCs w:val="24"/>
        </w:rPr>
      </w:pPr>
    </w:p>
    <w:p>
      <w:pPr>
        <w:keepNext w:val="0"/>
        <w:keepLines w:val="0"/>
        <w:pageBreakBefore w:val="0"/>
        <w:widowControl w:val="0"/>
        <w:kinsoku/>
        <w:wordWrap/>
        <w:overflowPunct/>
        <w:topLinePunct w:val="0"/>
        <w:autoSpaceDE w:val="0"/>
        <w:autoSpaceDN w:val="0"/>
        <w:bidi w:val="0"/>
        <w:adjustRightInd w:val="0"/>
        <w:spacing w:line="240" w:lineRule="auto"/>
        <w:ind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pPr>
        <w:pStyle w:val="2"/>
        <w:spacing w:line="240" w:lineRule="auto"/>
        <w:ind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电话：</w:t>
            </w:r>
          </w:p>
          <w:p>
            <w:pPr>
              <w:pStyle w:val="3"/>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pPr>
        <w:shd w:val="clear" w:color="auto" w:fill="FFFFFF"/>
        <w:adjustRightInd w:val="0"/>
        <w:snapToGrid w:val="0"/>
        <w:spacing w:line="240" w:lineRule="auto"/>
        <w:rPr>
          <w:rFonts w:ascii="仿宋" w:hAnsi="仿宋" w:eastAsia="仿宋"/>
          <w:sz w:val="24"/>
          <w:szCs w:val="24"/>
        </w:rPr>
      </w:pPr>
    </w:p>
    <w:p>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jY2I3NGJkYjFkMmI3NjNlNzYzMTljYmE0ZmFkMjA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8E3D7A"/>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F3FC3"/>
    <w:rsid w:val="082216E1"/>
    <w:rsid w:val="087052F4"/>
    <w:rsid w:val="08E31B8A"/>
    <w:rsid w:val="0B3D3052"/>
    <w:rsid w:val="0BD75BB1"/>
    <w:rsid w:val="0C97306B"/>
    <w:rsid w:val="0C9E047D"/>
    <w:rsid w:val="0D3C1DC3"/>
    <w:rsid w:val="0E0137ED"/>
    <w:rsid w:val="0F184516"/>
    <w:rsid w:val="0F66217A"/>
    <w:rsid w:val="10F82212"/>
    <w:rsid w:val="12E6250F"/>
    <w:rsid w:val="13C95DDF"/>
    <w:rsid w:val="13DD4624"/>
    <w:rsid w:val="143516C6"/>
    <w:rsid w:val="1441006B"/>
    <w:rsid w:val="144D10FA"/>
    <w:rsid w:val="14B608C1"/>
    <w:rsid w:val="15142E72"/>
    <w:rsid w:val="15BE749A"/>
    <w:rsid w:val="187A6CED"/>
    <w:rsid w:val="19416EE3"/>
    <w:rsid w:val="19E54C84"/>
    <w:rsid w:val="1A2B2E16"/>
    <w:rsid w:val="1A584361"/>
    <w:rsid w:val="1CA53035"/>
    <w:rsid w:val="1CB72E06"/>
    <w:rsid w:val="1D406077"/>
    <w:rsid w:val="1F9B0ADF"/>
    <w:rsid w:val="1FC00470"/>
    <w:rsid w:val="213B2D65"/>
    <w:rsid w:val="21B97B04"/>
    <w:rsid w:val="22161631"/>
    <w:rsid w:val="22345F2D"/>
    <w:rsid w:val="223760ED"/>
    <w:rsid w:val="229A5157"/>
    <w:rsid w:val="22F1792F"/>
    <w:rsid w:val="23C06ACA"/>
    <w:rsid w:val="24087AE2"/>
    <w:rsid w:val="28845678"/>
    <w:rsid w:val="28872C4F"/>
    <w:rsid w:val="28AB7D51"/>
    <w:rsid w:val="29156767"/>
    <w:rsid w:val="29BA649E"/>
    <w:rsid w:val="29DE5491"/>
    <w:rsid w:val="2C01798C"/>
    <w:rsid w:val="2C7C594D"/>
    <w:rsid w:val="2CD14227"/>
    <w:rsid w:val="2EA636D0"/>
    <w:rsid w:val="2F8512FC"/>
    <w:rsid w:val="302A1EA4"/>
    <w:rsid w:val="30943860"/>
    <w:rsid w:val="374B4BD9"/>
    <w:rsid w:val="38557A9F"/>
    <w:rsid w:val="38970585"/>
    <w:rsid w:val="3A4A73CA"/>
    <w:rsid w:val="3C440F6E"/>
    <w:rsid w:val="3DCC7449"/>
    <w:rsid w:val="3DE83A67"/>
    <w:rsid w:val="42BD2F8E"/>
    <w:rsid w:val="435B1499"/>
    <w:rsid w:val="440A6827"/>
    <w:rsid w:val="45976840"/>
    <w:rsid w:val="47100713"/>
    <w:rsid w:val="474C1085"/>
    <w:rsid w:val="474C1DDB"/>
    <w:rsid w:val="48B325A9"/>
    <w:rsid w:val="49203109"/>
    <w:rsid w:val="4A7A55DF"/>
    <w:rsid w:val="4ABB39CC"/>
    <w:rsid w:val="4B5E45B8"/>
    <w:rsid w:val="4BF71DFE"/>
    <w:rsid w:val="4C0E5B77"/>
    <w:rsid w:val="4C25253E"/>
    <w:rsid w:val="4CF0110C"/>
    <w:rsid w:val="4DC57782"/>
    <w:rsid w:val="4DF810AC"/>
    <w:rsid w:val="4E772300"/>
    <w:rsid w:val="4FC652ED"/>
    <w:rsid w:val="4FF456D9"/>
    <w:rsid w:val="50054BB6"/>
    <w:rsid w:val="500951DA"/>
    <w:rsid w:val="50390222"/>
    <w:rsid w:val="53DA53DB"/>
    <w:rsid w:val="543A1E06"/>
    <w:rsid w:val="55CA11C1"/>
    <w:rsid w:val="5621082A"/>
    <w:rsid w:val="56625644"/>
    <w:rsid w:val="56B90D23"/>
    <w:rsid w:val="58324C4B"/>
    <w:rsid w:val="589F2DDF"/>
    <w:rsid w:val="5A13454B"/>
    <w:rsid w:val="5D2574A1"/>
    <w:rsid w:val="5D294756"/>
    <w:rsid w:val="5DC2080A"/>
    <w:rsid w:val="5F6B1E45"/>
    <w:rsid w:val="5FC078B7"/>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D07765"/>
    <w:rsid w:val="73830C7C"/>
    <w:rsid w:val="73DA76D3"/>
    <w:rsid w:val="750A0CFF"/>
    <w:rsid w:val="77687477"/>
    <w:rsid w:val="778D3071"/>
    <w:rsid w:val="77BA6C36"/>
    <w:rsid w:val="78E77DBC"/>
    <w:rsid w:val="78EE6CAC"/>
    <w:rsid w:val="796E7CD8"/>
    <w:rsid w:val="79D42231"/>
    <w:rsid w:val="79F214BE"/>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7552</Words>
  <Characters>7861</Characters>
  <Lines>28</Lines>
  <Paragraphs>7</Paragraphs>
  <TotalTime>152</TotalTime>
  <ScaleCrop>false</ScaleCrop>
  <LinksUpToDate>false</LinksUpToDate>
  <CharactersWithSpaces>8096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李浩东</cp:lastModifiedBy>
  <cp:lastPrinted>2022-12-05T07:10:00Z</cp:lastPrinted>
  <dcterms:modified xsi:type="dcterms:W3CDTF">2024-09-06T06:28:19Z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0EDE806DAA1F44F581B5A146BB15F7A6_13</vt:lpwstr>
  </property>
</Properties>
</file>