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rPr>
      </w:pPr>
    </w:p>
    <w:p>
      <w:pPr>
        <w:spacing w:before="92" w:line="360" w:lineRule="auto"/>
        <w:ind w:firstLine="4480" w:firstLineChars="1600"/>
        <w:rPr>
          <w:rFonts w:hint="default" w:ascii="黑体" w:eastAsia="宋体"/>
          <w:lang w:val="en-US" w:eastAsia="zh-CN"/>
        </w:rPr>
      </w:pPr>
      <w:r>
        <w:rPr>
          <w:rFonts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rPr>
        <w:t>：</w:t>
      </w:r>
      <w:r>
        <w:rPr>
          <w:rFonts w:hint="eastAsia" w:ascii="宋体" w:hAnsi="宋体" w:eastAsia="宋体" w:cs="宋体"/>
          <w:sz w:val="28"/>
          <w:szCs w:val="28"/>
          <w:highlight w:val="none"/>
          <w:lang w:val="en-US" w:eastAsia="zh-CN"/>
        </w:rPr>
        <w:t>HXZB2024070402</w:t>
      </w:r>
      <w:bookmarkStart w:id="8" w:name="_GoBack"/>
      <w:bookmarkEnd w:id="8"/>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tabs>
          <w:tab w:val="left" w:pos="5882"/>
        </w:tabs>
        <w:spacing w:before="169" w:line="360" w:lineRule="auto"/>
        <w:jc w:val="center"/>
        <w:rPr>
          <w:rFonts w:ascii="宋体" w:hAnsi="宋体" w:eastAsia="宋体" w:cs="宋体"/>
          <w:sz w:val="52"/>
          <w:szCs w:val="52"/>
        </w:rPr>
      </w:pPr>
      <w:r>
        <w:rPr>
          <w:rFonts w:hint="eastAsia"/>
          <w:b/>
          <w:bCs/>
          <w:sz w:val="48"/>
          <w:szCs w:val="48"/>
          <w:u w:val="single"/>
        </w:rPr>
        <w:t>真空舱组件设计加工</w:t>
      </w:r>
      <w:r>
        <w:rPr>
          <w:rFonts w:ascii="宋体" w:hAnsi="宋体" w:eastAsia="宋体" w:cs="宋体"/>
          <w:sz w:val="52"/>
          <w:szCs w:val="52"/>
        </w:rPr>
        <w:t>采购项目</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274" w:line="360" w:lineRule="auto"/>
        <w:jc w:val="center"/>
        <w:outlineLvl w:val="0"/>
        <w:rPr>
          <w:rFonts w:ascii="宋体" w:hAnsi="宋体" w:eastAsia="宋体" w:cs="宋体"/>
          <w:sz w:val="84"/>
          <w:szCs w:val="84"/>
        </w:rPr>
      </w:pPr>
      <w:bookmarkStart w:id="0" w:name="_Toc4814"/>
      <w:bookmarkStart w:id="1" w:name="_Toc3319"/>
      <w:bookmarkStart w:id="2" w:name="_Toc7596"/>
      <w:r>
        <w:rPr>
          <w:rFonts w:ascii="宋体" w:hAnsi="宋体" w:eastAsia="宋体" w:cs="宋体"/>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z w:val="84"/>
          <w:szCs w:val="84"/>
          <w:lang w:val="en-US" w:eastAsia="zh-CN"/>
          <w14:textOutline w14:w="15240" w14:cap="flat" w14:cmpd="sng" w14:algn="ctr">
            <w14:solidFill>
              <w14:srgbClr w14:val="000000"/>
            </w14:solidFill>
            <w14:prstDash w14:val="solid"/>
            <w14:miter w14:val="0"/>
          </w14:textOutline>
        </w:rPr>
        <w:t xml:space="preserve"> </w:t>
      </w:r>
      <w:r>
        <w:rPr>
          <w:rFonts w:ascii="宋体" w:hAnsi="宋体" w:eastAsia="宋体" w:cs="宋体"/>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z w:val="84"/>
          <w:szCs w:val="84"/>
          <w:lang w:val="en-US" w:eastAsia="zh-CN"/>
          <w14:textOutline w14:w="15240" w14:cap="flat" w14:cmpd="sng" w14:algn="ctr">
            <w14:solidFill>
              <w14:srgbClr w14:val="000000"/>
            </w14:solidFill>
            <w14:prstDash w14:val="solid"/>
            <w14:miter w14:val="0"/>
          </w14:textOutline>
        </w:rPr>
        <w:t xml:space="preserve"> </w:t>
      </w:r>
      <w:r>
        <w:rPr>
          <w:rFonts w:ascii="宋体" w:hAnsi="宋体" w:eastAsia="宋体" w:cs="宋体"/>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z w:val="84"/>
          <w:szCs w:val="84"/>
          <w:lang w:val="en-US" w:eastAsia="zh-CN"/>
          <w14:textOutline w14:w="15240" w14:cap="flat" w14:cmpd="sng" w14:algn="ctr">
            <w14:solidFill>
              <w14:srgbClr w14:val="000000"/>
            </w14:solidFill>
            <w14:prstDash w14:val="solid"/>
            <w14:miter w14:val="0"/>
          </w14:textOutline>
        </w:rPr>
        <w:t xml:space="preserve"> </w:t>
      </w:r>
      <w:r>
        <w:rPr>
          <w:rFonts w:ascii="宋体" w:hAnsi="宋体" w:eastAsia="宋体" w:cs="宋体"/>
          <w:sz w:val="84"/>
          <w:szCs w:val="84"/>
          <w14:textOutline w14:w="15240" w14:cap="flat" w14:cmpd="sng" w14:algn="ctr">
            <w14:solidFill>
              <w14:srgbClr w14:val="000000"/>
            </w14:solidFill>
            <w14:prstDash w14:val="solid"/>
            <w14:miter w14:val="0"/>
          </w14:textOutline>
        </w:rPr>
        <w:t>件</w:t>
      </w:r>
      <w:bookmarkEnd w:id="0"/>
      <w:bookmarkEnd w:id="1"/>
      <w:bookmarkEnd w:id="2"/>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104" w:line="360" w:lineRule="auto"/>
        <w:rPr>
          <w:rFonts w:ascii="仿宋" w:hAnsi="仿宋" w:eastAsia="仿宋" w:cs="仿宋"/>
          <w:sz w:val="32"/>
          <w:szCs w:val="32"/>
        </w:rPr>
      </w:pPr>
    </w:p>
    <w:p>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pPr>
        <w:spacing w:line="360" w:lineRule="auto"/>
        <w:rPr>
          <w:rFonts w:ascii="黑体"/>
        </w:rPr>
      </w:pPr>
    </w:p>
    <w:p>
      <w:pPr>
        <w:spacing w:before="104" w:line="360" w:lineRule="auto"/>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sz w:val="32"/>
          <w:szCs w:val="32"/>
          <w:lang w:val="en-US" w:eastAsia="zh-CN"/>
        </w:rPr>
        <w:t>07</w:t>
      </w:r>
      <w:r>
        <w:rPr>
          <w:rFonts w:ascii="仿宋" w:hAnsi="仿宋" w:eastAsia="仿宋" w:cs="仿宋"/>
          <w:sz w:val="32"/>
          <w:szCs w:val="32"/>
        </w:rPr>
        <w:t>月</w:t>
      </w:r>
      <w:r>
        <w:rPr>
          <w:rFonts w:hint="eastAsia" w:ascii="仿宋" w:hAnsi="仿宋" w:eastAsia="仿宋" w:cs="仿宋"/>
          <w:sz w:val="32"/>
          <w:szCs w:val="32"/>
          <w:lang w:val="en-US" w:eastAsia="zh-CN"/>
        </w:rPr>
        <w:t>04</w:t>
      </w:r>
      <w:r>
        <w:rPr>
          <w:rFonts w:ascii="仿宋" w:hAnsi="仿宋" w:eastAsia="仿宋" w:cs="仿宋"/>
          <w:sz w:val="32"/>
          <w:szCs w:val="32"/>
        </w:rPr>
        <w:t>日</w:t>
      </w:r>
    </w:p>
    <w:p>
      <w:pPr>
        <w:spacing w:line="360" w:lineRule="auto"/>
        <w:rPr>
          <w:rFonts w:ascii="仿宋" w:hAnsi="仿宋" w:eastAsia="仿宋" w:cs="仿宋"/>
          <w:sz w:val="32"/>
          <w:szCs w:val="32"/>
        </w:rPr>
      </w:pPr>
      <w:r>
        <w:rPr>
          <w:rFonts w:ascii="仿宋" w:hAnsi="仿宋" w:eastAsia="仿宋" w:cs="仿宋"/>
          <w:sz w:val="32"/>
          <w:szCs w:val="32"/>
        </w:rPr>
        <w:br w:type="page"/>
      </w:r>
    </w:p>
    <w:p>
      <w:pPr>
        <w:pStyle w:val="17"/>
        <w:spacing w:line="360" w:lineRule="auto"/>
      </w:pPr>
    </w:p>
    <w:p>
      <w:pPr>
        <w:spacing w:line="360" w:lineRule="auto"/>
        <w:sectPr>
          <w:headerReference r:id="rId3" w:type="default"/>
          <w:pgSz w:w="11907" w:h="16839"/>
          <w:pgMar w:top="1432" w:right="1389" w:bottom="1201" w:left="1389" w:header="852" w:footer="1021" w:gutter="0"/>
          <w:cols w:space="720" w:num="1"/>
        </w:sectPr>
      </w:pPr>
      <w:bookmarkStart w:id="3" w:name="_Toc27877"/>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pPr>
            <w:spacing w:line="360" w:lineRule="auto"/>
            <w:jc w:val="center"/>
            <w:rPr>
              <w:b/>
              <w:bCs/>
              <w:sz w:val="48"/>
              <w:szCs w:val="48"/>
            </w:rPr>
          </w:pPr>
          <w:r>
            <w:rPr>
              <w:rFonts w:ascii="宋体" w:hAnsi="宋体" w:eastAsia="宋体"/>
              <w:b/>
              <w:bCs/>
              <w:sz w:val="48"/>
              <w:szCs w:val="48"/>
            </w:rPr>
            <w:t>目录</w:t>
          </w:r>
        </w:p>
        <w:p>
          <w:pPr>
            <w:pStyle w:val="12"/>
            <w:tabs>
              <w:tab w:val="right" w:leader="dot" w:pos="9129"/>
            </w:tabs>
            <w:spacing w:line="360" w:lineRule="auto"/>
            <w:rPr>
              <w:sz w:val="36"/>
              <w:szCs w:val="36"/>
            </w:rPr>
          </w:pP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separate"/>
          </w:r>
        </w:p>
        <w:p>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cs="宋体"/>
              <w:sz w:val="36"/>
              <w:szCs w:val="180"/>
              <w14:textOutline w14:w="6527" w14:cap="flat" w14:cmpd="sng" w14:algn="ctr">
                <w14:solidFill>
                  <w14:srgbClr w14:val="000000"/>
                </w14:solidFill>
                <w14:prstDash w14:val="solid"/>
                <w14:miter w14:val="0"/>
              </w14:textOutline>
            </w:rPr>
            <w:fldChar w:fldCharType="end"/>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pPr>
                <w:spacing w:line="360" w:lineRule="auto"/>
                <w:jc w:val="center"/>
                <w:rPr>
                  <w:sz w:val="48"/>
                  <w:szCs w:val="48"/>
                </w:rPr>
              </w:pPr>
            </w:p>
            <w:p>
              <w:pPr>
                <w:pStyle w:val="12"/>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pPr>
                <w:pStyle w:val="12"/>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pPr>
                <w:pStyle w:val="12"/>
                <w:tabs>
                  <w:tab w:val="right" w:leader="dot" w:pos="9129"/>
                </w:tabs>
                <w:spacing w:line="360" w:lineRule="auto"/>
                <w:rPr>
                  <w:sz w:val="32"/>
                  <w:szCs w:val="32"/>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lang w:val="en-US" w:eastAsia="zh-CN"/>
                </w:rPr>
                <w:t>6</w:t>
              </w:r>
              <w:r>
                <w:rPr>
                  <w:rFonts w:hint="eastAsia" w:eastAsia="宋体"/>
                  <w:sz w:val="32"/>
                  <w:szCs w:val="32"/>
                </w:rPr>
                <w:fldChar w:fldCharType="end"/>
              </w:r>
            </w:p>
            <w:p>
              <w:pPr>
                <w:pStyle w:val="12"/>
                <w:tabs>
                  <w:tab w:val="right" w:leader="dot" w:pos="9129"/>
                </w:tabs>
                <w:spacing w:line="360" w:lineRule="auto"/>
                <w:rPr>
                  <w:rFonts w:eastAsia="宋体"/>
                  <w:sz w:val="32"/>
                  <w:szCs w:val="32"/>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lang w:val="en-US" w:eastAsia="zh-CN"/>
                </w:rPr>
                <w:t>8</w:t>
              </w:r>
              <w:r>
                <w:rPr>
                  <w:rFonts w:hint="eastAsia" w:eastAsia="宋体"/>
                  <w:sz w:val="32"/>
                  <w:szCs w:val="32"/>
                </w:rPr>
                <w:fldChar w:fldCharType="end"/>
              </w:r>
            </w:p>
            <w:p>
              <w:pPr>
                <w:widowControl w:val="0"/>
                <w:kinsoku/>
                <w:autoSpaceDE/>
                <w:autoSpaceDN/>
                <w:adjustRightInd/>
                <w:snapToGrid/>
                <w:spacing w:line="360" w:lineRule="auto"/>
                <w:jc w:val="both"/>
                <w:textAlignment w:val="auto"/>
                <w:rPr>
                  <w:rFonts w:hint="default" w:eastAsia="宋体"/>
                  <w:sz w:val="32"/>
                  <w:szCs w:val="32"/>
                  <w:lang w:val="en-US" w:eastAsia="zh-CN"/>
                </w:rPr>
              </w:pPr>
              <w:r>
                <w:rPr>
                  <w:sz w:val="32"/>
                  <w:szCs w:val="32"/>
                </w:rPr>
                <w:fldChar w:fldCharType="end"/>
              </w:r>
              <w:r>
                <w:rPr>
                  <w:rFonts w:hint="eastAsia"/>
                  <w:sz w:val="32"/>
                  <w:szCs w:val="32"/>
                </w:rPr>
                <w:t>三、综合评标评分标准....................................</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11</w:t>
              </w:r>
            </w:p>
            <w:p>
              <w:pPr>
                <w:pStyle w:val="17"/>
                <w:ind w:left="0" w:leftChars="0" w:firstLine="0" w:firstLineChars="0"/>
                <w:rPr>
                  <w:rFonts w:hint="default" w:ascii="Arial" w:hAnsi="Arial" w:eastAsia="宋体" w:cs="Arial"/>
                  <w:snapToGrid w:val="0"/>
                  <w:color w:val="000000"/>
                  <w:sz w:val="32"/>
                  <w:szCs w:val="32"/>
                  <w:lang w:val="en-US" w:eastAsia="zh-CN" w:bidi="ar-SA"/>
                </w:rPr>
              </w:pPr>
              <w:r>
                <w:rPr>
                  <w:rFonts w:hint="eastAsia" w:eastAsia="宋体"/>
                  <w:sz w:val="32"/>
                  <w:szCs w:val="32"/>
                  <w:lang w:val="en-US" w:eastAsia="zh-CN"/>
                </w:rPr>
                <w:t>四、</w:t>
              </w:r>
              <w:r>
                <w:rPr>
                  <w:rFonts w:hint="eastAsia" w:ascii="Arial" w:hAnsi="Arial" w:eastAsia="Arial" w:cs="Arial"/>
                  <w:snapToGrid w:val="0"/>
                  <w:color w:val="000000"/>
                  <w:sz w:val="32"/>
                  <w:szCs w:val="32"/>
                  <w:lang w:val="en-US" w:eastAsia="zh-CN" w:bidi="ar-SA"/>
                </w:rPr>
                <w:t>合同（参考文本）</w:t>
              </w:r>
              <w:r>
                <w:rPr>
                  <w:rFonts w:hint="eastAsia"/>
                  <w:sz w:val="32"/>
                  <w:szCs w:val="32"/>
                </w:rPr>
                <w:t>...............................................................</w:t>
              </w:r>
              <w:r>
                <w:rPr>
                  <w:rFonts w:hint="eastAsia" w:eastAsia="宋体"/>
                  <w:sz w:val="32"/>
                  <w:szCs w:val="32"/>
                  <w:lang w:val="en-US" w:eastAsia="zh-CN"/>
                </w:rPr>
                <w:t>13</w:t>
              </w:r>
            </w:p>
            <w:p>
              <w:pPr>
                <w:pStyle w:val="12"/>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pPr>
        <w:pStyle w:val="17"/>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邀请招标的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方式组织</w:t>
      </w:r>
      <w:r>
        <w:rPr>
          <w:rFonts w:hint="eastAsia" w:ascii="宋体" w:hAnsi="宋体" w:eastAsia="宋体" w:cs="宋体"/>
          <w:spacing w:val="0"/>
          <w:sz w:val="24"/>
          <w:szCs w:val="24"/>
          <w:u w:val="single"/>
        </w:rPr>
        <w:t>真空舱组件设计加工</w:t>
      </w:r>
      <w:r>
        <w:rPr>
          <w:rFonts w:hint="eastAsia" w:ascii="宋体" w:hAnsi="宋体" w:eastAsia="宋体" w:cs="宋体"/>
          <w:spacing w:val="0"/>
          <w:sz w:val="24"/>
          <w:szCs w:val="24"/>
          <w:u w:val="single" w:color="auto"/>
          <w:lang w:val="en-US" w:eastAsia="zh-CN"/>
        </w:rPr>
        <w:t>采购</w:t>
      </w:r>
      <w:r>
        <w:rPr>
          <w:rFonts w:hint="eastAsia" w:ascii="宋体" w:hAnsi="宋体" w:eastAsia="宋体" w:cs="宋体"/>
          <w:spacing w:val="0"/>
          <w:sz w:val="24"/>
          <w:szCs w:val="24"/>
        </w:rPr>
        <w:t>项目，现欢迎国内合格的供应商前来参加</w:t>
      </w:r>
      <w:r>
        <w:rPr>
          <w:rFonts w:hint="eastAsia" w:ascii="宋体" w:hAnsi="宋体" w:eastAsia="宋体" w:cs="宋体"/>
          <w:spacing w:val="0"/>
          <w:sz w:val="24"/>
          <w:szCs w:val="24"/>
          <w:lang w:eastAsia="zh-CN"/>
        </w:rPr>
        <w:t>。</w:t>
      </w:r>
    </w:p>
    <w:p>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8"/>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740"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设备</w:t>
            </w:r>
            <w:r>
              <w:rPr>
                <w:rFonts w:hint="eastAsia" w:ascii="宋体" w:hAnsi="宋体" w:eastAsia="宋体" w:cs="宋体"/>
                <w:sz w:val="24"/>
                <w:szCs w:val="24"/>
              </w:rPr>
              <w:t>名称</w:t>
            </w:r>
          </w:p>
        </w:tc>
        <w:tc>
          <w:tcPr>
            <w:tcW w:w="122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数量</w:t>
            </w:r>
          </w:p>
        </w:tc>
        <w:tc>
          <w:tcPr>
            <w:tcW w:w="808"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单位</w:t>
            </w:r>
          </w:p>
        </w:tc>
        <w:tc>
          <w:tcPr>
            <w:tcW w:w="1412"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107"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质量及其他要求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3740" w:type="dxa"/>
            <w:vAlign w:val="center"/>
          </w:tcPr>
          <w:p>
            <w:pPr>
              <w:spacing w:line="360" w:lineRule="auto"/>
              <w:jc w:val="center"/>
              <w:rPr>
                <w:rFonts w:hint="default" w:ascii="宋体" w:hAnsi="宋体" w:eastAsia="宋体" w:cs="宋体"/>
                <w:sz w:val="24"/>
                <w:szCs w:val="24"/>
                <w:lang w:val="en-US" w:eastAsia="zh-CN"/>
              </w:rPr>
            </w:pPr>
            <w:r>
              <w:rPr>
                <w:rFonts w:hint="eastAsia"/>
                <w:b w:val="0"/>
                <w:bCs w:val="0"/>
                <w:sz w:val="24"/>
                <w:szCs w:val="24"/>
                <w:u w:val="none"/>
              </w:rPr>
              <w:t>真空舱组件设计加工</w:t>
            </w:r>
          </w:p>
        </w:tc>
        <w:tc>
          <w:tcPr>
            <w:tcW w:w="122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808"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套</w:t>
            </w:r>
          </w:p>
        </w:tc>
        <w:tc>
          <w:tcPr>
            <w:tcW w:w="1412" w:type="dxa"/>
            <w:vAlign w:val="center"/>
          </w:tcPr>
          <w:p>
            <w:pPr>
              <w:spacing w:line="360" w:lineRule="auto"/>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120天</w:t>
            </w:r>
          </w:p>
        </w:tc>
        <w:tc>
          <w:tcPr>
            <w:tcW w:w="1107" w:type="dxa"/>
            <w:vMerge w:val="restart"/>
            <w:tcBorders>
              <w:bottom w:val="nil"/>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详见附件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024"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740"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以下空白</w:t>
            </w:r>
            <w:r>
              <w:rPr>
                <w:rFonts w:hint="eastAsia" w:ascii="宋体" w:hAnsi="宋体" w:eastAsia="宋体" w:cs="宋体"/>
                <w:sz w:val="24"/>
                <w:szCs w:val="24"/>
                <w:lang w:eastAsia="zh-CN"/>
              </w:rPr>
              <w:t>）</w:t>
            </w:r>
          </w:p>
        </w:tc>
        <w:tc>
          <w:tcPr>
            <w:tcW w:w="1225" w:type="dxa"/>
            <w:vAlign w:val="center"/>
          </w:tcPr>
          <w:p>
            <w:pPr>
              <w:spacing w:line="360" w:lineRule="auto"/>
              <w:jc w:val="center"/>
              <w:rPr>
                <w:rFonts w:ascii="宋体" w:hAnsi="宋体" w:eastAsia="宋体" w:cs="宋体"/>
                <w:sz w:val="24"/>
                <w:szCs w:val="24"/>
              </w:rPr>
            </w:pPr>
          </w:p>
        </w:tc>
        <w:tc>
          <w:tcPr>
            <w:tcW w:w="808" w:type="dxa"/>
            <w:vAlign w:val="center"/>
          </w:tcPr>
          <w:p>
            <w:pPr>
              <w:spacing w:line="360" w:lineRule="auto"/>
              <w:jc w:val="center"/>
              <w:rPr>
                <w:rFonts w:ascii="宋体" w:hAnsi="宋体" w:eastAsia="宋体" w:cs="宋体"/>
                <w:sz w:val="24"/>
                <w:szCs w:val="24"/>
              </w:rPr>
            </w:pPr>
          </w:p>
        </w:tc>
        <w:tc>
          <w:tcPr>
            <w:tcW w:w="1412" w:type="dxa"/>
            <w:vAlign w:val="center"/>
          </w:tcPr>
          <w:p>
            <w:pPr>
              <w:spacing w:line="360" w:lineRule="auto"/>
              <w:jc w:val="center"/>
              <w:rPr>
                <w:rFonts w:ascii="宋体" w:hAnsi="宋体" w:eastAsia="宋体" w:cs="宋体"/>
                <w:sz w:val="24"/>
                <w:szCs w:val="24"/>
              </w:rPr>
            </w:pPr>
          </w:p>
        </w:tc>
        <w:tc>
          <w:tcPr>
            <w:tcW w:w="1107" w:type="dxa"/>
            <w:vMerge w:val="continue"/>
            <w:tcBorders>
              <w:top w:val="nil"/>
            </w:tcBorders>
            <w:vAlign w:val="center"/>
          </w:tcPr>
          <w:p>
            <w:pPr>
              <w:spacing w:line="360" w:lineRule="auto"/>
              <w:jc w:val="center"/>
              <w:rPr>
                <w:rFonts w:ascii="宋体" w:hAnsi="宋体" w:eastAsia="宋体" w:cs="宋体"/>
                <w:sz w:val="24"/>
                <w:szCs w:val="24"/>
              </w:rPr>
            </w:pPr>
          </w:p>
        </w:tc>
      </w:tr>
    </w:tbl>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(具体相关信息如技术参数、规格、质量标准、包装、运输费等要求请与我单位相关人员联系，联系人:罗旻昊 联系电话:13385987192 )</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2、交货地点：中国机械总院集团海西（福建）分院有限公司指定地点。</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12日</w:t>
      </w:r>
      <w:r>
        <w:rPr>
          <w:rFonts w:hint="eastAsia" w:ascii="宋体" w:hAnsi="宋体" w:eastAsia="宋体" w:cs="宋体"/>
          <w:sz w:val="24"/>
          <w:szCs w:val="24"/>
          <w:highlight w:val="none"/>
        </w:rPr>
        <w:t>。</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5、相关要求：</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日前与相关负责人联系。关于评标结果，我们将会在评标结束之后第一时间告知。</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7、联系方式：</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8050668</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pPr>
        <w:pStyle w:val="17"/>
        <w:spacing w:line="360" w:lineRule="auto"/>
        <w:ind w:firstLine="480"/>
        <w:rPr>
          <w:sz w:val="24"/>
          <w:szCs w:val="24"/>
          <w:highlight w:val="none"/>
        </w:rPr>
      </w:pPr>
    </w:p>
    <w:p>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w:t>
      </w:r>
      <w:r>
        <w:rPr>
          <w:rFonts w:hint="eastAsia" w:eastAsia="宋体"/>
          <w:spacing w:val="-3"/>
          <w:sz w:val="24"/>
          <w:szCs w:val="24"/>
          <w:lang w:val="en-US" w:eastAsia="zh-CN"/>
        </w:rPr>
        <w:t>要求</w:t>
      </w:r>
      <w:r>
        <w:rPr>
          <w:rFonts w:hint="eastAsia" w:eastAsia="宋体"/>
          <w:spacing w:val="-3"/>
          <w:sz w:val="24"/>
          <w:szCs w:val="24"/>
        </w:rPr>
        <w:t>》</w:t>
      </w:r>
    </w:p>
    <w:p>
      <w:pPr>
        <w:pStyle w:val="17"/>
        <w:spacing w:line="360" w:lineRule="auto"/>
        <w:ind w:firstLine="1170" w:firstLineChars="500"/>
        <w:rPr>
          <w:rFonts w:eastAsia="宋体"/>
        </w:rPr>
      </w:pPr>
      <w:r>
        <w:rPr>
          <w:rFonts w:hint="eastAsia" w:eastAsia="宋体"/>
          <w:spacing w:val="-3"/>
          <w:sz w:val="24"/>
          <w:szCs w:val="24"/>
        </w:rPr>
        <w:t>《</w:t>
      </w:r>
      <w:r>
        <w:rPr>
          <w:rFonts w:hint="eastAsia" w:eastAsia="宋体"/>
          <w:spacing w:val="-3"/>
          <w:sz w:val="24"/>
          <w:szCs w:val="24"/>
          <w:lang w:val="en-US" w:eastAsia="zh-CN"/>
        </w:rPr>
        <w:t>商务</w:t>
      </w:r>
      <w:r>
        <w:rPr>
          <w:rFonts w:hint="eastAsia" w:eastAsia="宋体"/>
          <w:spacing w:val="-3"/>
          <w:sz w:val="24"/>
          <w:szCs w:val="24"/>
        </w:rPr>
        <w:t>要求》</w:t>
      </w:r>
    </w:p>
    <w:p>
      <w:pPr>
        <w:tabs>
          <w:tab w:val="left" w:pos="1446"/>
        </w:tabs>
        <w:spacing w:line="360" w:lineRule="auto"/>
        <w:ind w:left="112" w:right="26" w:firstLine="490"/>
        <w:jc w:val="right"/>
        <w:rPr>
          <w:rFonts w:ascii="宋体" w:hAnsi="宋体" w:eastAsia="宋体" w:cs="宋体"/>
          <w:sz w:val="24"/>
          <w:szCs w:val="24"/>
        </w:rPr>
      </w:pPr>
    </w:p>
    <w:p>
      <w:pPr>
        <w:tabs>
          <w:tab w:val="left" w:pos="1446"/>
        </w:tabs>
        <w:spacing w:line="360" w:lineRule="auto"/>
        <w:ind w:left="112" w:right="26" w:firstLine="490"/>
        <w:jc w:val="right"/>
        <w:rPr>
          <w:rFonts w:hint="eastAsia" w:ascii="宋体" w:hAnsi="宋体" w:eastAsia="宋体" w:cs="宋体"/>
          <w:sz w:val="24"/>
          <w:szCs w:val="24"/>
          <w:lang w:eastAsia="zh-CN"/>
        </w:rPr>
      </w:pPr>
      <w:r>
        <w:rPr>
          <w:rFonts w:hint="eastAsia" w:ascii="宋体" w:hAnsi="宋体" w:eastAsia="宋体" w:cs="宋体"/>
          <w:sz w:val="24"/>
          <w:szCs w:val="24"/>
        </w:rPr>
        <w:t>中国机械总院集团海西（福建）分院有限公司</w:t>
      </w:r>
    </w:p>
    <w:p>
      <w:pPr>
        <w:tabs>
          <w:tab w:val="left" w:pos="1446"/>
        </w:tabs>
        <w:spacing w:line="360" w:lineRule="auto"/>
        <w:ind w:left="112" w:right="26" w:firstLine="5349" w:firstLineChars="2229"/>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04</w:t>
      </w:r>
      <w:r>
        <w:rPr>
          <w:rFonts w:hint="eastAsia" w:ascii="宋体" w:hAnsi="宋体" w:eastAsia="宋体" w:cs="宋体"/>
          <w:sz w:val="24"/>
          <w:szCs w:val="24"/>
          <w:highlight w:val="none"/>
        </w:rPr>
        <w:t>日</w:t>
      </w:r>
    </w:p>
    <w:p>
      <w:pPr>
        <w:spacing w:before="79" w:line="360" w:lineRule="auto"/>
        <w:jc w:val="center"/>
        <w:rPr>
          <w:b/>
          <w:kern w:val="24"/>
          <w:sz w:val="24"/>
          <w:szCs w:val="24"/>
        </w:rPr>
      </w:pPr>
    </w:p>
    <w:p>
      <w:pPr>
        <w:spacing w:before="79" w:line="360" w:lineRule="auto"/>
        <w:jc w:val="center"/>
        <w:rPr>
          <w:b/>
          <w:kern w:val="24"/>
          <w:sz w:val="24"/>
          <w:szCs w:val="24"/>
        </w:rPr>
      </w:pPr>
    </w:p>
    <w:p>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pPr>
        <w:numPr>
          <w:ilvl w:val="0"/>
          <w:numId w:val="0"/>
        </w:numPr>
        <w:spacing w:line="420" w:lineRule="exact"/>
        <w:rPr>
          <w:rFonts w:hint="eastAsia" w:asciiTheme="minorEastAsia" w:hAnsiTheme="minorEastAsia" w:eastAsiaTheme="minorEastAsia"/>
          <w:b/>
          <w:bCs w:val="0"/>
          <w:sz w:val="28"/>
        </w:rPr>
      </w:pPr>
    </w:p>
    <w:p>
      <w:pPr>
        <w:numPr>
          <w:ilvl w:val="0"/>
          <w:numId w:val="0"/>
        </w:numPr>
        <w:spacing w:line="420" w:lineRule="exact"/>
        <w:rPr>
          <w:rFonts w:hint="eastAsia" w:asciiTheme="minorEastAsia" w:hAnsiTheme="minorEastAsia" w:eastAsiaTheme="minorEastAsia"/>
          <w:b/>
          <w:bCs w:val="0"/>
          <w:sz w:val="28"/>
        </w:rPr>
      </w:pPr>
      <w:r>
        <w:rPr>
          <w:rFonts w:hint="eastAsia" w:eastAsia="宋体"/>
          <w:b/>
          <w:bCs/>
          <w:sz w:val="30"/>
          <w:szCs w:val="30"/>
          <w:u w:val="none"/>
          <w:lang w:val="en-US" w:eastAsia="zh-CN"/>
        </w:rPr>
        <w:t>一、</w:t>
      </w:r>
      <w:r>
        <w:rPr>
          <w:rFonts w:hint="eastAsia"/>
          <w:b/>
          <w:bCs/>
          <w:sz w:val="30"/>
          <w:szCs w:val="30"/>
          <w:u w:val="none"/>
        </w:rPr>
        <w:t>真空舱组件设计加工</w:t>
      </w:r>
      <w:r>
        <w:rPr>
          <w:rFonts w:hint="eastAsia" w:asciiTheme="minorEastAsia" w:hAnsiTheme="minorEastAsia" w:eastAsiaTheme="minorEastAsia"/>
          <w:b/>
          <w:bCs w:val="0"/>
          <w:sz w:val="28"/>
        </w:rPr>
        <w:t>主要技术参数</w:t>
      </w:r>
    </w:p>
    <w:p>
      <w:pPr>
        <w:numPr>
          <w:ilvl w:val="0"/>
          <w:numId w:val="0"/>
        </w:numPr>
        <w:spacing w:line="420" w:lineRule="exact"/>
        <w:rPr>
          <w:rFonts w:hint="default" w:ascii="微软雅黑" w:hAnsi="微软雅黑" w:eastAsia="宋体" w:cs="微软雅黑"/>
          <w:b/>
          <w:bCs/>
          <w:lang w:val="en-US" w:eastAsia="zh-CN"/>
        </w:rPr>
      </w:pPr>
    </w:p>
    <w:tbl>
      <w:tblPr>
        <w:tblStyle w:val="13"/>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63"/>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b w:val="0"/>
                <w:bCs w:val="0"/>
                <w:color w:val="auto"/>
                <w:sz w:val="24"/>
                <w:szCs w:val="24"/>
              </w:rPr>
            </w:pPr>
            <w:r>
              <w:rPr>
                <w:b/>
                <w:color w:val="000000"/>
                <w:sz w:val="24"/>
                <w:szCs w:val="24"/>
              </w:rPr>
              <w:t>序号</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val="0"/>
                <w:bCs w:val="0"/>
                <w:color w:val="auto"/>
                <w:sz w:val="24"/>
                <w:szCs w:val="24"/>
                <w:lang w:val="en-US" w:eastAsia="zh-CN"/>
              </w:rPr>
            </w:pPr>
            <w:r>
              <w:rPr>
                <w:b/>
                <w:color w:val="000000"/>
                <w:sz w:val="24"/>
                <w:szCs w:val="24"/>
              </w:rPr>
              <w:t>项目名称</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val="0"/>
                <w:bCs w:val="0"/>
                <w:color w:val="auto"/>
                <w:sz w:val="24"/>
                <w:szCs w:val="24"/>
                <w:lang w:val="en-US" w:eastAsia="zh-CN"/>
              </w:rPr>
            </w:pPr>
            <w:r>
              <w:rPr>
                <w:b/>
                <w:color w:val="00000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Arial" w:cs="Arial"/>
                <w:snapToGrid w:val="0"/>
                <w:color w:val="000000"/>
                <w:kern w:val="0"/>
                <w:sz w:val="24"/>
                <w:szCs w:val="24"/>
                <w:lang w:val="en-US" w:eastAsia="zh-CN"/>
              </w:rPr>
            </w:pPr>
            <w:r>
              <w:rPr>
                <w:rFonts w:hint="eastAsia"/>
                <w:color w:val="000000"/>
                <w:sz w:val="24"/>
                <w:szCs w:val="24"/>
              </w:rPr>
              <w:t>1</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真空舱体尺寸</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整体长度≤6.9m，高度≤2.5m（闸板阀除外），整体重量≤2.4T（含闸板阀0.4T）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Arial" w:cs="Arial"/>
                <w:snapToGrid w:val="0"/>
                <w:color w:val="000000"/>
                <w:kern w:val="0"/>
                <w:sz w:val="24"/>
                <w:szCs w:val="24"/>
                <w:lang w:val="en-US" w:eastAsia="zh-CN"/>
              </w:rPr>
            </w:pPr>
            <w:r>
              <w:rPr>
                <w:rFonts w:hint="eastAsia"/>
                <w:color w:val="000000"/>
                <w:sz w:val="24"/>
                <w:szCs w:val="24"/>
              </w:rPr>
              <w:t>2</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真空舱体总体漏率</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＜1.0x10-10Pa•m3/s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Arial" w:cs="Arial"/>
                <w:snapToGrid w:val="0"/>
                <w:color w:val="000000"/>
                <w:kern w:val="0"/>
                <w:sz w:val="24"/>
                <w:szCs w:val="24"/>
                <w:lang w:val="en-US" w:eastAsia="zh-CN"/>
              </w:rPr>
            </w:pPr>
            <w:r>
              <w:rPr>
                <w:rFonts w:hint="eastAsia"/>
                <w:color w:val="000000"/>
                <w:sz w:val="24"/>
                <w:szCs w:val="24"/>
              </w:rPr>
              <w:t>3</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材质</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舱体制作采用Al 6061-T6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Arial" w:cs="Arial"/>
                <w:snapToGrid w:val="0"/>
                <w:color w:val="000000"/>
                <w:kern w:val="0"/>
                <w:sz w:val="24"/>
                <w:szCs w:val="24"/>
                <w:lang w:val="en-US" w:eastAsia="zh-CN"/>
              </w:rPr>
            </w:pPr>
            <w:r>
              <w:rPr>
                <w:rFonts w:hint="eastAsia"/>
                <w:color w:val="000000"/>
                <w:sz w:val="24"/>
                <w:szCs w:val="24"/>
              </w:rPr>
              <w:t>4</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观察窗</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在真空舱的侧面和后端设计供诊断系统安装调试的法兰和观察窗；未安装诊断系统时，真空舱内中心轴线Ф200mm±5mm范围内视线无遮挡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Arial" w:cs="Arial"/>
                <w:snapToGrid w:val="0"/>
                <w:color w:val="000000"/>
                <w:kern w:val="0"/>
                <w:sz w:val="24"/>
                <w:szCs w:val="24"/>
                <w:lang w:val="en-US" w:eastAsia="zh-CN"/>
              </w:rPr>
            </w:pPr>
            <w:r>
              <w:rPr>
                <w:rFonts w:hint="eastAsia"/>
                <w:color w:val="000000"/>
                <w:sz w:val="24"/>
                <w:szCs w:val="24"/>
              </w:rPr>
              <w:t>5</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侧面大型窗口</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真空舱侧面大型窗口的密封圈槽设计为燕尾槽型，降低窗口打开时密封圈掉落的风险；真空舱侧面大型窗口开闭方式要求简单快捷，设计助力机构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Arial" w:cs="Arial"/>
                <w:snapToGrid w:val="0"/>
                <w:color w:val="000000"/>
                <w:kern w:val="0"/>
                <w:sz w:val="24"/>
                <w:szCs w:val="24"/>
                <w:lang w:val="en-US" w:eastAsia="zh-CN"/>
              </w:rPr>
            </w:pPr>
            <w:r>
              <w:rPr>
                <w:rFonts w:hint="eastAsia"/>
                <w:color w:val="000000"/>
                <w:sz w:val="24"/>
                <w:szCs w:val="24"/>
              </w:rPr>
              <w:t>6</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真空接口</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系统不单独配备真空机组，真空舱体设计粗抽机组接口，选用不带密封面的DN100固定法兰接口；要求配置DN100真空阀门。真空舱体设计2组真空测量模块接口（真空规管甲供）。真空舱体设计2个DN250真空机组接口，用于调试期间的真空机组的安装及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Arial" w:cs="Arial"/>
                <w:snapToGrid w:val="0"/>
                <w:color w:val="000000"/>
                <w:kern w:val="0"/>
                <w:sz w:val="24"/>
                <w:szCs w:val="24"/>
                <w:lang w:val="en-US" w:eastAsia="zh-CN"/>
              </w:rPr>
            </w:pPr>
            <w:r>
              <w:rPr>
                <w:rFonts w:hint="eastAsia"/>
                <w:color w:val="000000"/>
                <w:sz w:val="24"/>
                <w:szCs w:val="24"/>
              </w:rPr>
              <w:t>7</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侧面操作窗口</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真空舱侧面设计操作窗口，便于系统及诊断系统的安装调试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Arial" w:cs="Arial"/>
                <w:snapToGrid w:val="0"/>
                <w:color w:val="000000"/>
                <w:kern w:val="0"/>
                <w:sz w:val="24"/>
                <w:szCs w:val="24"/>
                <w:lang w:val="en-US" w:eastAsia="zh-CN"/>
              </w:rPr>
            </w:pPr>
            <w:r>
              <w:rPr>
                <w:rFonts w:hint="eastAsia"/>
                <w:color w:val="000000"/>
                <w:sz w:val="24"/>
                <w:szCs w:val="24"/>
              </w:rPr>
              <w:t>8</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吊装接口</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真空舱体上设计吊装接口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Arial" w:cs="Arial"/>
                <w:snapToGrid w:val="0"/>
                <w:color w:val="000000"/>
                <w:kern w:val="0"/>
                <w:sz w:val="24"/>
                <w:szCs w:val="24"/>
                <w:lang w:val="en-US" w:eastAsia="zh-CN"/>
              </w:rPr>
            </w:pPr>
            <w:r>
              <w:rPr>
                <w:rFonts w:hint="eastAsia"/>
                <w:color w:val="000000"/>
                <w:sz w:val="24"/>
                <w:szCs w:val="24"/>
              </w:rPr>
              <w:t>9</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通排风接口</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真空舱体前后舱段各设计一个DN100接口法兰，用于通排风系统接口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eastAsia="Arial" w:cs="Arial"/>
                <w:snapToGrid w:val="0"/>
                <w:color w:val="000000"/>
                <w:kern w:val="0"/>
                <w:sz w:val="24"/>
                <w:szCs w:val="24"/>
                <w:lang w:val="en-US" w:eastAsia="zh-CN"/>
              </w:rPr>
            </w:pPr>
            <w:r>
              <w:rPr>
                <w:rFonts w:hint="eastAsia"/>
                <w:color w:val="000000"/>
                <w:sz w:val="24"/>
                <w:szCs w:val="24"/>
              </w:rPr>
              <w:t>10</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闸板阀接口</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预留DN630闸板阀接口（不含闸板阀），在闸板阀附近进行加固设计，避免闸板阀承载较大拉力。同时预留闸板阀控制接口（24V），闸板阀的控制接入搭载平台控制系统中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szCs w:val="24"/>
              </w:rPr>
            </w:pPr>
            <w:r>
              <w:rPr>
                <w:rFonts w:hint="eastAsia"/>
                <w:color w:val="000000"/>
                <w:sz w:val="24"/>
                <w:szCs w:val="24"/>
              </w:rPr>
              <w:t>11</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“三性三化”</w:t>
            </w:r>
          </w:p>
        </w:tc>
        <w:tc>
          <w:tcPr>
            <w:tcW w:w="6625" w:type="dxa"/>
            <w:tcBorders>
              <w:top w:val="single" w:color="auto" w:sz="4" w:space="0"/>
              <w:left w:val="single" w:color="auto" w:sz="4" w:space="0"/>
              <w:bottom w:val="single" w:color="auto" w:sz="4" w:space="0"/>
              <w:right w:val="single" w:color="auto" w:sz="4" w:space="0"/>
            </w:tcBorders>
            <w:noWrap w:val="0"/>
            <w:vAlign w:val="center"/>
          </w:tcPr>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按照“三性三化”的总体要求进行设计，满足集成控制、可靠性、模块化、易维护等要求；同时要求系统外形整洁美观，内部表面光整，设计、材料、加工、真空处理等严格参照附件中的标准、规范执行</w:t>
            </w:r>
          </w:p>
        </w:tc>
      </w:tr>
    </w:tbl>
    <w:p>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4" w:name="_Toc32918531"/>
      <w:bookmarkEnd w:id="4"/>
      <w:bookmarkStart w:id="5" w:name="_Toc14127"/>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商务要求</w:t>
      </w:r>
      <w:bookmarkEnd w:id="5"/>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交货时间为合同签订后内，交货地点为福建省三明市沙县区创新东路4</w:t>
      </w:r>
      <w:r>
        <w:rPr>
          <w:rFonts w:ascii="宋体" w:hAnsi="宋体" w:eastAsia="宋体" w:cs="宋体"/>
          <w:sz w:val="24"/>
          <w:szCs w:val="24"/>
        </w:rPr>
        <w:t>13</w:t>
      </w:r>
      <w:r>
        <w:rPr>
          <w:rFonts w:hint="eastAsia" w:ascii="宋体" w:hAnsi="宋体" w:eastAsia="宋体" w:cs="宋体"/>
          <w:sz w:val="24"/>
          <w:szCs w:val="24"/>
        </w:rPr>
        <w:t>号。</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卖方负责设备在买方工厂安装调试。</w:t>
      </w:r>
      <w:r>
        <w:rPr>
          <w:rFonts w:hint="eastAsia" w:ascii="宋体" w:hAnsi="宋体" w:eastAsia="宋体" w:cs="宋体"/>
          <w:sz w:val="24"/>
          <w:szCs w:val="24"/>
          <w:lang w:val="en-US" w:eastAsia="zh-CN"/>
        </w:rPr>
        <w:t>2</w:t>
      </w:r>
      <w:r>
        <w:rPr>
          <w:rFonts w:hint="eastAsia" w:ascii="宋体" w:hAnsi="宋体" w:eastAsia="宋体" w:cs="宋体"/>
          <w:sz w:val="24"/>
          <w:szCs w:val="24"/>
        </w:rPr>
        <w:t>个月安装调试及终验收所用的专用工具、量具由卖方自备。</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投标文件中要写明供货期及安装、调试直至完成终验收所需用的时间。</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rPr>
        <w:t>使用现场安装后进行验收，由买方组织进行，卖方代表参加。设备验收时按合同设备技术文件涉及的所有内容逐一检验。重点做好以下检验：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.4.1</w:t>
      </w:r>
      <w:r>
        <w:rPr>
          <w:rFonts w:hint="eastAsia" w:ascii="宋体" w:hAnsi="宋体" w:eastAsia="宋体" w:cs="宋体"/>
          <w:sz w:val="24"/>
          <w:szCs w:val="24"/>
        </w:rPr>
        <w:t>外观质量、规格型号、附件和工具。</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.4.2</w:t>
      </w:r>
      <w:r>
        <w:rPr>
          <w:rFonts w:hint="eastAsia" w:ascii="宋体" w:hAnsi="宋体" w:eastAsia="宋体" w:cs="宋体"/>
          <w:sz w:val="24"/>
          <w:szCs w:val="24"/>
        </w:rPr>
        <w:t>关键零部件的检验。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.4.3</w:t>
      </w:r>
      <w:r>
        <w:rPr>
          <w:rFonts w:hint="eastAsia" w:ascii="宋体" w:hAnsi="宋体" w:eastAsia="宋体" w:cs="宋体"/>
          <w:sz w:val="24"/>
          <w:szCs w:val="24"/>
        </w:rPr>
        <w:t>参数检验：对合同设备主要技术参数进行检验。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技术资料清点。</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lang w:val="en-US" w:eastAsia="zh-CN"/>
        </w:rPr>
        <w:t>5</w:t>
      </w:r>
      <w:r>
        <w:rPr>
          <w:rFonts w:hint="eastAsia" w:ascii="宋体" w:hAnsi="宋体" w:eastAsia="宋体" w:cs="宋体"/>
          <w:sz w:val="24"/>
          <w:szCs w:val="24"/>
        </w:rPr>
        <w:t>设备验收时若有不满足要求的情况，卖方需负全部责任。</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宋体"/>
          <w:sz w:val="24"/>
          <w:szCs w:val="24"/>
        </w:rPr>
        <w:t>卖方负责买方相关人员的培训，包括并不限于操作、编程、安全、保养、维护等内容。</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1.6付款方式：</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银行转账或者银承电子承兑</w:t>
      </w:r>
      <w:r>
        <w:rPr>
          <w:rFonts w:hint="eastAsia" w:ascii="宋体" w:hAnsi="宋体" w:eastAsia="宋体" w:cs="宋体"/>
          <w:sz w:val="24"/>
          <w:szCs w:val="24"/>
        </w:rPr>
        <w:t>汇票；</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（2）合同签订后付第一笔款30%；</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）产品按照甲方要求</w:t>
      </w:r>
      <w:r>
        <w:rPr>
          <w:rFonts w:hint="eastAsia" w:ascii="宋体" w:hAnsi="宋体" w:eastAsia="宋体" w:cs="宋体"/>
          <w:sz w:val="24"/>
          <w:szCs w:val="24"/>
          <w:lang w:val="en-US" w:eastAsia="zh-CN"/>
        </w:rPr>
        <w:t>生产</w:t>
      </w:r>
      <w:r>
        <w:rPr>
          <w:rFonts w:hint="eastAsia" w:ascii="宋体" w:hAnsi="宋体" w:eastAsia="宋体" w:cs="宋体"/>
          <w:sz w:val="24"/>
          <w:szCs w:val="24"/>
        </w:rPr>
        <w:t>完毕</w:t>
      </w:r>
      <w:r>
        <w:rPr>
          <w:rFonts w:hint="eastAsia" w:ascii="宋体" w:hAnsi="宋体" w:eastAsia="宋体" w:cs="宋体"/>
          <w:sz w:val="24"/>
          <w:szCs w:val="24"/>
          <w:lang w:val="en-US" w:eastAsia="zh-CN"/>
        </w:rPr>
        <w:t>具备发货条件</w:t>
      </w:r>
      <w:r>
        <w:rPr>
          <w:rFonts w:hint="eastAsia" w:ascii="宋体" w:hAnsi="宋体" w:eastAsia="宋体" w:cs="宋体"/>
          <w:sz w:val="24"/>
          <w:szCs w:val="24"/>
        </w:rPr>
        <w:t>，</w:t>
      </w:r>
      <w:r>
        <w:rPr>
          <w:rFonts w:hint="eastAsia" w:ascii="宋体" w:hAnsi="宋体" w:eastAsia="宋体" w:cs="宋体"/>
          <w:sz w:val="24"/>
          <w:szCs w:val="24"/>
          <w:lang w:val="en-US" w:eastAsia="zh-CN"/>
        </w:rPr>
        <w:t>通知</w:t>
      </w:r>
      <w:r>
        <w:rPr>
          <w:rFonts w:hint="eastAsia" w:ascii="宋体" w:hAnsi="宋体" w:eastAsia="宋体" w:cs="宋体"/>
          <w:sz w:val="24"/>
          <w:szCs w:val="24"/>
        </w:rPr>
        <w:t>甲方支付第</w:t>
      </w:r>
      <w:r>
        <w:rPr>
          <w:rFonts w:hint="eastAsia" w:ascii="宋体" w:hAnsi="宋体" w:eastAsia="宋体" w:cs="宋体"/>
          <w:sz w:val="24"/>
          <w:szCs w:val="24"/>
          <w:lang w:val="en-US" w:eastAsia="zh-CN"/>
        </w:rPr>
        <w:t>二</w:t>
      </w:r>
      <w:r>
        <w:rPr>
          <w:rFonts w:hint="eastAsia" w:ascii="宋体" w:hAnsi="宋体" w:eastAsia="宋体" w:cs="宋体"/>
          <w:sz w:val="24"/>
          <w:szCs w:val="24"/>
        </w:rPr>
        <w:t>笔款30%；</w:t>
      </w:r>
    </w:p>
    <w:p>
      <w:pPr>
        <w:pStyle w:val="17"/>
        <w:ind w:left="0" w:leftChars="0" w:firstLine="0" w:firstLineChars="0"/>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产品交付，</w:t>
      </w:r>
      <w:r>
        <w:rPr>
          <w:rFonts w:hint="eastAsia" w:ascii="宋体" w:hAnsi="宋体" w:eastAsia="宋体" w:cs="宋体"/>
          <w:sz w:val="24"/>
          <w:szCs w:val="24"/>
        </w:rPr>
        <w:t>乙方组织产品性能试验，技术指标达到合同规定要求，且经甲方确认后，甲方付第</w:t>
      </w:r>
      <w:r>
        <w:rPr>
          <w:rFonts w:hint="eastAsia" w:ascii="宋体" w:hAnsi="宋体" w:eastAsia="宋体" w:cs="宋体"/>
          <w:sz w:val="24"/>
          <w:szCs w:val="24"/>
          <w:lang w:val="en-US" w:eastAsia="zh-CN"/>
        </w:rPr>
        <w:t>三</w:t>
      </w:r>
      <w:r>
        <w:rPr>
          <w:rFonts w:hint="eastAsia" w:ascii="宋体" w:hAnsi="宋体" w:eastAsia="宋体" w:cs="宋体"/>
          <w:sz w:val="24"/>
          <w:szCs w:val="24"/>
        </w:rPr>
        <w:t>笔款30%；</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（5）剩余10%转为质保金，在验收合格后一年后无质量问题一次性支付（无息）。</w:t>
      </w:r>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rPr>
        <w:t>质保期为终验收合格之日起一年。</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在质保期内，若因</w:t>
      </w:r>
      <w:r>
        <w:rPr>
          <w:rFonts w:hint="eastAsia" w:ascii="宋体" w:hAnsi="宋体" w:eastAsia="宋体" w:cs="宋体"/>
          <w:sz w:val="24"/>
          <w:szCs w:val="24"/>
          <w:lang w:val="en-US" w:eastAsia="zh-CN"/>
        </w:rPr>
        <w:t>设备</w:t>
      </w:r>
      <w:r>
        <w:rPr>
          <w:rFonts w:hint="eastAsia" w:ascii="宋体" w:hAnsi="宋体" w:eastAsia="宋体" w:cs="宋体"/>
          <w:sz w:val="24"/>
          <w:szCs w:val="24"/>
        </w:rPr>
        <w:t>故障造成停工，卖方应在</w:t>
      </w:r>
      <w:r>
        <w:rPr>
          <w:rFonts w:ascii="宋体" w:hAnsi="宋体" w:eastAsia="宋体" w:cs="宋体"/>
          <w:sz w:val="24"/>
          <w:szCs w:val="24"/>
        </w:rPr>
        <w:t>4</w:t>
      </w:r>
      <w:r>
        <w:rPr>
          <w:rFonts w:hint="eastAsia" w:ascii="宋体" w:hAnsi="宋体" w:eastAsia="宋体" w:cs="宋体"/>
          <w:sz w:val="24"/>
          <w:szCs w:val="24"/>
        </w:rPr>
        <w:t>小时内进行答复，</w:t>
      </w:r>
      <w:r>
        <w:rPr>
          <w:rFonts w:ascii="宋体" w:hAnsi="宋体" w:eastAsia="宋体" w:cs="宋体"/>
          <w:sz w:val="24"/>
          <w:szCs w:val="24"/>
        </w:rPr>
        <w:t>24</w:t>
      </w:r>
      <w:r>
        <w:rPr>
          <w:rFonts w:hint="eastAsia" w:ascii="宋体" w:hAnsi="宋体" w:eastAsia="宋体" w:cs="宋体"/>
          <w:sz w:val="24"/>
          <w:szCs w:val="24"/>
        </w:rPr>
        <w:t>小时内到达用户现场。</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w:t>
      </w:r>
      <w:r>
        <w:rPr>
          <w:rFonts w:hint="eastAsia" w:ascii="宋体" w:hAnsi="宋体" w:eastAsia="宋体" w:cs="宋体"/>
          <w:sz w:val="24"/>
          <w:szCs w:val="24"/>
          <w:lang w:val="en-US" w:eastAsia="zh-CN"/>
        </w:rPr>
        <w:t>关键参数</w:t>
      </w:r>
      <w:r>
        <w:rPr>
          <w:rFonts w:hint="eastAsia" w:ascii="宋体" w:hAnsi="宋体" w:eastAsia="宋体" w:cs="宋体"/>
          <w:sz w:val="24"/>
          <w:szCs w:val="24"/>
        </w:rPr>
        <w:t>。</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 注册资本应大于500万</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sz w:val="24"/>
          <w:szCs w:val="24"/>
          <w:lang w:val="en-US" w:eastAsia="zh-CN"/>
        </w:rPr>
        <w:t>3.7 企业必须具有</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val="en-US" w:eastAsia="zh-CN"/>
        </w:rPr>
        <w:t>企业信用等级证明</w:t>
      </w:r>
      <w:r>
        <w:rPr>
          <w:rFonts w:hint="eastAsia" w:ascii="宋体" w:hAnsi="宋体" w:eastAsia="宋体" w:cs="宋体"/>
          <w:color w:val="auto"/>
          <w:sz w:val="24"/>
          <w:szCs w:val="24"/>
        </w:rPr>
        <w:t>）</w:t>
      </w:r>
    </w:p>
    <w:p>
      <w:pPr>
        <w:widowControl w:val="0"/>
        <w:kinsoku/>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3.8</w:t>
      </w:r>
      <w:r>
        <w:rPr>
          <w:rFonts w:hint="eastAsia" w:ascii="宋体" w:hAnsi="宋体" w:eastAsia="宋体" w:cs="宋体"/>
          <w:sz w:val="24"/>
          <w:szCs w:val="24"/>
          <w:lang w:val="en-US" w:eastAsia="zh-CN"/>
        </w:rPr>
        <w:t xml:space="preserve"> 企业必须提供近三年来承接过合同金额 200 万元及以上类似业绩且验收合格的，且应当提供合同、验收证明复印件（须加盖验收方公章）等证明材料。</w:t>
      </w:r>
    </w:p>
    <w:p>
      <w:pPr>
        <w:widowControl w:val="0"/>
        <w:kinsoku/>
        <w:spacing w:line="360" w:lineRule="auto"/>
        <w:rPr>
          <w:rFonts w:hint="default" w:ascii="宋体" w:hAnsi="宋体" w:eastAsia="宋体" w:cs="宋体"/>
          <w:color w:val="auto"/>
          <w:sz w:val="24"/>
          <w:szCs w:val="24"/>
          <w:lang w:val="en-US" w:eastAsia="zh-CN"/>
        </w:rPr>
      </w:pPr>
    </w:p>
    <w:p>
      <w:pPr>
        <w:pStyle w:val="17"/>
        <w:spacing w:line="360" w:lineRule="auto"/>
        <w:ind w:left="0" w:leftChars="0" w:firstLine="0" w:firstLineChars="0"/>
        <w:rPr>
          <w:rFonts w:ascii="宋体" w:hAnsi="宋体" w:eastAsia="宋体" w:cs="宋体"/>
          <w:sz w:val="24"/>
          <w:szCs w:val="2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6" w:name="_Toc22926"/>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6"/>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1、投标人应遵守国家有关招标投标法律、法规、部门规章和规范性文件。</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2、投标资格（包括但不限于）：</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2.2满足招标文件中招标公告及项目要求等的其它条件。</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投标费用：投标人应承担投标过程中所涉及的一切费用，不管投标结果如何，招标人对上述费用不负任何责任。</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4、货物及伴随服务</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tabs>
          <w:tab w:val="left" w:pos="1446"/>
        </w:tabs>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1、投标报价要求按招标文件要求报价，并按招标文件中所附《投标函》、《投标报价表》格式填写。</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2、所有投标均以人民币报价。</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3、投标人所报单价在本招标文件项下的合同履行期间不能因市场变化因素而变动。</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5、招标人有权重视各投标人全部报价的合理性。所有投标人不能相互串通、哄抬报价，若有发现，招标人有权宣布其投标无效。</w:t>
      </w:r>
    </w:p>
    <w:p>
      <w:pPr>
        <w:tabs>
          <w:tab w:val="left" w:pos="1446"/>
        </w:tabs>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1、投标人应填写其单位名称全称。</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文件包括《投标函》、《投标报价表》、《技术协议》、《技术和商务条款响应表》、《投标人产品质量承诺函》、《售后服务承诺》、《投资人的资格申明》、《法定代表人授权书》、《业绩表》、《制造商资质证明条件》、《制造商授权代理商文件》、《企业信用等级证书（如果有）》、《质量、环境、健康体系证书（如果有）》、《上一年度企业财务会计报告》、《近三年的相关业绩，列出用户名称及金额。》</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《投标人企业概况及综合情况说明》、《服务承诺》和投标人认为需要提供的其他相关数据和资料。</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3、《投标函》、《投标报价表》须加盖投标人公章，由其法定代表人或其委托代理人亲笔签字。</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4、自开标之日起60天内，投标文件应保持有效。有效期短于前述规定期限的投标，将被拒绝。</w:t>
      </w:r>
    </w:p>
    <w:p>
      <w:pPr>
        <w:tabs>
          <w:tab w:val="left" w:pos="1446"/>
        </w:tabs>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1、开标时，将按照招标人有关招投标规定执行。</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2、开标后由招标人组建的评标委员会进行评标，以经评审的综合评分法确定中标人。</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3、招标人不对未中标的投标人作任何解释，不退还投标文件。</w:t>
      </w:r>
    </w:p>
    <w:p>
      <w:pPr>
        <w:tabs>
          <w:tab w:val="left" w:pos="1446"/>
        </w:tabs>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1、中标人应在接到中标通知书之日起10日内（含节假日）与招标人签订买卖合同，中标人因自身原因不与招标人签订买卖合同的，视为自愿放弃该次中标。</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2、中标人必须保证中标产品质量的稳定，如果招标人发现产品质量不符合本招标文件要求的标准，或者发生质量下降，招标人有权单方面终止买卖合同。</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3、中标人延误买卖合同约定的产品交付期限，招标人有权追究中标人责任。</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4、在买卖合同有效期内，中标人如违反买卖合同的约定，招标人有权单方面终止买卖合同。</w:t>
      </w:r>
    </w:p>
    <w:p>
      <w:pPr>
        <w:tabs>
          <w:tab w:val="left" w:pos="1446"/>
        </w:tabs>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2、评标委员会及其组成人员应严格自律，严格遵守国家法律、法规，并接受监察部门的监督。</w:t>
      </w:r>
    </w:p>
    <w:p>
      <w:pPr>
        <w:tabs>
          <w:tab w:val="left" w:pos="1446"/>
        </w:tabs>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1、中标人若改变生产工艺，需征得招标人同意，并需重新认可。</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2、参加招投标活动的各方应视本次招投标活动的任何信息为秘密，在没有事先征得对方的书面同意的情况下，任何一方不得以任何方式向第三人公布、传递或透露任何信息，违者应对由此造成的后果承担法律。</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p>
    <w:p>
      <w:pPr>
        <w:pStyle w:val="17"/>
        <w:spacing w:line="360" w:lineRule="auto"/>
        <w:ind w:firstLine="480"/>
        <w:rPr>
          <w:rFonts w:ascii="宋体" w:hAnsi="宋体" w:eastAsia="宋体" w:cs="宋体"/>
          <w:sz w:val="24"/>
          <w:szCs w:val="24"/>
        </w:rPr>
      </w:pPr>
    </w:p>
    <w:p>
      <w:pPr>
        <w:kinsoku/>
        <w:autoSpaceDE/>
        <w:autoSpaceDN/>
        <w:adjustRightInd/>
        <w:snapToGrid/>
        <w:spacing w:line="360" w:lineRule="auto"/>
        <w:textAlignment w:val="auto"/>
        <w:rPr>
          <w:rFonts w:ascii="宋体" w:hAnsi="宋体" w:eastAsia="宋体" w:cs="宋体"/>
          <w:sz w:val="24"/>
          <w:szCs w:val="32"/>
        </w:rPr>
      </w:pPr>
      <w:r>
        <w:rPr>
          <w:rFonts w:ascii="宋体" w:hAnsi="宋体" w:eastAsia="宋体" w:cs="宋体"/>
          <w:b/>
          <w:bCs/>
          <w:sz w:val="36"/>
          <w:szCs w:val="44"/>
        </w:rPr>
        <w:br w:type="page"/>
      </w:r>
    </w:p>
    <w:p>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lang w:val="en-US" w:eastAsia="zh-CN"/>
        </w:rPr>
        <w:t>三、综合</w:t>
      </w:r>
      <w:r>
        <w:rPr>
          <w:rFonts w:hint="eastAsia" w:ascii="宋体" w:hAnsi="宋体" w:eastAsia="宋体" w:cs="宋体"/>
          <w:b/>
          <w:bCs/>
          <w:sz w:val="36"/>
          <w:szCs w:val="44"/>
        </w:rPr>
        <w:t>评标评分标准</w:t>
      </w:r>
    </w:p>
    <w:p>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10</w:t>
      </w:r>
      <w:r>
        <w:rPr>
          <w:rFonts w:hint="eastAsia" w:ascii="宋体" w:hAnsi="宋体" w:eastAsia="宋体" w:cs="宋体"/>
          <w:b/>
          <w:bCs/>
          <w:sz w:val="24"/>
        </w:rPr>
        <w:t>分）</w:t>
      </w:r>
    </w:p>
    <w:tbl>
      <w:tblPr>
        <w:tblStyle w:val="13"/>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7"/>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color w:val="0000FF"/>
                <w:lang w:val="en-US" w:eastAsia="zh-CN"/>
              </w:rPr>
            </w:pPr>
            <w:r>
              <w:rPr>
                <w:rFonts w:hint="eastAsia" w:ascii="宋体" w:hAnsi="宋体" w:eastAsia="宋体" w:cs="宋体"/>
                <w:color w:val="0000FF"/>
                <w:kern w:val="0"/>
                <w:sz w:val="24"/>
                <w:szCs w:val="24"/>
                <w:highlight w:val="none"/>
                <w:lang w:val="en-US" w:eastAsia="zh-CN"/>
              </w:rPr>
              <w:t>关键参数：一项不响应扣3分。</w:t>
            </w:r>
          </w:p>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0000FF"/>
                <w:kern w:val="0"/>
                <w:sz w:val="24"/>
                <w:szCs w:val="24"/>
                <w:highlight w:val="none"/>
                <w:lang w:val="en-US" w:eastAsia="zh-CN"/>
              </w:rPr>
              <w:t>一般参数：一项不响应扣1分。</w:t>
            </w:r>
          </w:p>
        </w:tc>
        <w:tc>
          <w:tcPr>
            <w:tcW w:w="1134"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pStyle w:val="17"/>
        <w:spacing w:line="360" w:lineRule="auto"/>
        <w:ind w:left="0" w:leftChars="0" w:firstLine="0" w:firstLineChars="0"/>
      </w:pPr>
    </w:p>
    <w:p>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3"/>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lang w:val="en-US" w:eastAsia="zh-CN"/>
              </w:rPr>
              <w:t>90</w:t>
            </w:r>
            <w:r>
              <w:rPr>
                <w:rFonts w:hint="eastAsia" w:ascii="宋体" w:hAnsi="宋体" w:eastAsia="宋体" w:cs="宋体"/>
                <w:sz w:val="24"/>
                <w:szCs w:val="24"/>
              </w:rPr>
              <w:t>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hint="eastAsia" w:ascii="宋体" w:hAnsi="宋体"/>
                <w:sz w:val="24"/>
              </w:rPr>
            </w:pPr>
            <w:r>
              <w:rPr>
                <w:rFonts w:hint="eastAsia" w:ascii="宋体" w:hAnsi="宋体"/>
                <w:sz w:val="24"/>
              </w:rPr>
              <w:t>价格分应当采用低价优先法计算，即满足招标文件要求且最后报价最低的价格为评标基准价，其价格分为满分。其他供应商的价格分统一按照下列公式计算：</w:t>
            </w:r>
          </w:p>
          <w:p>
            <w:pPr>
              <w:spacing w:line="360" w:lineRule="auto"/>
              <w:ind w:firstLine="480" w:firstLineChars="200"/>
              <w:rPr>
                <w:rFonts w:hint="eastAsia" w:ascii="宋体" w:hAnsi="宋体"/>
                <w:sz w:val="24"/>
              </w:rPr>
            </w:pPr>
            <w:r>
              <w:rPr>
                <w:rFonts w:hint="eastAsia" w:ascii="宋体" w:hAnsi="宋体"/>
                <w:sz w:val="24"/>
              </w:rPr>
              <w:t>报价得分=（评标基准价/最后报价）×100×</w:t>
            </w:r>
            <w:r>
              <w:rPr>
                <w:rFonts w:hint="eastAsia" w:ascii="宋体" w:hAnsi="宋体" w:eastAsia="宋体"/>
                <w:sz w:val="24"/>
                <w:lang w:val="en-US" w:eastAsia="zh-CN"/>
              </w:rPr>
              <w:t>90</w:t>
            </w:r>
            <w:r>
              <w:rPr>
                <w:rFonts w:hint="eastAsia" w:ascii="宋体" w:hAnsi="宋体"/>
                <w:sz w:val="24"/>
              </w:rPr>
              <w:t>%，评审过程中，不得去掉最后报价中的最高报价和最低报价。（保留到小数点后两位，第三位四舍五入。）</w:t>
            </w:r>
          </w:p>
          <w:p>
            <w:pPr>
              <w:spacing w:line="360" w:lineRule="auto"/>
              <w:ind w:firstLine="480" w:firstLineChars="200"/>
              <w:rPr>
                <w:rFonts w:ascii="宋体"/>
                <w:b/>
                <w:sz w:val="24"/>
              </w:rPr>
            </w:pPr>
            <w:r>
              <w:rPr>
                <w:rFonts w:hint="eastAsia" w:ascii="宋体" w:hAnsi="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ascii="仿宋_GB2312" w:hAnsi="宋体" w:eastAsia="仿宋_GB2312"/>
                <w:sz w:val="24"/>
                <w:szCs w:val="24"/>
              </w:rPr>
            </w:pPr>
          </w:p>
        </w:tc>
      </w:tr>
    </w:tbl>
    <w:p>
      <w:pPr>
        <w:spacing w:line="360" w:lineRule="auto"/>
        <w:rPr>
          <w:sz w:val="28"/>
          <w:szCs w:val="36"/>
        </w:rPr>
      </w:pP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.定标办法</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.1总得分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.1各投标人得分 =（</w:t>
      </w:r>
      <w:r>
        <w:rPr>
          <w:rFonts w:hint="eastAsia" w:ascii="宋体" w:hAnsi="宋体"/>
          <w:color w:val="auto"/>
          <w:sz w:val="24"/>
          <w:lang w:val="en-US" w:eastAsia="zh-CN"/>
        </w:rPr>
        <w:t>技术</w:t>
      </w:r>
      <w:r>
        <w:rPr>
          <w:rFonts w:hint="eastAsia" w:ascii="宋体" w:hAnsi="宋体" w:eastAsia="宋体" w:cs="宋体"/>
          <w:color w:val="auto"/>
          <w:sz w:val="24"/>
        </w:rPr>
        <w:t>分+价格分）。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.评标小组评委依据得分高低顺序依次确定中标候选人，评分以得分最高者作为第一中标候选人。如果出现并列得分最高，则确定价格较低者排名在前；价格投标仍相同时则采用抽签方式现场确定中标候选人。</w:t>
      </w:r>
    </w:p>
    <w:p>
      <w:pPr>
        <w:spacing w:line="360" w:lineRule="auto"/>
        <w:ind w:firstLine="480" w:firstLineChars="200"/>
        <w:rPr>
          <w:rFonts w:hint="default" w:eastAsia="宋体"/>
          <w:lang w:val="en-US" w:eastAsia="zh-CN"/>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lang w:val="en-US" w:eastAsia="zh-CN"/>
        </w:rPr>
        <w:t>9</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海西（福建）分院有限公司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有限公司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年</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月</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w:t>
      </w:r>
      <w:r>
        <w:rPr>
          <w:rFonts w:hint="eastAsia" w:ascii="宋体" w:hAnsi="宋体" w:cs="宋体"/>
          <w:color w:val="auto"/>
          <w:sz w:val="21"/>
          <w:szCs w:val="21"/>
          <w:highlight w:val="none"/>
          <w:lang w:val="en-US" w:eastAsia="zh-CN"/>
        </w:rPr>
        <w:t>双方需求</w:t>
      </w:r>
      <w:r>
        <w:rPr>
          <w:rFonts w:hint="eastAsia" w:ascii="宋体" w:hAnsi="宋体" w:eastAsia="宋体" w:cs="宋体"/>
          <w:color w:val="auto"/>
          <w:sz w:val="21"/>
          <w:szCs w:val="21"/>
          <w:highlight w:val="none"/>
        </w:rPr>
        <w:t>，经双方协商一致签订本合同。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985"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2693"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before="120" w:after="0" w:line="360" w:lineRule="exact"/>
              <w:jc w:val="center"/>
              <w:rPr>
                <w:rFonts w:cs="Times New Roman" w:asciiTheme="minorEastAsia" w:hAnsiTheme="minorEastAsia" w:eastAsiaTheme="minorEastAsia"/>
                <w:color w:val="auto"/>
                <w:sz w:val="23"/>
                <w:szCs w:val="23"/>
                <w:highlight w:val="none"/>
                <w:lang w:eastAsia="zh-CN"/>
              </w:rPr>
            </w:pPr>
          </w:p>
        </w:tc>
        <w:tc>
          <w:tcPr>
            <w:tcW w:w="1985" w:type="dxa"/>
            <w:vAlign w:val="center"/>
          </w:tcPr>
          <w:p>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2693" w:type="dxa"/>
            <w:vAlign w:val="center"/>
          </w:tcPr>
          <w:p>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850" w:type="dxa"/>
            <w:vAlign w:val="center"/>
          </w:tcPr>
          <w:p>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8" w:type="dxa"/>
            <w:vAlign w:val="center"/>
          </w:tcPr>
          <w:p>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7" w:type="dxa"/>
            <w:vAlign w:val="center"/>
          </w:tcPr>
          <w:p>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pPr>
              <w:spacing w:before="120" w:after="0" w:line="360" w:lineRule="exact"/>
              <w:rPr>
                <w:rFonts w:hint="default" w:cs="宋体"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合计（未税金额）：</w:t>
            </w:r>
            <w:r>
              <w:rPr>
                <w:rFonts w:hint="eastAsia" w:cs="Times New Roman" w:asciiTheme="minorEastAsia" w:hAnsiTheme="minorEastAsia" w:eastAsiaTheme="minorEastAsia"/>
                <w:color w:val="auto"/>
                <w:sz w:val="23"/>
                <w:szCs w:val="23"/>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pPr>
              <w:spacing w:before="120" w:after="0" w:line="360" w:lineRule="exact"/>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合计（含税金额）：</w:t>
            </w:r>
            <w:r>
              <w:rPr>
                <w:rFonts w:hint="eastAsia" w:cs="Times New Roman" w:asciiTheme="minorEastAsia" w:hAnsiTheme="minorEastAsia" w:eastAsiaTheme="minorEastAsia"/>
                <w:color w:val="auto"/>
                <w:sz w:val="23"/>
                <w:szCs w:val="23"/>
                <w:highlight w:val="none"/>
                <w:lang w:val="en-US" w:eastAsia="zh-CN"/>
              </w:rPr>
              <w:t xml:space="preserve">   </w:t>
            </w:r>
            <w:r>
              <w:rPr>
                <w:rFonts w:hint="eastAsia"/>
                <w:color w:val="auto"/>
                <w:highlight w:val="none"/>
                <w:lang w:eastAsia="zh-CN"/>
              </w:rPr>
              <w:t>元</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，大写：       </w:t>
            </w:r>
            <w:r>
              <w:rPr>
                <w:rFonts w:hint="eastAsia"/>
                <w:color w:val="auto"/>
                <w:highlight w:val="none"/>
                <w:lang w:eastAsia="zh-CN"/>
              </w:rPr>
              <w:t>元整</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 ，若双方无其他明确约定，上述价格含13%增值税。本合同以未税金额为准，如开票时税率发生变更，含税金额应做相应调整。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交货时间及交提货地点、方式：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2、乙方负责送货至甲方指定地点：       ，     方自行卸货。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3、甲方指定接货联系人：          ，电话：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2、如产品存在重大不符合约定的，经乙方两次整改后仍不满足要求的，甲方有权拒绝接收产品或退回产品或解除合同，并由乙方承担因此给甲方造成的损失。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 xml:space="preserve">       ，    方承担运费。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结算方式：</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 xml:space="preserve">银行转账   </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银行电子承兑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一次性付款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合同产品验收合格且</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开具合格全额增值税发票后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分期支付</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本合同生效后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向</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）作为预付款；</w:t>
      </w:r>
    </w:p>
    <w:p>
      <w:pPr>
        <w:pStyle w:val="17"/>
        <w:rPr>
          <w:rFonts w:hint="default"/>
          <w:lang w:val="en-US" w:eastAsia="zh-CN"/>
        </w:rPr>
      </w:pPr>
      <w:r>
        <w:rPr>
          <w:rFonts w:hint="default" w:ascii="宋体"/>
          <w:color w:val="auto"/>
          <w:sz w:val="21"/>
          <w:szCs w:val="21"/>
          <w:highlight w:val="none"/>
          <w:lang w:val="en-US" w:eastAsia="zh-CN"/>
        </w:rPr>
        <w:t>2、预验收合格发货前，由甲方支付合同总价款的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）作为提货款</w:t>
      </w:r>
      <w:r>
        <w:rPr>
          <w:rFonts w:hint="default"/>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产品经</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验收入库且收到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w:t>
      </w:r>
      <w:r>
        <w:rPr>
          <w:rFonts w:hint="eastAsia" w:ascii="宋体"/>
          <w:color w:val="auto"/>
          <w:sz w:val="21"/>
          <w:szCs w:val="21"/>
          <w:highlight w:val="none"/>
          <w:lang w:val="en-US" w:eastAsia="zh-CN"/>
        </w:rPr>
        <w:t>的</w:t>
      </w:r>
      <w:r>
        <w:rPr>
          <w:rFonts w:hint="default" w:ascii="宋体"/>
          <w:color w:val="auto"/>
          <w:sz w:val="21"/>
          <w:szCs w:val="21"/>
          <w:highlight w:val="none"/>
          <w:lang w:val="en-US" w:eastAsia="zh-CN"/>
        </w:rPr>
        <w:t>合同全额税率为13%的增值税专用发票后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支付合同总价款</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）作为到货款；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合同总价的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）为产品的质保金，本合同约定的质保期满后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天内，双方就合同产品若无未解决的质量问题，由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w:t>
      </w:r>
      <w:r>
        <w:rPr>
          <w:rFonts w:hint="eastAsia" w:ascii="宋体"/>
          <w:color w:val="auto"/>
          <w:sz w:val="21"/>
          <w:szCs w:val="21"/>
          <w:highlight w:val="none"/>
          <w:lang w:val="en-US" w:eastAsia="zh-CN"/>
        </w:rPr>
        <w:t>给乙方</w:t>
      </w:r>
      <w:r>
        <w:rPr>
          <w:rFonts w:hint="default" w:ascii="宋体"/>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4、</w:t>
      </w:r>
      <w:r>
        <w:rPr>
          <w:rFonts w:hint="default" w:ascii="宋体"/>
          <w:color w:val="auto"/>
          <w:sz w:val="21"/>
          <w:szCs w:val="21"/>
          <w:highlight w:val="none"/>
          <w:lang w:val="en-US" w:eastAsia="zh-CN"/>
        </w:rPr>
        <w:t>如乙方不开具或开具不合格的发票，甲方有权迟延支付应付款项直至乙方开具合格票据且不承担任何违约责任，且乙方的各项合同义务仍应按合同约定履行。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5、</w:t>
      </w:r>
      <w:r>
        <w:rPr>
          <w:rFonts w:hint="default" w:ascii="宋体"/>
          <w:color w:val="auto"/>
          <w:sz w:val="21"/>
          <w:szCs w:val="21"/>
          <w:highlight w:val="none"/>
          <w:lang w:val="en-US" w:eastAsia="zh-CN"/>
        </w:rPr>
        <w:t>由于乙方开具发票不真实、不合格而引起的一切责任（包括商业责任和法律责任)和损失，由乙方承担。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6、</w:t>
      </w:r>
      <w:r>
        <w:rPr>
          <w:rFonts w:hint="default" w:ascii="宋体"/>
          <w:color w:val="auto"/>
          <w:sz w:val="21"/>
          <w:szCs w:val="21"/>
          <w:highlight w:val="none"/>
          <w:lang w:val="en-US" w:eastAsia="zh-CN"/>
        </w:rPr>
        <w:t>双方开票信息如下：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甲方：</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户  名</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中国机械总院集团海西（福建）分院有限公司</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开户行</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中国农业银行沙县支行</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账  号</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13840101040017600</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税  号</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913504270603757361</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电  话</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0598-8863008</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1、</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未按约定按时履约的，每逾期一日，按照相应产品的总价款的0.1％向</w:t>
      </w:r>
      <w:r>
        <w:rPr>
          <w:rFonts w:hint="eastAsia" w:ascii="宋体"/>
          <w:color w:val="auto"/>
          <w:sz w:val="21"/>
          <w:szCs w:val="21"/>
          <w:highlight w:val="none"/>
          <w:lang w:eastAsia="zh-CN"/>
        </w:rPr>
        <w:t>甲方</w:t>
      </w:r>
      <w:r>
        <w:rPr>
          <w:rFonts w:hint="eastAsia" w:ascii="宋体"/>
          <w:color w:val="auto"/>
          <w:sz w:val="21"/>
          <w:szCs w:val="21"/>
          <w:highlight w:val="none"/>
        </w:rPr>
        <w:t>支付违约金。若逾期超过60日，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2、</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逾期付款的，每逾期一日，以逾期付款金额的0.1％向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3、</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4、</w:t>
      </w:r>
      <w:r>
        <w:rPr>
          <w:rFonts w:hint="eastAsia" w:ascii="宋体"/>
          <w:color w:val="auto"/>
          <w:sz w:val="21"/>
          <w:szCs w:val="21"/>
          <w:highlight w:val="none"/>
          <w:lang w:eastAsia="zh-CN"/>
        </w:rPr>
        <w:t>甲方</w:t>
      </w:r>
      <w:r>
        <w:rPr>
          <w:rFonts w:hint="eastAsia" w:ascii="宋体"/>
          <w:color w:val="auto"/>
          <w:sz w:val="21"/>
          <w:szCs w:val="21"/>
          <w:highlight w:val="none"/>
        </w:rPr>
        <w:t>的损失大于本合同约定的违约金的，</w:t>
      </w:r>
      <w:r>
        <w:rPr>
          <w:rFonts w:hint="eastAsia" w:ascii="宋体"/>
          <w:color w:val="auto"/>
          <w:sz w:val="21"/>
          <w:szCs w:val="21"/>
          <w:highlight w:val="none"/>
          <w:lang w:eastAsia="zh-CN"/>
        </w:rPr>
        <w:t>乙方</w:t>
      </w:r>
      <w:r>
        <w:rPr>
          <w:rFonts w:hint="eastAsia" w:ascii="宋体"/>
          <w:color w:val="auto"/>
          <w:sz w:val="21"/>
          <w:szCs w:val="21"/>
          <w:highlight w:val="none"/>
        </w:rPr>
        <w:t>应</w:t>
      </w:r>
      <w:r>
        <w:rPr>
          <w:rFonts w:hint="eastAsia" w:ascii="宋体"/>
          <w:color w:val="auto"/>
          <w:sz w:val="21"/>
          <w:szCs w:val="21"/>
          <w:highlight w:val="none"/>
          <w:lang w:val="en-US" w:eastAsia="zh-CN"/>
        </w:rPr>
        <w:t>承担补足</w:t>
      </w:r>
      <w:r>
        <w:rPr>
          <w:rFonts w:hint="eastAsia" w:ascii="宋体"/>
          <w:color w:val="auto"/>
          <w:sz w:val="21"/>
          <w:szCs w:val="21"/>
          <w:highlight w:val="none"/>
          <w:lang w:eastAsia="zh-CN"/>
        </w:rPr>
        <w:t>甲方</w:t>
      </w:r>
      <w:r>
        <w:rPr>
          <w:rFonts w:hint="eastAsia" w:ascii="宋体"/>
          <w:color w:val="auto"/>
          <w:sz w:val="21"/>
          <w:szCs w:val="21"/>
          <w:highlight w:val="none"/>
          <w:lang w:val="en-US" w:eastAsia="zh-CN"/>
        </w:rPr>
        <w:t>的全部</w:t>
      </w:r>
      <w:r>
        <w:rPr>
          <w:rFonts w:hint="eastAsia" w:ascii="宋体"/>
          <w:color w:val="auto"/>
          <w:sz w:val="21"/>
          <w:szCs w:val="21"/>
          <w:highlight w:val="none"/>
        </w:rPr>
        <w:t>损失</w:t>
      </w:r>
      <w:r>
        <w:rPr>
          <w:rFonts w:hint="eastAsia" w:asci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val="en-US" w:eastAsia="zh-CN"/>
        </w:rPr>
        <w:t>甲方有权从最近一笔付款中扣除相应金额。如果最近一笔付款不足以抵扣违约金的，则可从下一笔付款中继续扣除，仍不足以抵扣的，甲方保留向乙方追究责任的权利。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6、</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w:t>
      </w:r>
      <w:r>
        <w:rPr>
          <w:rFonts w:hint="eastAsia" w:ascii="宋体"/>
          <w:b/>
          <w:bCs/>
          <w:color w:val="auto"/>
          <w:sz w:val="21"/>
          <w:szCs w:val="21"/>
          <w:highlight w:val="none"/>
        </w:rPr>
        <w:t>：</w:t>
      </w:r>
      <w:r>
        <w:rPr>
          <w:rFonts w:hint="eastAsia" w:ascii="宋体"/>
          <w:b/>
          <w:bCs/>
          <w:color w:val="auto"/>
          <w:sz w:val="21"/>
          <w:szCs w:val="21"/>
          <w:highlight w:val="none"/>
          <w:lang w:val="en-US" w:eastAsia="zh-CN"/>
        </w:rPr>
        <w:t>争议解决</w:t>
      </w:r>
      <w:r>
        <w:rPr>
          <w:rFonts w:hint="eastAsia" w:ascii="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保修期内因质量问题而导致设备停用的时间应从保修期中扣除。货品在正常维护、保养及使用情形下发生故障或损坏，</w:t>
      </w:r>
      <w:r>
        <w:rPr>
          <w:rFonts w:hint="eastAsia" w:ascii="宋体" w:hAnsi="宋体"/>
          <w:color w:val="auto"/>
          <w:szCs w:val="21"/>
          <w:highlight w:val="none"/>
          <w:lang w:val="en-US" w:eastAsia="zh-CN"/>
        </w:rPr>
        <w:t>乙</w:t>
      </w:r>
      <w:r>
        <w:rPr>
          <w:rFonts w:hint="eastAsia" w:ascii="宋体" w:hAnsi="宋体"/>
          <w:color w:val="auto"/>
          <w:szCs w:val="21"/>
          <w:highlight w:val="none"/>
        </w:rPr>
        <w:t>方应负责迅速修复设备至正常生产使用，因而发生的零件，维修及其它费用由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方自行负担；保固期满后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方对货品之维修得酌收零件、维修及交通等费用。</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方应根据安装，调试的进度具体安排相应的现场培训，培训内容应侧重于安装，调试，设备操守，及维护等内容。后续如</w:t>
      </w:r>
      <w:r>
        <w:rPr>
          <w:rFonts w:hint="eastAsia" w:ascii="宋体" w:hAnsi="宋体"/>
          <w:color w:val="auto"/>
          <w:szCs w:val="21"/>
          <w:highlight w:val="none"/>
          <w:lang w:val="en-US" w:eastAsia="zh-CN"/>
        </w:rPr>
        <w:t>甲</w:t>
      </w:r>
      <w:r>
        <w:rPr>
          <w:rFonts w:hint="eastAsia" w:ascii="宋体" w:hAnsi="宋体"/>
          <w:color w:val="auto"/>
          <w:szCs w:val="21"/>
          <w:highlight w:val="none"/>
        </w:rPr>
        <w:t>方仍有培训需求，</w:t>
      </w:r>
      <w:r>
        <w:rPr>
          <w:rFonts w:hint="eastAsia" w:ascii="宋体" w:hAnsi="宋体"/>
          <w:color w:val="auto"/>
          <w:szCs w:val="21"/>
          <w:highlight w:val="none"/>
          <w:lang w:val="en-US" w:eastAsia="zh-CN"/>
        </w:rPr>
        <w:t>乙</w:t>
      </w:r>
      <w:r>
        <w:rPr>
          <w:rFonts w:hint="eastAsia" w:ascii="宋体" w:hAnsi="宋体"/>
          <w:color w:val="auto"/>
          <w:szCs w:val="21"/>
          <w:highlight w:val="none"/>
        </w:rPr>
        <w:t>方再进行一次前述培训。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w:t>
      </w:r>
      <w:r>
        <w:rPr>
          <w:rFonts w:hint="eastAsia" w:ascii="宋体" w:hAnsi="宋体"/>
          <w:color w:val="auto"/>
          <w:szCs w:val="21"/>
          <w:highlight w:val="none"/>
          <w:lang w:val="en-US" w:eastAsia="zh-CN"/>
        </w:rPr>
        <w:tab/>
      </w:r>
      <w:r>
        <w:rPr>
          <w:rFonts w:hint="eastAsia" w:ascii="宋体" w:hAnsi="宋体"/>
          <w:color w:val="auto"/>
          <w:szCs w:val="21"/>
          <w:highlight w:val="none"/>
        </w:rPr>
        <w:t>除外</w:t>
      </w:r>
      <w:r>
        <w:rPr>
          <w:rFonts w:ascii="宋体" w:hAnsi="宋体"/>
          <w:color w:val="auto"/>
          <w:szCs w:val="21"/>
          <w:highlight w:val="none"/>
        </w:rPr>
        <w:t>)</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3、附上</w:t>
      </w:r>
      <w:r>
        <w:rPr>
          <w:rFonts w:hint="eastAsia" w:ascii="宋体"/>
          <w:b/>
          <w:bCs w:val="0"/>
          <w:color w:val="auto"/>
          <w:sz w:val="21"/>
          <w:szCs w:val="21"/>
          <w:highlight w:val="none"/>
          <w:lang w:val="en-US" w:eastAsia="zh-CN"/>
        </w:rPr>
        <w:t>履行本合同过程中双方指定对接人员身份和微信号、电话等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本合同自双方签字或盖章之日起生效。本合同一式肆份，双方各执贰份，具有同等法律效力，供货结束并结清货款后自动终止。</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10" w:firstLineChars="100"/>
        <w:textAlignment w:val="auto"/>
        <w:rPr>
          <w:rFonts w:hint="eastAsia" w:ascii="宋体"/>
          <w:b w:val="0"/>
          <w:bCs/>
          <w:color w:val="auto"/>
          <w:sz w:val="21"/>
          <w:szCs w:val="21"/>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pPr>
        <w:rPr>
          <w:rFonts w:hint="eastAsia" w:cs="Times New Roman" w:asciiTheme="minorEastAsia" w:hAnsiTheme="minorEastAsia" w:eastAsiaTheme="minorEastAsia"/>
          <w:b/>
          <w:color w:val="auto"/>
          <w:kern w:val="2"/>
          <w:sz w:val="32"/>
          <w:szCs w:val="32"/>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pPr>
        <w:pStyle w:val="21"/>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r>
        <w:rPr>
          <w:rFonts w:hint="eastAsia" w:ascii="宋体" w:hAnsi="宋体"/>
          <w:color w:val="auto"/>
          <w:szCs w:val="21"/>
          <w:highlight w:val="none"/>
          <w:lang w:eastAsia="zh-CN"/>
        </w:rPr>
        <w:t>乙方</w:t>
      </w:r>
      <w:r>
        <w:rPr>
          <w:rFonts w:ascii="宋体" w:hAnsi="宋体"/>
          <w:color w:val="auto"/>
          <w:szCs w:val="21"/>
          <w:highlight w:val="none"/>
        </w:rPr>
        <w:t>违反上述承诺的</w:t>
      </w:r>
      <w:r>
        <w:rPr>
          <w:rFonts w:hint="eastAsia" w:ascii="宋体" w:hAnsi="宋体"/>
          <w:color w:val="auto"/>
          <w:szCs w:val="21"/>
          <w:highlight w:val="none"/>
        </w:rPr>
        <w:t>，</w:t>
      </w:r>
      <w:r>
        <w:rPr>
          <w:rFonts w:ascii="宋体" w:hAnsi="宋体"/>
          <w:color w:val="auto"/>
          <w:szCs w:val="21"/>
          <w:highlight w:val="none"/>
        </w:rPr>
        <w:t>应当按合同专用条款约定之</w:t>
      </w:r>
      <w:r>
        <w:rPr>
          <w:rFonts w:hint="eastAsia" w:ascii="宋体" w:hAnsi="宋体"/>
          <w:color w:val="auto"/>
          <w:szCs w:val="21"/>
          <w:highlight w:val="none"/>
          <w:lang w:eastAsia="zh-CN"/>
        </w:rPr>
        <w:t>甲方</w:t>
      </w:r>
      <w:r>
        <w:rPr>
          <w:rFonts w:ascii="宋体" w:hAnsi="宋体"/>
          <w:color w:val="auto"/>
          <w:szCs w:val="21"/>
          <w:highlight w:val="none"/>
        </w:rPr>
        <w:t>采购价格与该</w:t>
      </w:r>
      <w:r>
        <w:rPr>
          <w:rFonts w:hint="eastAsia" w:ascii="宋体" w:hAnsi="宋体"/>
          <w:color w:val="auto"/>
          <w:szCs w:val="21"/>
          <w:highlight w:val="none"/>
        </w:rPr>
        <w:t>较</w:t>
      </w:r>
      <w:r>
        <w:rPr>
          <w:rFonts w:ascii="宋体" w:hAnsi="宋体"/>
          <w:color w:val="auto"/>
          <w:szCs w:val="21"/>
          <w:highlight w:val="none"/>
        </w:rPr>
        <w:t>低价之间差</w:t>
      </w:r>
      <w:r>
        <w:rPr>
          <w:rFonts w:hint="eastAsia" w:ascii="宋体" w:hAnsi="宋体"/>
          <w:color w:val="auto"/>
          <w:szCs w:val="21"/>
          <w:highlight w:val="none"/>
        </w:rPr>
        <w:t>额</w:t>
      </w:r>
      <w:r>
        <w:rPr>
          <w:rFonts w:ascii="宋体" w:hAnsi="宋体"/>
          <w:color w:val="auto"/>
          <w:szCs w:val="21"/>
          <w:highlight w:val="none"/>
        </w:rPr>
        <w:t>的两倍向</w:t>
      </w:r>
      <w:r>
        <w:rPr>
          <w:rFonts w:hint="eastAsia" w:ascii="宋体" w:hAnsi="宋体"/>
          <w:color w:val="auto"/>
          <w:szCs w:val="21"/>
          <w:highlight w:val="none"/>
          <w:lang w:eastAsia="zh-CN"/>
        </w:rPr>
        <w:t>甲方</w:t>
      </w:r>
      <w:r>
        <w:rPr>
          <w:rFonts w:ascii="宋体" w:hAnsi="宋体"/>
          <w:color w:val="auto"/>
          <w:szCs w:val="21"/>
          <w:highlight w:val="none"/>
        </w:rPr>
        <w:t>支付违约金</w:t>
      </w:r>
      <w:r>
        <w:rPr>
          <w:rFonts w:hint="eastAsia" w:ascii="宋体" w:hAnsi="宋体"/>
          <w:color w:val="auto"/>
          <w:szCs w:val="21"/>
          <w:highlight w:val="none"/>
        </w:rPr>
        <w:t>。</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pPr>
        <w:pStyle w:val="21"/>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pPr>
        <w:pStyle w:val="21"/>
        <w:numPr>
          <w:ilvl w:val="0"/>
          <w:numId w:val="5"/>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在交货前应通知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pPr>
        <w:pStyle w:val="21"/>
        <w:numPr>
          <w:ilvl w:val="0"/>
          <w:numId w:val="5"/>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pPr>
        <w:pStyle w:val="21"/>
        <w:numPr>
          <w:ilvl w:val="0"/>
          <w:numId w:val="5"/>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pPr>
        <w:pStyle w:val="21"/>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pPr>
        <w:pStyle w:val="21"/>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pPr>
        <w:pStyle w:val="21"/>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pPr>
        <w:pStyle w:val="21"/>
        <w:numPr>
          <w:ilvl w:val="0"/>
          <w:numId w:val="6"/>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pPr>
        <w:pStyle w:val="21"/>
        <w:numPr>
          <w:ilvl w:val="0"/>
          <w:numId w:val="6"/>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pPr>
        <w:pStyle w:val="21"/>
        <w:numPr>
          <w:ilvl w:val="0"/>
          <w:numId w:val="6"/>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pPr>
        <w:pStyle w:val="21"/>
        <w:numPr>
          <w:ilvl w:val="0"/>
          <w:numId w:val="7"/>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pPr>
        <w:pStyle w:val="21"/>
        <w:numPr>
          <w:ilvl w:val="0"/>
          <w:numId w:val="7"/>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pPr>
        <w:pStyle w:val="21"/>
        <w:numPr>
          <w:ilvl w:val="0"/>
          <w:numId w:val="7"/>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pPr>
        <w:pStyle w:val="21"/>
        <w:numPr>
          <w:ilvl w:val="0"/>
          <w:numId w:val="8"/>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pPr>
        <w:pStyle w:val="21"/>
        <w:numPr>
          <w:ilvl w:val="0"/>
          <w:numId w:val="8"/>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pPr>
        <w:pStyle w:val="21"/>
        <w:numPr>
          <w:ilvl w:val="0"/>
          <w:numId w:val="9"/>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pPr>
        <w:pStyle w:val="21"/>
        <w:numPr>
          <w:ilvl w:val="0"/>
          <w:numId w:val="9"/>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pPr>
        <w:pStyle w:val="21"/>
        <w:numPr>
          <w:ilvl w:val="0"/>
          <w:numId w:val="9"/>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pPr>
        <w:pStyle w:val="21"/>
        <w:numPr>
          <w:ilvl w:val="0"/>
          <w:numId w:val="9"/>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pPr>
        <w:pStyle w:val="21"/>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甲方名称：                   甲方</w:t>
      </w:r>
      <w:r>
        <w:rPr>
          <w:rFonts w:hint="eastAsia" w:ascii="宋体" w:hAnsi="宋体" w:cs="宋体"/>
          <w:b/>
          <w:bCs/>
          <w:color w:val="auto"/>
          <w:sz w:val="21"/>
          <w:szCs w:val="21"/>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乙方名称：有限公司             乙方</w:t>
      </w:r>
      <w:r>
        <w:rPr>
          <w:rFonts w:hint="eastAsia" w:ascii="宋体" w:hAnsi="宋体" w:cs="宋体"/>
          <w:b/>
          <w:bCs/>
          <w:color w:val="auto"/>
          <w:sz w:val="21"/>
          <w:szCs w:val="21"/>
          <w:highlight w:val="none"/>
          <w:lang w:val="en-US" w:eastAsia="zh-CN"/>
        </w:rPr>
        <w:t xml:space="preserve">盖章：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rPr>
          <w:rFonts w:hint="eastAsia" w:ascii="黑体"/>
          <w:b/>
          <w:color w:val="auto"/>
          <w:sz w:val="21"/>
          <w:szCs w:val="28"/>
          <w:highlight w:val="none"/>
          <w:lang w:eastAsia="zh-CN"/>
        </w:rPr>
      </w:pPr>
    </w:p>
    <w:p>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1"/>
          <w:szCs w:val="21"/>
          <w:highlight w:val="none"/>
          <w:vertAlign w:val="baseli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Cs w:val="21"/>
          <w:highlight w:val="none"/>
          <w:lang w:eastAsia="zh-CN"/>
        </w:rPr>
      </w:pPr>
      <w:r>
        <w:rPr>
          <w:rFonts w:hint="eastAsia"/>
          <w:color w:val="auto"/>
          <w:szCs w:val="21"/>
          <w:highlight w:val="none"/>
          <w:lang w:eastAsia="zh-CN"/>
        </w:rPr>
        <w:t>乙方（供应商）</w:t>
      </w:r>
      <w:r>
        <w:rPr>
          <w:color w:val="auto"/>
          <w:szCs w:val="21"/>
          <w:highlight w:val="none"/>
          <w:lang w:eastAsia="zh-CN"/>
        </w:rPr>
        <w:t>：</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pPr>
        <w:pStyle w:val="17"/>
        <w:spacing w:line="360" w:lineRule="auto"/>
        <w:ind w:left="0" w:leftChars="0" w:firstLine="0" w:firstLineChars="0"/>
        <w:rPr>
          <w:rFonts w:ascii="宋体" w:hAnsi="宋体" w:eastAsia="宋体" w:cs="宋体"/>
          <w:sz w:val="24"/>
          <w:szCs w:val="24"/>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A5F09BD6"/>
    <w:multiLevelType w:val="singleLevel"/>
    <w:tmpl w:val="A5F09BD6"/>
    <w:lvl w:ilvl="0" w:tentative="0">
      <w:start w:val="1"/>
      <w:numFmt w:val="decimal"/>
      <w:suff w:val="nothing"/>
      <w:lvlText w:val="%1、"/>
      <w:lvlJc w:val="left"/>
    </w:lvl>
  </w:abstractNum>
  <w:abstractNum w:abstractNumId="2">
    <w:nsid w:val="12A8B50E"/>
    <w:multiLevelType w:val="singleLevel"/>
    <w:tmpl w:val="12A8B50E"/>
    <w:lvl w:ilvl="0" w:tentative="0">
      <w:start w:val="2"/>
      <w:numFmt w:val="chineseCounting"/>
      <w:suff w:val="nothing"/>
      <w:lvlText w:val="%1、"/>
      <w:lvlJc w:val="left"/>
      <w:rPr>
        <w:rFonts w:hint="eastAsia"/>
      </w:rPr>
    </w:lvl>
  </w:abstractNum>
  <w:abstractNum w:abstractNumId="3">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6">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7">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8">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lvlOverride w:ilvl="0">
      <w:startOverride w:val="1"/>
    </w:lvlOverride>
  </w:num>
  <w:num w:numId="2">
    <w:abstractNumId w:val="2"/>
  </w:num>
  <w:num w:numId="3">
    <w:abstractNumId w:val="0"/>
  </w:num>
  <w:num w:numId="4">
    <w:abstractNumId w:val="1"/>
  </w:num>
  <w:num w:numId="5">
    <w:abstractNumId w:val="8"/>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WY0YjkyZGYzN2U1NjdhNTIzNmE5Mjg5OWFmMmIifQ=="/>
  </w:docVars>
  <w:rsids>
    <w:rsidRoot w:val="78EE6CAC"/>
    <w:rsid w:val="00044EF2"/>
    <w:rsid w:val="001A50E8"/>
    <w:rsid w:val="001C3F19"/>
    <w:rsid w:val="00212D19"/>
    <w:rsid w:val="00254D24"/>
    <w:rsid w:val="007F65BF"/>
    <w:rsid w:val="00834647"/>
    <w:rsid w:val="009922AC"/>
    <w:rsid w:val="00AB69B7"/>
    <w:rsid w:val="00CD3536"/>
    <w:rsid w:val="00DF42CC"/>
    <w:rsid w:val="00E306D6"/>
    <w:rsid w:val="00EE42BF"/>
    <w:rsid w:val="00F639E6"/>
    <w:rsid w:val="00F84B9D"/>
    <w:rsid w:val="01DE5DA6"/>
    <w:rsid w:val="0208793A"/>
    <w:rsid w:val="0247556A"/>
    <w:rsid w:val="032B09E8"/>
    <w:rsid w:val="04243986"/>
    <w:rsid w:val="045F783F"/>
    <w:rsid w:val="04892C2C"/>
    <w:rsid w:val="065625D5"/>
    <w:rsid w:val="066C0621"/>
    <w:rsid w:val="08E31B8A"/>
    <w:rsid w:val="0B923CFA"/>
    <w:rsid w:val="0BCD088E"/>
    <w:rsid w:val="0DB61B71"/>
    <w:rsid w:val="0F707EAE"/>
    <w:rsid w:val="0F821347"/>
    <w:rsid w:val="0F935D46"/>
    <w:rsid w:val="10400AA6"/>
    <w:rsid w:val="119D5615"/>
    <w:rsid w:val="11C46BCB"/>
    <w:rsid w:val="11F63442"/>
    <w:rsid w:val="1441006B"/>
    <w:rsid w:val="14A910E0"/>
    <w:rsid w:val="162714E3"/>
    <w:rsid w:val="165D18B7"/>
    <w:rsid w:val="169561AB"/>
    <w:rsid w:val="17F463E4"/>
    <w:rsid w:val="17F906B8"/>
    <w:rsid w:val="185365BF"/>
    <w:rsid w:val="189240B8"/>
    <w:rsid w:val="19416EE3"/>
    <w:rsid w:val="199155F1"/>
    <w:rsid w:val="19F83B84"/>
    <w:rsid w:val="1A2B2E16"/>
    <w:rsid w:val="1A3441CE"/>
    <w:rsid w:val="1CA420EE"/>
    <w:rsid w:val="1D294680"/>
    <w:rsid w:val="1D406077"/>
    <w:rsid w:val="1D6D4BE1"/>
    <w:rsid w:val="1DB76376"/>
    <w:rsid w:val="1F9C01BD"/>
    <w:rsid w:val="1FEA526B"/>
    <w:rsid w:val="209854B7"/>
    <w:rsid w:val="21091236"/>
    <w:rsid w:val="22C96EF1"/>
    <w:rsid w:val="22EB3E7F"/>
    <w:rsid w:val="22F1792F"/>
    <w:rsid w:val="24151D08"/>
    <w:rsid w:val="2483647E"/>
    <w:rsid w:val="262056BE"/>
    <w:rsid w:val="26CB4A58"/>
    <w:rsid w:val="27230389"/>
    <w:rsid w:val="28677A51"/>
    <w:rsid w:val="28872C4F"/>
    <w:rsid w:val="29211B9F"/>
    <w:rsid w:val="295E6B72"/>
    <w:rsid w:val="29864257"/>
    <w:rsid w:val="29DE5491"/>
    <w:rsid w:val="2CD14227"/>
    <w:rsid w:val="2D42232F"/>
    <w:rsid w:val="2DFC193A"/>
    <w:rsid w:val="2F032695"/>
    <w:rsid w:val="30000983"/>
    <w:rsid w:val="303625F7"/>
    <w:rsid w:val="305A4537"/>
    <w:rsid w:val="30D2231F"/>
    <w:rsid w:val="317038E6"/>
    <w:rsid w:val="32714F51"/>
    <w:rsid w:val="32F07319"/>
    <w:rsid w:val="33227389"/>
    <w:rsid w:val="33FF1058"/>
    <w:rsid w:val="36E0150E"/>
    <w:rsid w:val="37380378"/>
    <w:rsid w:val="37851EB2"/>
    <w:rsid w:val="37A833E7"/>
    <w:rsid w:val="37CA1AB9"/>
    <w:rsid w:val="38402D6A"/>
    <w:rsid w:val="38C22E16"/>
    <w:rsid w:val="391F2F2E"/>
    <w:rsid w:val="3B0F23C2"/>
    <w:rsid w:val="3C005BD0"/>
    <w:rsid w:val="3C236D8A"/>
    <w:rsid w:val="3C8F3836"/>
    <w:rsid w:val="3CA8662A"/>
    <w:rsid w:val="3D430101"/>
    <w:rsid w:val="3D9B1CEB"/>
    <w:rsid w:val="3DE83A67"/>
    <w:rsid w:val="4004001B"/>
    <w:rsid w:val="404A1D0D"/>
    <w:rsid w:val="40C529A0"/>
    <w:rsid w:val="42CD2946"/>
    <w:rsid w:val="45C049E4"/>
    <w:rsid w:val="462C44F0"/>
    <w:rsid w:val="46A75AA7"/>
    <w:rsid w:val="46B97F68"/>
    <w:rsid w:val="46D64C42"/>
    <w:rsid w:val="47100713"/>
    <w:rsid w:val="474C1085"/>
    <w:rsid w:val="49203109"/>
    <w:rsid w:val="4A3E237C"/>
    <w:rsid w:val="4A946FEA"/>
    <w:rsid w:val="4AB34057"/>
    <w:rsid w:val="4AE14A72"/>
    <w:rsid w:val="4B17213F"/>
    <w:rsid w:val="4B5E45B8"/>
    <w:rsid w:val="4BF71DFE"/>
    <w:rsid w:val="4C0E5B77"/>
    <w:rsid w:val="4DC57782"/>
    <w:rsid w:val="4DF810AC"/>
    <w:rsid w:val="50F10148"/>
    <w:rsid w:val="517645ED"/>
    <w:rsid w:val="51792D37"/>
    <w:rsid w:val="53DA462E"/>
    <w:rsid w:val="53DA53DB"/>
    <w:rsid w:val="54393EBB"/>
    <w:rsid w:val="55061CE8"/>
    <w:rsid w:val="55B013F5"/>
    <w:rsid w:val="55CA11C1"/>
    <w:rsid w:val="5621082A"/>
    <w:rsid w:val="5756111B"/>
    <w:rsid w:val="582864A7"/>
    <w:rsid w:val="5A13454B"/>
    <w:rsid w:val="5A1D7123"/>
    <w:rsid w:val="5A513A05"/>
    <w:rsid w:val="5DC2080A"/>
    <w:rsid w:val="5E4733C9"/>
    <w:rsid w:val="5E9A1B85"/>
    <w:rsid w:val="60C47ACF"/>
    <w:rsid w:val="62E9512A"/>
    <w:rsid w:val="62FD1B62"/>
    <w:rsid w:val="641C7C95"/>
    <w:rsid w:val="656B5F2D"/>
    <w:rsid w:val="65B23EF2"/>
    <w:rsid w:val="662F0F0F"/>
    <w:rsid w:val="670A1B0C"/>
    <w:rsid w:val="671F394B"/>
    <w:rsid w:val="67FF3F88"/>
    <w:rsid w:val="680B0D7B"/>
    <w:rsid w:val="684828EC"/>
    <w:rsid w:val="6A6D4009"/>
    <w:rsid w:val="6B1B44E6"/>
    <w:rsid w:val="6BB169FA"/>
    <w:rsid w:val="6C1A00FB"/>
    <w:rsid w:val="6C4907A0"/>
    <w:rsid w:val="6C4A4810"/>
    <w:rsid w:val="6C615D2A"/>
    <w:rsid w:val="6F014E03"/>
    <w:rsid w:val="6FCA62DC"/>
    <w:rsid w:val="71B42C9F"/>
    <w:rsid w:val="72333D24"/>
    <w:rsid w:val="733C304D"/>
    <w:rsid w:val="750A0CFF"/>
    <w:rsid w:val="760009D4"/>
    <w:rsid w:val="76BC0952"/>
    <w:rsid w:val="788A2AAC"/>
    <w:rsid w:val="78EE6CAC"/>
    <w:rsid w:val="79F214BE"/>
    <w:rsid w:val="7A7953A0"/>
    <w:rsid w:val="7B5405E5"/>
    <w:rsid w:val="7BFE037F"/>
    <w:rsid w:val="7C3B7E88"/>
    <w:rsid w:val="7C603C27"/>
    <w:rsid w:val="7C975798"/>
    <w:rsid w:val="7CE714EC"/>
    <w:rsid w:val="7CF405BA"/>
    <w:rsid w:val="7D15792F"/>
    <w:rsid w:val="7D3B19E1"/>
    <w:rsid w:val="7D507F04"/>
    <w:rsid w:val="7EB4439D"/>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paragraph" w:styleId="5">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0"/>
      <w:szCs w:val="20"/>
    </w:rPr>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qFormat/>
    <w:uiPriority w:val="1"/>
    <w:rPr>
      <w:rFonts w:ascii="宋体" w:hAnsi="宋体" w:eastAsia="宋体" w:cs="宋体"/>
      <w:sz w:val="24"/>
      <w:szCs w:val="24"/>
      <w:lang w:val="zh-CN" w:bidi="zh-CN"/>
    </w:rPr>
  </w:style>
  <w:style w:type="paragraph" w:styleId="9">
    <w:name w:val="index 4"/>
    <w:basedOn w:val="1"/>
    <w:next w:val="1"/>
    <w:unhideWhenUsed/>
    <w:qFormat/>
    <w:uiPriority w:val="99"/>
    <w:pPr>
      <w:ind w:left="600" w:leftChars="600"/>
    </w:pPr>
    <w:rPr>
      <w:rFonts w:ascii="Verdana" w:hAnsi="Verdana"/>
      <w:szCs w:val="20"/>
    </w:rPr>
  </w:style>
  <w:style w:type="paragraph" w:styleId="10">
    <w:name w:val="footer"/>
    <w:basedOn w:val="1"/>
    <w:qFormat/>
    <w:uiPriority w:val="0"/>
    <w:pPr>
      <w:tabs>
        <w:tab w:val="center" w:pos="4153"/>
        <w:tab w:val="right" w:pos="8306"/>
      </w:tabs>
    </w:pPr>
    <w:rPr>
      <w:sz w:val="18"/>
    </w:rPr>
  </w:style>
  <w:style w:type="paragraph" w:styleId="11">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2">
    <w:name w:val="toc 1"/>
    <w:basedOn w:val="1"/>
    <w:next w:val="1"/>
    <w:qFormat/>
    <w:uiPriority w:val="39"/>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报告正文"/>
    <w:basedOn w:val="1"/>
    <w:qFormat/>
    <w:uiPriority w:val="99"/>
    <w:pPr>
      <w:spacing w:line="360" w:lineRule="auto"/>
      <w:ind w:firstLine="560" w:firstLineChars="200"/>
    </w:pPr>
    <w:rPr>
      <w:sz w:val="28"/>
      <w:szCs w:val="28"/>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basedOn w:val="15"/>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font31"/>
    <w:basedOn w:val="15"/>
    <w:qFormat/>
    <w:uiPriority w:val="0"/>
    <w:rPr>
      <w:rFonts w:hint="eastAsia" w:ascii="宋体" w:hAnsi="宋体" w:eastAsia="宋体" w:cs="宋体"/>
      <w:b/>
      <w:bCs/>
      <w:color w:val="000000"/>
      <w:sz w:val="20"/>
      <w:szCs w:val="20"/>
      <w:u w:val="none"/>
    </w:rPr>
  </w:style>
  <w:style w:type="character" w:customStyle="1" w:styleId="23">
    <w:name w:val="font1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12463</Words>
  <Characters>12890</Characters>
  <Lines>44</Lines>
  <Paragraphs>12</Paragraphs>
  <TotalTime>17</TotalTime>
  <ScaleCrop>false</ScaleCrop>
  <LinksUpToDate>false</LinksUpToDate>
  <CharactersWithSpaces>13450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李国彬（文书）</cp:lastModifiedBy>
  <cp:lastPrinted>2024-07-04T06:41:00Z</cp:lastPrinted>
  <dcterms:modified xsi:type="dcterms:W3CDTF">2024-07-05T06:18:07Z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231798BF0B0C4D8A9C7D0208F1095782_13</vt:lpwstr>
  </property>
</Properties>
</file>