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8" w:lineRule="auto"/>
        <w:rPr>
          <w:rFonts w:hint="eastAsia" w:ascii="宋体" w:hAnsi="宋体" w:eastAsia="宋体" w:cs="宋体"/>
        </w:rPr>
      </w:pPr>
      <w:bookmarkStart w:id="0" w:name="_Toc27807"/>
      <w:bookmarkStart w:id="1" w:name="_Toc14049"/>
    </w:p>
    <w:p>
      <w:pPr>
        <w:spacing w:line="278" w:lineRule="auto"/>
        <w:rPr>
          <w:rFonts w:hint="eastAsia" w:ascii="宋体" w:hAnsi="宋体" w:eastAsia="宋体" w:cs="宋体"/>
        </w:rPr>
      </w:pPr>
    </w:p>
    <w:p>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高纯石墨方</w:t>
      </w:r>
      <w:r>
        <w:rPr>
          <w:rFonts w:hint="eastAsia" w:ascii="宋体" w:hAnsi="宋体" w:eastAsia="宋体" w:cs="宋体"/>
          <w:color w:val="auto"/>
          <w:sz w:val="52"/>
          <w:szCs w:val="52"/>
          <w:u w:val="single"/>
        </w:rPr>
        <w:t xml:space="preserve"> </w:t>
      </w:r>
      <w:r>
        <w:rPr>
          <w:rFonts w:hint="eastAsia" w:ascii="宋体" w:hAnsi="宋体" w:eastAsia="宋体" w:cs="宋体"/>
          <w:spacing w:val="-3"/>
          <w:sz w:val="52"/>
          <w:szCs w:val="52"/>
        </w:rPr>
        <w:t>采购项目</w:t>
      </w:r>
      <w:bookmarkEnd w:id="2"/>
      <w:bookmarkEnd w:id="3"/>
    </w:p>
    <w:p>
      <w:pPr>
        <w:tabs>
          <w:tab w:val="left" w:pos="5882"/>
        </w:tabs>
        <w:spacing w:before="169" w:line="185" w:lineRule="auto"/>
        <w:ind w:firstLine="1040"/>
        <w:jc w:val="center"/>
        <w:outlineLvl w:val="0"/>
        <w:rPr>
          <w:rFonts w:hint="eastAsia" w:ascii="宋体" w:hAnsi="宋体" w:eastAsia="宋体" w:cs="宋体"/>
          <w:spacing w:val="-3"/>
          <w:sz w:val="52"/>
          <w:szCs w:val="52"/>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HXZB2024061101</w:t>
      </w: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9" w:lineRule="auto"/>
        <w:rPr>
          <w:rFonts w:hint="eastAsia" w:ascii="宋体" w:hAnsi="宋体" w:eastAsia="宋体" w:cs="宋体"/>
        </w:rPr>
      </w:pPr>
    </w:p>
    <w:p>
      <w:pPr>
        <w:spacing w:line="249" w:lineRule="auto"/>
        <w:rPr>
          <w:rFonts w:hint="eastAsia" w:ascii="宋体" w:hAnsi="宋体" w:eastAsia="宋体" w:cs="宋体"/>
        </w:rPr>
      </w:pPr>
    </w:p>
    <w:p>
      <w:pPr>
        <w:spacing w:before="274" w:line="185" w:lineRule="auto"/>
        <w:ind w:firstLine="1646"/>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3" w:lineRule="auto"/>
        <w:rPr>
          <w:rFonts w:hint="eastAsia" w:ascii="宋体" w:hAnsi="宋体" w:eastAsia="宋体" w:cs="宋体"/>
        </w:rPr>
      </w:pPr>
    </w:p>
    <w:p>
      <w:pPr>
        <w:spacing w:line="253" w:lineRule="auto"/>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253" w:lineRule="auto"/>
        <w:rPr>
          <w:rFonts w:hint="eastAsia" w:ascii="宋体" w:hAnsi="宋体" w:eastAsia="宋体" w:cs="宋体"/>
        </w:rPr>
      </w:pPr>
    </w:p>
    <w:p>
      <w:pPr>
        <w:spacing w:line="253" w:lineRule="auto"/>
        <w:rPr>
          <w:rFonts w:hint="eastAsia" w:ascii="宋体" w:hAnsi="宋体" w:eastAsia="宋体" w:cs="宋体"/>
        </w:rPr>
      </w:pPr>
    </w:p>
    <w:p>
      <w:pPr>
        <w:spacing w:before="104" w:line="188" w:lineRule="auto"/>
        <w:rPr>
          <w:rFonts w:hint="eastAsia" w:ascii="宋体" w:hAnsi="宋体" w:eastAsia="宋体" w:cs="宋体"/>
          <w:spacing w:val="-18"/>
          <w:sz w:val="32"/>
          <w:szCs w:val="32"/>
        </w:rPr>
      </w:pPr>
    </w:p>
    <w:p>
      <w:pPr>
        <w:spacing w:before="104" w:line="188" w:lineRule="auto"/>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pPr>
        <w:spacing w:line="409" w:lineRule="auto"/>
        <w:rPr>
          <w:rFonts w:hint="eastAsia" w:ascii="宋体" w:hAnsi="宋体" w:eastAsia="宋体" w:cs="宋体"/>
        </w:rPr>
      </w:pPr>
    </w:p>
    <w:p>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06</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1</w:t>
      </w:r>
      <w:bookmarkEnd w:id="9"/>
      <w:r>
        <w:rPr>
          <w:rFonts w:hint="eastAsia" w:ascii="宋体" w:hAnsi="宋体" w:eastAsia="宋体" w:cs="宋体"/>
          <w:color w:val="auto"/>
          <w:sz w:val="32"/>
          <w:szCs w:val="32"/>
          <w:lang w:val="en-US" w:eastAsia="zh-CN"/>
        </w:rPr>
        <w:t>2日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pPr>
        <w:pStyle w:val="2"/>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bookmarkStart w:id="171" w:name="_GoBack"/>
      <w:bookmarkEnd w:id="171"/>
    </w:p>
    <w:p>
      <w:pPr>
        <w:tabs>
          <w:tab w:val="left" w:pos="2648"/>
        </w:tabs>
        <w:spacing w:line="360" w:lineRule="auto"/>
        <w:rPr>
          <w:rFonts w:hint="eastAsia" w:ascii="宋体" w:hAnsi="宋体" w:eastAsia="宋体" w:cs="宋体"/>
          <w:sz w:val="24"/>
          <w:szCs w:val="24"/>
        </w:rPr>
      </w:pPr>
      <w:bookmarkStart w:id="12" w:name="_Hlk121147898"/>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40611</w:t>
      </w:r>
      <w:r>
        <w:rPr>
          <w:rFonts w:hint="eastAsia" w:ascii="宋体" w:hAnsi="宋体" w:eastAsia="宋体" w:cs="宋体"/>
          <w:b w:val="0"/>
          <w:bCs w:val="0"/>
          <w:sz w:val="28"/>
          <w:szCs w:val="28"/>
          <w:highlight w:val="none"/>
          <w:u w:val="single"/>
        </w:rPr>
        <w:t>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高纯石墨方采购项目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30525"/>
      <w:bookmarkStart w:id="14" w:name="_Toc23627"/>
      <w:bookmarkStart w:id="15" w:name="_Toc30218"/>
      <w:bookmarkStart w:id="16" w:name="_Toc3520"/>
      <w:bookmarkStart w:id="17" w:name="_Toc13304"/>
      <w:bookmarkStart w:id="18" w:name="_Toc3942"/>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540"/>
        <w:gridCol w:w="1872"/>
        <w:gridCol w:w="1668"/>
        <w:gridCol w:w="996"/>
        <w:gridCol w:w="936"/>
        <w:gridCol w:w="1404"/>
        <w:gridCol w:w="12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4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872" w:type="dxa"/>
            <w:tcBorders>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1668" w:type="dxa"/>
            <w:tcBorders>
              <w:lef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96" w:type="dxa"/>
            <w:tcBorders>
              <w:lef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85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0"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高纯石墨方</w:t>
            </w:r>
          </w:p>
        </w:tc>
        <w:tc>
          <w:tcPr>
            <w:tcW w:w="1872" w:type="dxa"/>
            <w:tcBorders>
              <w:right w:val="single" w:color="auto" w:sz="4" w:space="0"/>
            </w:tcBorders>
            <w:vAlign w:val="center"/>
          </w:tcPr>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740*740*260mm</w:t>
            </w:r>
          </w:p>
          <w:p>
            <w:pPr>
              <w:pStyle w:val="2"/>
              <w:rPr>
                <w:rFonts w:hint="eastAsia"/>
                <w:lang w:val="en-US" w:eastAsia="zh-CN"/>
              </w:rPr>
            </w:pPr>
          </w:p>
        </w:tc>
        <w:tc>
          <w:tcPr>
            <w:tcW w:w="1668" w:type="dxa"/>
            <w:tcBorders>
              <w:lef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密度≥1.75g/c㎥</w:t>
            </w:r>
          </w:p>
        </w:tc>
        <w:tc>
          <w:tcPr>
            <w:tcW w:w="996" w:type="dxa"/>
            <w:tcBorders>
              <w:lef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93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380</w:t>
            </w:r>
          </w:p>
        </w:tc>
        <w:tc>
          <w:tcPr>
            <w:tcW w:w="140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2024.09.30</w:t>
            </w:r>
          </w:p>
        </w:tc>
        <w:tc>
          <w:tcPr>
            <w:tcW w:w="120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约1500块</w:t>
            </w:r>
          </w:p>
        </w:tc>
      </w:tr>
    </w:tbl>
    <w:p>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bookmarkEnd w:id="19"/>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654"/>
      <w:bookmarkStart w:id="21" w:name="_Toc24591"/>
      <w:bookmarkStart w:id="22" w:name="_Toc7018"/>
      <w:bookmarkStart w:id="23" w:name="_Toc30159"/>
      <w:bookmarkStart w:id="24" w:name="_Toc27635"/>
      <w:bookmarkStart w:id="25" w:name="_Toc9339"/>
      <w:r>
        <w:rPr>
          <w:rFonts w:hint="eastAsia" w:ascii="宋体" w:hAnsi="宋体" w:eastAsia="宋体" w:cs="宋体"/>
          <w:sz w:val="24"/>
          <w:szCs w:val="24"/>
        </w:rPr>
        <w:t>相关要求：</w:t>
      </w:r>
      <w:bookmarkEnd w:id="20"/>
      <w:bookmarkEnd w:id="21"/>
      <w:bookmarkEnd w:id="22"/>
      <w:bookmarkEnd w:id="23"/>
      <w:bookmarkEnd w:id="24"/>
      <w:bookmarkEnd w:id="25"/>
    </w:p>
    <w:p>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21790"/>
      <w:bookmarkStart w:id="27" w:name="_Toc20083"/>
      <w:bookmarkStart w:id="28" w:name="_Toc21113"/>
      <w:bookmarkStart w:id="29" w:name="_Toc30078"/>
      <w:bookmarkStart w:id="30" w:name="_Toc19941"/>
      <w:bookmarkStart w:id="31" w:name="_Toc4182"/>
      <w:r>
        <w:rPr>
          <w:rFonts w:hint="eastAsia" w:ascii="宋体" w:hAnsi="宋体" w:eastAsia="宋体" w:cs="宋体"/>
          <w:sz w:val="24"/>
          <w:szCs w:val="24"/>
        </w:rPr>
        <w:t>联系方式</w:t>
      </w:r>
      <w:bookmarkEnd w:id="26"/>
      <w:bookmarkEnd w:id="27"/>
      <w:bookmarkEnd w:id="28"/>
      <w:bookmarkEnd w:id="29"/>
      <w:bookmarkEnd w:id="30"/>
      <w:bookmarkEnd w:id="31"/>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pPr>
        <w:spacing w:line="27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ind w:firstLine="459"/>
        <w:jc w:val="right"/>
        <w:outlineLvl w:val="0"/>
        <w:rPr>
          <w:rFonts w:hint="eastAsia" w:ascii="宋体" w:hAnsi="宋体" w:eastAsia="宋体" w:cs="宋体"/>
          <w:sz w:val="24"/>
          <w:szCs w:val="24"/>
        </w:rPr>
      </w:pPr>
      <w:bookmarkStart w:id="32" w:name="_Toc19147"/>
      <w:bookmarkStart w:id="33" w:name="_Toc322"/>
      <w:bookmarkStart w:id="34" w:name="_Toc20059"/>
      <w:bookmarkStart w:id="35" w:name="_Toc23207"/>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p>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8439"/>
      <w:bookmarkStart w:id="37" w:name="_Toc1059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21532"/>
      <w:bookmarkStart w:id="40" w:name="_Toc9822"/>
      <w:bookmarkStart w:id="41" w:name="_Toc24156"/>
      <w:bookmarkStart w:id="42" w:name="_Toc15722"/>
      <w:bookmarkStart w:id="43" w:name="_Toc14879"/>
      <w:bookmarkStart w:id="44" w:name="_Toc5448"/>
      <w:r>
        <w:rPr>
          <w:rFonts w:hint="eastAsia" w:ascii="宋体" w:hAnsi="宋体" w:eastAsia="宋体" w:cs="宋体"/>
          <w:sz w:val="24"/>
          <w:szCs w:val="24"/>
        </w:rPr>
        <w:t>投标资格（包括但不限于）：</w:t>
      </w:r>
      <w:bookmarkEnd w:id="39"/>
      <w:bookmarkEnd w:id="40"/>
      <w:bookmarkEnd w:id="41"/>
      <w:bookmarkEnd w:id="42"/>
      <w:bookmarkEnd w:id="43"/>
      <w:bookmarkEnd w:id="44"/>
    </w:p>
    <w:p>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pPr>
        <w:kinsoku/>
        <w:spacing w:line="360" w:lineRule="auto"/>
        <w:ind w:firstLine="482" w:firstLineChars="200"/>
        <w:outlineLvl w:val="0"/>
        <w:rPr>
          <w:rFonts w:hint="eastAsia" w:ascii="宋体" w:hAnsi="宋体" w:eastAsia="宋体" w:cs="宋体"/>
          <w:b/>
          <w:bCs/>
          <w:sz w:val="24"/>
          <w:szCs w:val="24"/>
        </w:rPr>
      </w:pPr>
      <w:bookmarkStart w:id="45" w:name="_Toc9930"/>
      <w:bookmarkStart w:id="46" w:name="_Toc12309"/>
      <w:bookmarkStart w:id="47" w:name="_Toc23688"/>
      <w:bookmarkStart w:id="48" w:name="_Toc16770"/>
      <w:bookmarkStart w:id="49" w:name="_Toc15847"/>
      <w:r>
        <w:rPr>
          <w:rFonts w:hint="eastAsia" w:ascii="宋体" w:hAnsi="宋体" w:eastAsia="宋体" w:cs="宋体"/>
          <w:b/>
          <w:bCs/>
          <w:sz w:val="24"/>
          <w:szCs w:val="24"/>
        </w:rPr>
        <w:t>二、投标报价</w:t>
      </w:r>
      <w:bookmarkEnd w:id="45"/>
      <w:bookmarkEnd w:id="46"/>
      <w:bookmarkEnd w:id="47"/>
      <w:bookmarkEnd w:id="48"/>
      <w:bookmarkEnd w:id="49"/>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pPr>
        <w:kinsoku/>
        <w:spacing w:line="360" w:lineRule="auto"/>
        <w:ind w:firstLine="482" w:firstLineChars="200"/>
        <w:outlineLvl w:val="0"/>
        <w:rPr>
          <w:rFonts w:hint="eastAsia" w:ascii="宋体" w:hAnsi="宋体" w:eastAsia="宋体" w:cs="宋体"/>
          <w:b/>
          <w:bCs/>
          <w:sz w:val="24"/>
          <w:szCs w:val="24"/>
        </w:rPr>
      </w:pPr>
      <w:bookmarkStart w:id="51" w:name="_Toc13329"/>
      <w:bookmarkStart w:id="52" w:name="_Toc2348"/>
      <w:bookmarkStart w:id="53" w:name="_Toc19945"/>
      <w:bookmarkStart w:id="54" w:name="_Toc14547"/>
      <w:bookmarkStart w:id="55" w:name="_Toc24896"/>
      <w:r>
        <w:rPr>
          <w:rFonts w:hint="eastAsia" w:ascii="宋体" w:hAnsi="宋体" w:eastAsia="宋体" w:cs="宋体"/>
          <w:b/>
          <w:bCs/>
          <w:sz w:val="24"/>
          <w:szCs w:val="24"/>
        </w:rPr>
        <w:t>三、投标文件</w:t>
      </w:r>
      <w:bookmarkEnd w:id="51"/>
      <w:bookmarkEnd w:id="52"/>
      <w:bookmarkEnd w:id="53"/>
      <w:bookmarkEnd w:id="54"/>
      <w:bookmarkEnd w:id="55"/>
    </w:p>
    <w:p>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7457"/>
      <w:bookmarkStart w:id="57" w:name="_Toc2231"/>
      <w:bookmarkStart w:id="58" w:name="_Toc30156"/>
      <w:bookmarkStart w:id="59" w:name="_Toc11398"/>
      <w:bookmarkStart w:id="60" w:name="_Toc30571"/>
      <w:bookmarkStart w:id="61" w:name="_Toc29954"/>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pPr>
        <w:kinsoku/>
        <w:spacing w:line="360" w:lineRule="auto"/>
        <w:ind w:firstLine="482" w:firstLineChars="200"/>
        <w:outlineLvl w:val="0"/>
        <w:rPr>
          <w:rFonts w:hint="eastAsia" w:ascii="宋体" w:hAnsi="宋体" w:eastAsia="宋体" w:cs="宋体"/>
          <w:b/>
          <w:bCs/>
          <w:sz w:val="24"/>
          <w:szCs w:val="24"/>
        </w:rPr>
      </w:pPr>
      <w:bookmarkStart w:id="62" w:name="_Toc18677"/>
      <w:bookmarkStart w:id="63" w:name="_Toc14760"/>
      <w:bookmarkStart w:id="64" w:name="_Toc29111"/>
      <w:bookmarkStart w:id="65" w:name="_Toc23458"/>
      <w:bookmarkStart w:id="66" w:name="_Toc8"/>
      <w:r>
        <w:rPr>
          <w:rFonts w:hint="eastAsia" w:ascii="宋体" w:hAnsi="宋体" w:eastAsia="宋体" w:cs="宋体"/>
          <w:b/>
          <w:bCs/>
          <w:sz w:val="24"/>
          <w:szCs w:val="24"/>
        </w:rPr>
        <w:t>四、开标、评标、定标</w:t>
      </w:r>
      <w:bookmarkEnd w:id="62"/>
      <w:bookmarkEnd w:id="63"/>
      <w:bookmarkEnd w:id="64"/>
      <w:bookmarkEnd w:id="65"/>
      <w:bookmarkEnd w:id="66"/>
    </w:p>
    <w:p>
      <w:pPr>
        <w:pStyle w:val="27"/>
        <w:numPr>
          <w:ilvl w:val="0"/>
          <w:numId w:val="6"/>
        </w:numPr>
        <w:kinsoku/>
        <w:spacing w:line="360" w:lineRule="auto"/>
        <w:ind w:left="0" w:firstLine="480"/>
        <w:outlineLvl w:val="0"/>
        <w:rPr>
          <w:rFonts w:hint="eastAsia" w:ascii="宋体" w:hAnsi="宋体" w:eastAsia="宋体" w:cs="宋体"/>
          <w:sz w:val="24"/>
          <w:szCs w:val="24"/>
        </w:rPr>
      </w:pPr>
      <w:bookmarkStart w:id="67" w:name="_Toc29386"/>
      <w:bookmarkStart w:id="68" w:name="_Toc20255"/>
      <w:bookmarkStart w:id="69" w:name="_Toc31780"/>
      <w:bookmarkStart w:id="70" w:name="_Toc998"/>
      <w:bookmarkStart w:id="71" w:name="_Toc5695"/>
      <w:bookmarkStart w:id="72" w:name="_Toc3331"/>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pPr>
        <w:pStyle w:val="27"/>
        <w:numPr>
          <w:ilvl w:val="0"/>
          <w:numId w:val="6"/>
        </w:numPr>
        <w:kinsoku/>
        <w:spacing w:line="360" w:lineRule="auto"/>
        <w:ind w:left="0" w:firstLine="480"/>
        <w:outlineLvl w:val="0"/>
        <w:rPr>
          <w:rFonts w:hint="eastAsia" w:ascii="宋体" w:hAnsi="宋体" w:eastAsia="宋体" w:cs="宋体"/>
          <w:sz w:val="24"/>
          <w:szCs w:val="24"/>
        </w:rPr>
      </w:pPr>
      <w:bookmarkStart w:id="73" w:name="_Toc18886"/>
      <w:bookmarkStart w:id="74" w:name="_Toc12"/>
      <w:bookmarkStart w:id="75" w:name="_Toc26371"/>
      <w:bookmarkStart w:id="76" w:name="_Toc14086"/>
      <w:bookmarkStart w:id="77" w:name="_Toc24129"/>
      <w:bookmarkStart w:id="78" w:name="_Toc6426"/>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pPr>
        <w:kinsoku/>
        <w:spacing w:line="360" w:lineRule="auto"/>
        <w:ind w:firstLine="482" w:firstLineChars="200"/>
        <w:outlineLvl w:val="0"/>
        <w:rPr>
          <w:rFonts w:hint="eastAsia" w:ascii="宋体" w:hAnsi="宋体" w:eastAsia="宋体" w:cs="宋体"/>
          <w:b/>
          <w:bCs/>
          <w:sz w:val="24"/>
          <w:szCs w:val="24"/>
        </w:rPr>
      </w:pPr>
      <w:bookmarkStart w:id="79" w:name="_Toc29662"/>
      <w:bookmarkStart w:id="80" w:name="_Toc2586"/>
      <w:bookmarkStart w:id="81" w:name="_Toc6326"/>
      <w:bookmarkStart w:id="82" w:name="_Toc32748"/>
      <w:bookmarkStart w:id="83" w:name="_Toc25649"/>
      <w:r>
        <w:rPr>
          <w:rFonts w:hint="eastAsia" w:ascii="宋体" w:hAnsi="宋体" w:eastAsia="宋体" w:cs="宋体"/>
          <w:b/>
          <w:bCs/>
          <w:sz w:val="24"/>
          <w:szCs w:val="24"/>
        </w:rPr>
        <w:t>五、纪律要求</w:t>
      </w:r>
      <w:bookmarkEnd w:id="79"/>
      <w:bookmarkEnd w:id="80"/>
      <w:bookmarkEnd w:id="81"/>
      <w:bookmarkEnd w:id="82"/>
      <w:bookmarkEnd w:id="83"/>
    </w:p>
    <w:p>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pPr>
        <w:kinsoku/>
        <w:spacing w:line="360" w:lineRule="auto"/>
        <w:ind w:firstLine="482" w:firstLineChars="200"/>
        <w:outlineLvl w:val="0"/>
        <w:rPr>
          <w:rFonts w:hint="eastAsia" w:ascii="宋体" w:hAnsi="宋体" w:eastAsia="宋体" w:cs="宋体"/>
          <w:b/>
          <w:bCs/>
          <w:sz w:val="24"/>
          <w:szCs w:val="24"/>
        </w:rPr>
      </w:pPr>
      <w:bookmarkStart w:id="84" w:name="_Toc7771"/>
      <w:bookmarkStart w:id="85" w:name="_Toc9588"/>
      <w:bookmarkStart w:id="86" w:name="_Toc3302"/>
      <w:bookmarkStart w:id="87" w:name="_Toc11099"/>
      <w:bookmarkStart w:id="88" w:name="_Toc23438"/>
      <w:r>
        <w:rPr>
          <w:rFonts w:hint="eastAsia" w:ascii="宋体" w:hAnsi="宋体" w:eastAsia="宋体" w:cs="宋体"/>
          <w:b/>
          <w:bCs/>
          <w:sz w:val="24"/>
          <w:szCs w:val="24"/>
        </w:rPr>
        <w:t>六、其他</w:t>
      </w:r>
      <w:bookmarkEnd w:id="84"/>
      <w:bookmarkEnd w:id="85"/>
      <w:bookmarkEnd w:id="86"/>
      <w:bookmarkEnd w:id="87"/>
      <w:bookmarkEnd w:id="88"/>
    </w:p>
    <w:p>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26223"/>
      <w:bookmarkStart w:id="90" w:name="_Toc14035"/>
      <w:bookmarkStart w:id="91" w:name="_Toc1420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val="en-US" w:eastAsia="zh-CN"/>
        </w:rPr>
        <w:t>技术部分（20分）、报价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pPr>
        <w:pStyle w:val="23"/>
        <w:rPr>
          <w:rFonts w:hint="eastAsia" w:ascii="宋体" w:hAnsi="宋体" w:eastAsia="宋体" w:cs="宋体"/>
          <w:color w:val="auto"/>
          <w:sz w:val="24"/>
          <w:highlight w:val="none"/>
        </w:rPr>
      </w:pPr>
    </w:p>
    <w:p>
      <w:pPr>
        <w:pStyle w:val="23"/>
        <w:rPr>
          <w:rFonts w:hint="eastAsia" w:ascii="宋体" w:hAnsi="宋体" w:eastAsia="宋体" w:cs="宋体"/>
          <w:color w:val="auto"/>
          <w:sz w:val="24"/>
          <w:highlight w:val="none"/>
        </w:rPr>
      </w:pPr>
    </w:p>
    <w:p>
      <w:pPr>
        <w:ind w:firstLine="458" w:firstLineChars="200"/>
        <w:rPr>
          <w:rFonts w:hint="eastAsia" w:ascii="宋体" w:hAnsi="宋体" w:eastAsia="宋体" w:cs="宋体"/>
          <w:b/>
          <w:bCs/>
          <w:color w:val="auto"/>
          <w:spacing w:val="-6"/>
          <w:sz w:val="24"/>
          <w:highlight w:val="none"/>
          <w:lang w:eastAsia="zh-CN"/>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3537"/>
      <w:bookmarkStart w:id="93" w:name="_Toc23296"/>
      <w:bookmarkStart w:id="94" w:name="_Toc147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pPr>
        <w:spacing w:line="360" w:lineRule="auto"/>
        <w:jc w:val="both"/>
        <w:rPr>
          <w:rFonts w:hint="eastAsia" w:ascii="宋体" w:hAnsi="宋体" w:eastAsia="宋体" w:cs="宋体"/>
          <w:b/>
          <w:bCs/>
          <w:sz w:val="24"/>
        </w:rPr>
      </w:pPr>
    </w:p>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2、商务部分（分值20分）</w:t>
      </w:r>
    </w:p>
    <w:tbl>
      <w:tblPr>
        <w:tblStyle w:val="16"/>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vMerge w:val="restart"/>
            <w:tcBorders>
              <w:top w:val="single" w:color="000000" w:sz="4" w:space="0"/>
              <w:left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企业</w:t>
            </w:r>
            <w:r>
              <w:rPr>
                <w:rFonts w:hint="eastAsia" w:ascii="宋体" w:hAnsi="宋体" w:eastAsia="宋体" w:cs="宋体"/>
                <w:color w:val="auto"/>
                <w:szCs w:val="24"/>
              </w:rPr>
              <w:t>资质</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注册资本≥</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00万元1分，每高于100万元加0.5分，本小项最高得2分。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c>
          <w:tcPr>
            <w:tcW w:w="1180" w:type="dxa"/>
            <w:vMerge w:val="continue"/>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相关体系认证（质量、环境、职业健康安全、其他每项0.5分）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80" w:type="dxa"/>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rPr>
              <w:t>类似</w:t>
            </w:r>
            <w:r>
              <w:rPr>
                <w:rFonts w:hint="eastAsia" w:ascii="宋体" w:hAnsi="宋体" w:eastAsia="宋体" w:cs="宋体"/>
                <w:color w:val="auto"/>
                <w:szCs w:val="24"/>
                <w:lang w:val="en-US"/>
              </w:rPr>
              <w:t>业务</w:t>
            </w:r>
            <w:r>
              <w:rPr>
                <w:rFonts w:hint="eastAsia" w:ascii="宋体" w:hAnsi="宋体" w:eastAsia="宋体" w:cs="宋体"/>
                <w:color w:val="auto"/>
                <w:szCs w:val="24"/>
              </w:rPr>
              <w:t>业绩</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27"/>
              <w:widowControl w:val="0"/>
              <w:kinsoku/>
              <w:autoSpaceDE/>
              <w:autoSpaceDN/>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万元及以上类似业绩且验收合格的，提供一项目业绩的得2分（未能提供验收证明的得1分），本小项最高得8分。</w:t>
            </w:r>
          </w:p>
          <w:p>
            <w:pPr>
              <w:kinsoku/>
              <w:autoSpaceDE/>
              <w:autoSpaceDN/>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180" w:type="dxa"/>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rPr>
            </w:pPr>
            <w:r>
              <w:rPr>
                <w:rFonts w:hint="eastAsia" w:ascii="宋体" w:hAnsi="宋体" w:eastAsia="宋体" w:cs="宋体"/>
                <w:color w:val="auto"/>
                <w:szCs w:val="24"/>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insoku/>
              <w:autoSpaceDE/>
              <w:autoSpaceDN/>
              <w:adjustRightInd/>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货到、票到检验合格后7天付款，付银承</w:t>
            </w:r>
          </w:p>
          <w:p>
            <w:pPr>
              <w:kinsoku/>
              <w:autoSpaceDE/>
              <w:autoSpaceDN/>
              <w:adjustRightInd/>
              <w:snapToGri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不响应扣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180" w:type="dxa"/>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邀标文件中规定的交货期为</w:t>
            </w:r>
            <w:r>
              <w:rPr>
                <w:rFonts w:hint="eastAsia" w:ascii="宋体" w:hAnsi="宋体" w:eastAsia="宋体" w:cs="宋体"/>
                <w:color w:val="auto"/>
                <w:sz w:val="24"/>
                <w:szCs w:val="24"/>
                <w:lang w:val="en-US" w:eastAsia="zh-CN"/>
              </w:rPr>
              <w:t xml:space="preserve">    天</w:t>
            </w:r>
            <w:r>
              <w:rPr>
                <w:rFonts w:hint="eastAsia" w:ascii="宋体" w:hAnsi="宋体" w:eastAsia="宋体" w:cs="宋体"/>
                <w:color w:val="auto"/>
                <w:sz w:val="24"/>
                <w:szCs w:val="24"/>
              </w:rPr>
              <w:t>，基础分为1分，每提前</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加1分，每超过</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0" w:type="dxa"/>
            <w:tcBorders>
              <w:left w:val="single" w:color="000000" w:sz="4" w:space="0"/>
              <w:bottom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insoku/>
              <w:autoSpaceDE/>
              <w:autoSpaceDN/>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1、投标人须对所售出的产品实行三包:即产品在正常使用情况下发生质量问题时，投标人应按使用方的要求，负责对产品实行包修、包换、包退。</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7</w:t>
            </w:r>
            <w:r>
              <w:rPr>
                <w:rFonts w:hint="eastAsia" w:ascii="宋体" w:hAnsi="宋体" w:eastAsia="宋体" w:cs="宋体"/>
                <w:sz w:val="24"/>
              </w:rPr>
              <w:t>0%，评审过程中，不得去掉最后报价中的最高报价和最低报价。（保留到小数点后两位，第三位四舍五入。）</w:t>
            </w:r>
          </w:p>
          <w:p>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sz w:val="24"/>
                <w:szCs w:val="24"/>
              </w:rPr>
            </w:pPr>
          </w:p>
        </w:tc>
      </w:tr>
    </w:tbl>
    <w:p>
      <w:pPr>
        <w:pStyle w:val="2"/>
        <w:ind w:left="0" w:leftChars="0" w:firstLine="0" w:firstLineChars="0"/>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商务分+技术</w:t>
      </w:r>
      <w:r>
        <w:rPr>
          <w:rFonts w:hint="eastAsia" w:ascii="宋体" w:hAnsi="宋体" w:eastAsia="宋体" w:cs="宋体"/>
          <w:color w:val="auto"/>
          <w:sz w:val="24"/>
        </w:rPr>
        <w:t>分+价格分）。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w:t>
      </w:r>
      <w:r>
        <w:rPr>
          <w:rFonts w:hint="eastAsia" w:ascii="宋体" w:hAnsi="宋体" w:eastAsia="宋体" w:cs="宋体"/>
          <w:color w:val="auto"/>
          <w:sz w:val="24"/>
          <w:lang w:val="en-US" w:eastAsia="zh-CN"/>
        </w:rPr>
        <w:t>三家</w:t>
      </w:r>
      <w:r>
        <w:rPr>
          <w:rFonts w:hint="eastAsia" w:ascii="宋体" w:hAnsi="宋体" w:eastAsia="宋体" w:cs="宋体"/>
          <w:color w:val="auto"/>
          <w:sz w:val="24"/>
        </w:rPr>
        <w:t>中标候选人，评分以得分最高者作为第一中标候选人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以此类推，第一中标候选人分配本次招投标原材料约60%，第二中标候选人分配本次招投标原材料约35%，第三中标候选人分配本次招投标原材料约5%</w:t>
      </w:r>
      <w:r>
        <w:rPr>
          <w:rFonts w:hint="eastAsia" w:ascii="宋体" w:hAnsi="宋体" w:eastAsia="宋体" w:cs="宋体"/>
          <w:color w:val="auto"/>
          <w:sz w:val="24"/>
        </w:rPr>
        <w:t>。如果出现并列得分最高，则确定价格较低者排名在前；价格投标仍相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20197"/>
      <w:bookmarkStart w:id="96" w:name="_Toc12820"/>
      <w:bookmarkStart w:id="97" w:name="_Toc721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pPr>
        <w:pStyle w:val="8"/>
        <w:spacing w:line="360" w:lineRule="auto"/>
        <w:rPr>
          <w:rFonts w:hint="eastAsia" w:ascii="宋体" w:hAnsi="宋体" w:eastAsia="宋体" w:cs="宋体"/>
        </w:rPr>
      </w:pPr>
      <w:r>
        <w:rPr>
          <w:rFonts w:hint="eastAsia" w:ascii="宋体" w:hAnsi="宋体" w:eastAsia="宋体" w:cs="宋体"/>
        </w:rPr>
        <w:t>投标人应满足以下要求：</w:t>
      </w:r>
    </w:p>
    <w:p>
      <w:pPr>
        <w:pStyle w:val="8"/>
        <w:spacing w:line="360" w:lineRule="auto"/>
        <w:rPr>
          <w:rFonts w:hint="eastAsia" w:ascii="宋体" w:hAnsi="宋体" w:eastAsia="宋体" w:cs="宋体"/>
          <w:lang w:val="en-US" w:eastAsia="zh-CN"/>
        </w:rPr>
      </w:pPr>
      <w:r>
        <w:rPr>
          <w:rFonts w:hint="eastAsia" w:ascii="宋体" w:hAnsi="宋体" w:eastAsia="宋体" w:cs="宋体"/>
          <w:lang w:val="en-US" w:eastAsia="zh-CN"/>
        </w:rPr>
        <w:t>原材料理化指标：</w:t>
      </w: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 序号一：</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817"/>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817" w:type="dxa"/>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项目</w:t>
            </w:r>
          </w:p>
        </w:tc>
        <w:tc>
          <w:tcPr>
            <w:tcW w:w="2424" w:type="dxa"/>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技术参数</w:t>
            </w:r>
          </w:p>
        </w:tc>
        <w:tc>
          <w:tcPr>
            <w:tcW w:w="3101" w:type="dxa"/>
            <w:noWrap w:val="0"/>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817" w:type="dxa"/>
            <w:noWrap w:val="0"/>
            <w:vAlign w:val="center"/>
          </w:tcPr>
          <w:p>
            <w:pPr>
              <w:widowControl/>
              <w:jc w:val="center"/>
              <w:rPr>
                <w:rFonts w:hint="eastAsia" w:ascii="宋体" w:hAnsi="宋体" w:eastAsia="宋体" w:cs="宋体"/>
                <w:b w:val="0"/>
                <w:color w:val="auto"/>
                <w:spacing w:val="10"/>
                <w:kern w:val="2"/>
                <w:sz w:val="22"/>
                <w:szCs w:val="22"/>
                <w:lang w:val="en-US" w:eastAsia="zh-CN"/>
              </w:rPr>
            </w:pPr>
            <w:r>
              <w:rPr>
                <w:rFonts w:hint="eastAsia" w:ascii="仿宋" w:hAnsi="仿宋" w:eastAsia="仿宋" w:cs="仿宋"/>
                <w:b w:val="0"/>
                <w:color w:val="auto"/>
                <w:spacing w:val="10"/>
                <w:kern w:val="2"/>
                <w:sz w:val="22"/>
                <w:szCs w:val="22"/>
                <w:lang w:val="en-US" w:eastAsia="zh-CN"/>
              </w:rPr>
              <w:t>*</w:t>
            </w:r>
            <w:r>
              <w:rPr>
                <w:rFonts w:hint="eastAsia" w:ascii="宋体" w:hAnsi="宋体" w:eastAsia="宋体" w:cs="宋体"/>
                <w:b w:val="0"/>
                <w:color w:val="auto"/>
                <w:spacing w:val="10"/>
                <w:kern w:val="2"/>
                <w:sz w:val="22"/>
                <w:szCs w:val="22"/>
                <w:lang w:val="en-US" w:eastAsia="zh-CN"/>
              </w:rPr>
              <w:t>高纯石墨尺寸（mm）</w:t>
            </w:r>
          </w:p>
        </w:tc>
        <w:tc>
          <w:tcPr>
            <w:tcW w:w="2424" w:type="dxa"/>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sz w:val="22"/>
                <w:szCs w:val="22"/>
                <w:lang w:val="en-US" w:eastAsia="zh-CN"/>
              </w:rPr>
              <w:t>740*740*260mm</w:t>
            </w:r>
          </w:p>
        </w:tc>
        <w:tc>
          <w:tcPr>
            <w:tcW w:w="3101"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尺寸范围±10mm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817"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仿宋" w:hAnsi="仿宋" w:eastAsia="仿宋" w:cs="仿宋"/>
                <w:b w:val="0"/>
                <w:color w:val="auto"/>
                <w:spacing w:val="10"/>
                <w:kern w:val="2"/>
                <w:sz w:val="22"/>
                <w:szCs w:val="22"/>
              </w:rPr>
              <w:t>*</w:t>
            </w:r>
            <w:r>
              <w:rPr>
                <w:rFonts w:hint="eastAsia" w:ascii="宋体" w:hAnsi="宋体" w:eastAsia="宋体" w:cs="宋体"/>
                <w:b w:val="0"/>
                <w:color w:val="auto"/>
                <w:spacing w:val="10"/>
                <w:kern w:val="2"/>
                <w:sz w:val="22"/>
                <w:szCs w:val="22"/>
              </w:rPr>
              <w:t>体积密度</w:t>
            </w:r>
            <w:r>
              <w:rPr>
                <w:rFonts w:hint="eastAsia" w:ascii="宋体" w:hAnsi="宋体" w:eastAsia="宋体" w:cs="宋体"/>
                <w:b w:val="0"/>
                <w:color w:val="auto"/>
                <w:spacing w:val="10"/>
                <w:kern w:val="2"/>
                <w:sz w:val="22"/>
                <w:szCs w:val="22"/>
                <w:lang w:val="en-US" w:eastAsia="zh-CN"/>
              </w:rPr>
              <w:t>(g/c㎥)</w:t>
            </w:r>
          </w:p>
        </w:tc>
        <w:tc>
          <w:tcPr>
            <w:tcW w:w="2424"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1.75</w:t>
            </w:r>
          </w:p>
        </w:tc>
        <w:tc>
          <w:tcPr>
            <w:tcW w:w="3101" w:type="dxa"/>
            <w:noWrap w:val="0"/>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1.75~1.80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3</w:t>
            </w:r>
          </w:p>
        </w:tc>
        <w:tc>
          <w:tcPr>
            <w:tcW w:w="2817" w:type="dxa"/>
            <w:noWrap w:val="0"/>
            <w:vAlign w:val="center"/>
          </w:tcPr>
          <w:p>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电阻率（μΩ-m）</w:t>
            </w:r>
          </w:p>
        </w:tc>
        <w:tc>
          <w:tcPr>
            <w:tcW w:w="2424"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12~16</w:t>
            </w:r>
          </w:p>
        </w:tc>
        <w:tc>
          <w:tcPr>
            <w:tcW w:w="3101"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4</w:t>
            </w:r>
          </w:p>
        </w:tc>
        <w:tc>
          <w:tcPr>
            <w:tcW w:w="2817" w:type="dxa"/>
            <w:noWrap w:val="0"/>
            <w:vAlign w:val="center"/>
          </w:tcPr>
          <w:p>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灰份含量（PPM）</w:t>
            </w:r>
          </w:p>
        </w:tc>
        <w:tc>
          <w:tcPr>
            <w:tcW w:w="2424"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500</w:t>
            </w:r>
          </w:p>
        </w:tc>
        <w:tc>
          <w:tcPr>
            <w:tcW w:w="3101"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5</w:t>
            </w:r>
          </w:p>
        </w:tc>
        <w:tc>
          <w:tcPr>
            <w:tcW w:w="2817" w:type="dxa"/>
            <w:noWrap w:val="0"/>
            <w:vAlign w:val="center"/>
          </w:tcPr>
          <w:p>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抗压强度（Mpa）</w:t>
            </w:r>
          </w:p>
        </w:tc>
        <w:tc>
          <w:tcPr>
            <w:tcW w:w="2424"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rPr>
              <w:t>≥</w:t>
            </w:r>
            <w:r>
              <w:rPr>
                <w:rFonts w:hint="eastAsia" w:ascii="宋体" w:hAnsi="宋体" w:eastAsia="宋体" w:cs="宋体"/>
                <w:b w:val="0"/>
                <w:color w:val="auto"/>
                <w:spacing w:val="10"/>
                <w:kern w:val="2"/>
                <w:sz w:val="22"/>
                <w:szCs w:val="22"/>
                <w:lang w:val="en-US" w:eastAsia="zh-CN"/>
              </w:rPr>
              <w:t>75</w:t>
            </w:r>
          </w:p>
        </w:tc>
        <w:tc>
          <w:tcPr>
            <w:tcW w:w="3101"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6</w:t>
            </w:r>
          </w:p>
        </w:tc>
        <w:tc>
          <w:tcPr>
            <w:tcW w:w="2817" w:type="dxa"/>
            <w:noWrap w:val="0"/>
            <w:vAlign w:val="center"/>
          </w:tcPr>
          <w:p>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抗折强度（Mpa）</w:t>
            </w:r>
          </w:p>
        </w:tc>
        <w:tc>
          <w:tcPr>
            <w:tcW w:w="2424"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rPr>
              <w:t>≥</w:t>
            </w:r>
            <w:r>
              <w:rPr>
                <w:rFonts w:hint="eastAsia" w:ascii="宋体" w:hAnsi="宋体" w:eastAsia="宋体" w:cs="宋体"/>
                <w:b w:val="0"/>
                <w:color w:val="auto"/>
                <w:spacing w:val="10"/>
                <w:kern w:val="2"/>
                <w:sz w:val="22"/>
                <w:szCs w:val="22"/>
                <w:lang w:val="en-US" w:eastAsia="zh-CN"/>
              </w:rPr>
              <w:t>35</w:t>
            </w:r>
          </w:p>
        </w:tc>
        <w:tc>
          <w:tcPr>
            <w:tcW w:w="3101"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7</w:t>
            </w:r>
          </w:p>
        </w:tc>
        <w:tc>
          <w:tcPr>
            <w:tcW w:w="2817" w:type="dxa"/>
            <w:noWrap w:val="0"/>
            <w:vAlign w:val="center"/>
          </w:tcPr>
          <w:p>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硬度（肖氏</w:t>
            </w:r>
            <w:r>
              <w:rPr>
                <w:rFonts w:hint="eastAsia" w:ascii="宋体" w:hAnsi="宋体" w:eastAsia="宋体" w:cs="宋体"/>
                <w:b w:val="0"/>
                <w:color w:val="auto"/>
                <w:spacing w:val="10"/>
                <w:kern w:val="2"/>
                <w:sz w:val="22"/>
                <w:szCs w:val="22"/>
                <w:lang w:val="en-US" w:eastAsia="zh-CN"/>
              </w:rPr>
              <w:t>HSD</w:t>
            </w:r>
            <w:r>
              <w:rPr>
                <w:rFonts w:hint="eastAsia" w:ascii="宋体" w:hAnsi="宋体" w:eastAsia="宋体" w:cs="宋体"/>
                <w:b w:val="0"/>
                <w:color w:val="auto"/>
                <w:spacing w:val="10"/>
                <w:kern w:val="2"/>
                <w:sz w:val="22"/>
                <w:szCs w:val="22"/>
              </w:rPr>
              <w:t>）</w:t>
            </w:r>
          </w:p>
        </w:tc>
        <w:tc>
          <w:tcPr>
            <w:tcW w:w="2424"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rPr>
              <w:t>≥</w:t>
            </w:r>
            <w:r>
              <w:rPr>
                <w:rFonts w:hint="eastAsia" w:ascii="宋体" w:hAnsi="宋体" w:eastAsia="宋体" w:cs="宋体"/>
                <w:b w:val="0"/>
                <w:color w:val="auto"/>
                <w:spacing w:val="10"/>
                <w:kern w:val="2"/>
                <w:sz w:val="22"/>
                <w:szCs w:val="22"/>
                <w:lang w:val="en-US" w:eastAsia="zh-CN"/>
              </w:rPr>
              <w:t>55</w:t>
            </w:r>
          </w:p>
        </w:tc>
        <w:tc>
          <w:tcPr>
            <w:tcW w:w="3101" w:type="dxa"/>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8"/>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1084"/>
      <w:bookmarkStart w:id="99" w:name="_Toc31981"/>
      <w:bookmarkStart w:id="100"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pPr>
        <w:pStyle w:val="31"/>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23327"/>
      <w:bookmarkStart w:id="102" w:name="_Toc23106"/>
      <w:bookmarkStart w:id="103" w:name="_Toc9911"/>
      <w:bookmarkStart w:id="104" w:name="_Toc8403"/>
      <w:bookmarkStart w:id="105" w:name="_Toc26450"/>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6" w:name="_Toc2497"/>
      <w:bookmarkStart w:id="107" w:name="_Toc13700"/>
      <w:bookmarkStart w:id="108" w:name="_Toc10341"/>
      <w:bookmarkStart w:id="109" w:name="_Toc4585"/>
      <w:bookmarkStart w:id="110" w:name="_Toc16223"/>
      <w:r>
        <w:rPr>
          <w:rFonts w:hint="eastAsia" w:ascii="仿宋" w:hAnsi="仿宋" w:eastAsia="仿宋" w:cs="仿宋"/>
          <w:sz w:val="24"/>
          <w:szCs w:val="24"/>
        </w:rPr>
        <w:t>一、品种、型号、数量</w:t>
      </w:r>
      <w:bookmarkEnd w:id="106"/>
      <w:bookmarkEnd w:id="107"/>
      <w:bookmarkEnd w:id="108"/>
      <w:bookmarkEnd w:id="109"/>
      <w:bookmarkEnd w:id="110"/>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r>
    </w:tbl>
    <w:p>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1" w:name="_Toc27460"/>
      <w:bookmarkStart w:id="112" w:name="_Toc3439"/>
      <w:bookmarkStart w:id="113" w:name="_Toc11962"/>
      <w:bookmarkStart w:id="114" w:name="_Toc14603"/>
      <w:bookmarkStart w:id="115" w:name="_Toc31312"/>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6" w:name="_Toc9492"/>
      <w:bookmarkStart w:id="117" w:name="_Toc27088"/>
      <w:bookmarkStart w:id="118" w:name="_Toc905"/>
      <w:bookmarkStart w:id="119" w:name="_Toc25410"/>
      <w:bookmarkStart w:id="120" w:name="_Toc1247"/>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1" w:name="_Toc14045"/>
      <w:bookmarkStart w:id="122" w:name="_Toc4452"/>
      <w:bookmarkStart w:id="123" w:name="_Toc12507"/>
      <w:bookmarkStart w:id="124" w:name="_Toc15806"/>
      <w:bookmarkStart w:id="125" w:name="_Toc25848"/>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全额货到、票到7个工作日内支付全款。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6" w:name="_Toc16798"/>
      <w:bookmarkStart w:id="127" w:name="_Toc335"/>
      <w:bookmarkStart w:id="128" w:name="_Toc9235"/>
      <w:bookmarkStart w:id="129" w:name="_Toc28267"/>
      <w:bookmarkStart w:id="130" w:name="_Toc28559"/>
      <w:r>
        <w:rPr>
          <w:rFonts w:hint="eastAsia" w:ascii="仿宋" w:hAnsi="仿宋" w:eastAsia="仿宋" w:cs="仿宋"/>
          <w:kern w:val="0"/>
          <w:sz w:val="24"/>
          <w:szCs w:val="24"/>
          <w:lang w:val="zh-CN"/>
        </w:rPr>
        <w:t>八、质量保证期：</w:t>
      </w:r>
      <w:bookmarkEnd w:id="126"/>
      <w:bookmarkEnd w:id="127"/>
      <w:bookmarkEnd w:id="128"/>
      <w:bookmarkEnd w:id="129"/>
      <w:bookmarkEnd w:id="130"/>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1" w:name="_Toc19007"/>
      <w:bookmarkStart w:id="132" w:name="_Toc23506"/>
      <w:bookmarkStart w:id="133" w:name="_Toc13737"/>
      <w:bookmarkStart w:id="134" w:name="_Toc19014"/>
      <w:bookmarkStart w:id="135" w:name="_Toc4244"/>
      <w:r>
        <w:rPr>
          <w:rFonts w:hint="eastAsia" w:ascii="仿宋" w:hAnsi="仿宋" w:eastAsia="仿宋" w:cs="仿宋"/>
          <w:kern w:val="0"/>
          <w:sz w:val="24"/>
          <w:szCs w:val="24"/>
          <w:lang w:val="zh-CN"/>
        </w:rPr>
        <w:t>九、产品交接：</w:t>
      </w:r>
      <w:bookmarkEnd w:id="131"/>
      <w:bookmarkEnd w:id="132"/>
      <w:bookmarkEnd w:id="133"/>
      <w:bookmarkEnd w:id="134"/>
      <w:bookmarkEnd w:id="135"/>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6" w:name="_Toc16217"/>
      <w:bookmarkStart w:id="137" w:name="_Toc12884"/>
      <w:bookmarkStart w:id="138" w:name="_Toc18658"/>
      <w:bookmarkStart w:id="139" w:name="_Toc32091"/>
      <w:bookmarkStart w:id="140" w:name="_Toc26325"/>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pPr>
        <w:pStyle w:val="2"/>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1" w:name="_Toc10678"/>
      <w:bookmarkStart w:id="142" w:name="_Toc13162"/>
      <w:bookmarkStart w:id="143" w:name="_Toc5658"/>
      <w:bookmarkStart w:id="144" w:name="_Toc27259"/>
      <w:bookmarkStart w:id="145" w:name="_Toc1304"/>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6" w:name="_Toc23293"/>
      <w:bookmarkStart w:id="147" w:name="_Toc18225"/>
      <w:bookmarkStart w:id="148" w:name="_Toc21446"/>
      <w:bookmarkStart w:id="149" w:name="_Toc12356"/>
      <w:bookmarkStart w:id="150" w:name="_Toc8305"/>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1" w:name="_Toc18123"/>
      <w:bookmarkStart w:id="152" w:name="_Toc11998"/>
      <w:bookmarkStart w:id="153" w:name="_Toc22964"/>
      <w:bookmarkStart w:id="154" w:name="_Toc27170"/>
      <w:bookmarkStart w:id="155" w:name="_Toc8302"/>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6" w:name="_Toc15574"/>
      <w:bookmarkStart w:id="157" w:name="_Toc4875"/>
      <w:bookmarkStart w:id="158" w:name="_Toc16587"/>
      <w:bookmarkStart w:id="159" w:name="_Toc22793"/>
      <w:bookmarkStart w:id="160" w:name="_Toc19723"/>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1" w:name="_Toc15421"/>
      <w:bookmarkStart w:id="162" w:name="_Toc9618"/>
      <w:bookmarkStart w:id="163" w:name="_Toc12487"/>
      <w:bookmarkStart w:id="164" w:name="_Toc30433"/>
      <w:bookmarkStart w:id="165" w:name="_Toc6500"/>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6" w:name="_Toc31672"/>
      <w:bookmarkStart w:id="167" w:name="_Toc1878"/>
      <w:bookmarkStart w:id="168" w:name="_Toc12952"/>
      <w:bookmarkStart w:id="169" w:name="_Toc6113"/>
      <w:bookmarkStart w:id="170" w:name="_Toc3020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pPr>
        <w:pStyle w:val="2"/>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银行帐号：13840101040017600 </w:t>
            </w:r>
            <w:r>
              <w:rPr>
                <w:rFonts w:ascii="仿宋" w:hAnsi="仿宋" w:eastAsia="仿宋" w:cs="仿宋"/>
                <w:sz w:val="24"/>
              </w:rPr>
              <w:t xml:space="preserve"> </w:t>
            </w:r>
          </w:p>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pPr>
        <w:pStyle w:val="2"/>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B3D3052"/>
    <w:rsid w:val="0BD75BB1"/>
    <w:rsid w:val="0C97306B"/>
    <w:rsid w:val="0C9E047D"/>
    <w:rsid w:val="0D3C1DC3"/>
    <w:rsid w:val="0E0137ED"/>
    <w:rsid w:val="0F184516"/>
    <w:rsid w:val="0F66217A"/>
    <w:rsid w:val="10F82212"/>
    <w:rsid w:val="12E6250F"/>
    <w:rsid w:val="13C95DDF"/>
    <w:rsid w:val="13DD4624"/>
    <w:rsid w:val="143516C6"/>
    <w:rsid w:val="1441006B"/>
    <w:rsid w:val="15BE749A"/>
    <w:rsid w:val="187A6CED"/>
    <w:rsid w:val="19416EE3"/>
    <w:rsid w:val="19E54C84"/>
    <w:rsid w:val="1A2B2E16"/>
    <w:rsid w:val="1A584361"/>
    <w:rsid w:val="1CA53035"/>
    <w:rsid w:val="1CB72E06"/>
    <w:rsid w:val="1D406077"/>
    <w:rsid w:val="1F9B0ADF"/>
    <w:rsid w:val="1FC00470"/>
    <w:rsid w:val="213B2D65"/>
    <w:rsid w:val="21B97B04"/>
    <w:rsid w:val="22345F2D"/>
    <w:rsid w:val="223760ED"/>
    <w:rsid w:val="229A5157"/>
    <w:rsid w:val="22F1792F"/>
    <w:rsid w:val="23C06ACA"/>
    <w:rsid w:val="24087AE2"/>
    <w:rsid w:val="28845678"/>
    <w:rsid w:val="28872C4F"/>
    <w:rsid w:val="28AB7D51"/>
    <w:rsid w:val="29156767"/>
    <w:rsid w:val="29BA649E"/>
    <w:rsid w:val="29DE5491"/>
    <w:rsid w:val="2C01798C"/>
    <w:rsid w:val="2C7C594D"/>
    <w:rsid w:val="2CD14227"/>
    <w:rsid w:val="2EA636D0"/>
    <w:rsid w:val="2F8512FC"/>
    <w:rsid w:val="302A1EA4"/>
    <w:rsid w:val="30943860"/>
    <w:rsid w:val="374B4BD9"/>
    <w:rsid w:val="38557A9F"/>
    <w:rsid w:val="3A4A73CA"/>
    <w:rsid w:val="3C440F6E"/>
    <w:rsid w:val="3DCC7449"/>
    <w:rsid w:val="3DE83A67"/>
    <w:rsid w:val="42BD2F8E"/>
    <w:rsid w:val="435B1499"/>
    <w:rsid w:val="440A6827"/>
    <w:rsid w:val="45976840"/>
    <w:rsid w:val="47100713"/>
    <w:rsid w:val="474C1085"/>
    <w:rsid w:val="474C1DDB"/>
    <w:rsid w:val="48B325A9"/>
    <w:rsid w:val="49203109"/>
    <w:rsid w:val="4A7A55DF"/>
    <w:rsid w:val="4ABB39CC"/>
    <w:rsid w:val="4B5E45B8"/>
    <w:rsid w:val="4BF71DFE"/>
    <w:rsid w:val="4C0E5B77"/>
    <w:rsid w:val="4C25253E"/>
    <w:rsid w:val="4DC57782"/>
    <w:rsid w:val="4DF810AC"/>
    <w:rsid w:val="4FC652ED"/>
    <w:rsid w:val="4FF456D9"/>
    <w:rsid w:val="50054BB6"/>
    <w:rsid w:val="500951DA"/>
    <w:rsid w:val="50390222"/>
    <w:rsid w:val="53DA53DB"/>
    <w:rsid w:val="543A1E06"/>
    <w:rsid w:val="55CA11C1"/>
    <w:rsid w:val="5621082A"/>
    <w:rsid w:val="56625644"/>
    <w:rsid w:val="56B90D23"/>
    <w:rsid w:val="58324C4B"/>
    <w:rsid w:val="5A13454B"/>
    <w:rsid w:val="5D2574A1"/>
    <w:rsid w:val="5D294756"/>
    <w:rsid w:val="5DC2080A"/>
    <w:rsid w:val="5F6B1E45"/>
    <w:rsid w:val="5FC078B7"/>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7261</Words>
  <Characters>7630</Characters>
  <Lines>28</Lines>
  <Paragraphs>7</Paragraphs>
  <TotalTime>2</TotalTime>
  <ScaleCrop>false</ScaleCrop>
  <LinksUpToDate>false</LinksUpToDate>
  <CharactersWithSpaces>7863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2024-06-12T00:22:56Z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F1E627E2D5304317B1B859E55F4DFA11_13</vt:lpwstr>
  </property>
</Properties>
</file>