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r>
        <w:rPr>
          <w:rFonts w:hint="eastAsia" w:ascii="黑体" w:hAnsi="黑体" w:eastAsia="黑体" w:cs="黑体"/>
          <w:sz w:val="52"/>
          <w:szCs w:val="52"/>
        </w:rPr>
        <w:t xml:space="preserve"> </w:t>
      </w:r>
      <w:r>
        <w:rPr>
          <w:rFonts w:hint="eastAsia" w:ascii="黑体" w:hAnsi="黑体" w:eastAsia="黑体" w:cs="黑体"/>
          <w:color w:val="auto"/>
          <w:sz w:val="52"/>
          <w:szCs w:val="52"/>
          <w:u w:val="single"/>
        </w:rPr>
        <w:t xml:space="preserve"> </w:t>
      </w:r>
      <w:bookmarkStart w:id="0" w:name="_Toc16784"/>
      <w:r>
        <w:rPr>
          <w:rFonts w:hint="eastAsia" w:ascii="黑体" w:hAnsi="黑体" w:eastAsia="黑体" w:cs="黑体"/>
          <w:color w:val="auto"/>
          <w:sz w:val="52"/>
          <w:szCs w:val="52"/>
          <w:u w:val="single"/>
          <w:lang w:val="en-US" w:eastAsia="zh-CN"/>
        </w:rPr>
        <w:t xml:space="preserve">  高纯石墨方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p>
    <w:p>
      <w:pPr>
        <w:spacing w:line="248" w:lineRule="auto"/>
        <w:rPr>
          <w:rFonts w:ascii="黑体"/>
        </w:rPr>
      </w:pPr>
    </w:p>
    <w:p>
      <w:pPr>
        <w:spacing w:line="248" w:lineRule="auto"/>
        <w:rPr>
          <w:rFonts w:ascii="黑体"/>
        </w:rPr>
      </w:pPr>
    </w:p>
    <w:p>
      <w:pPr>
        <w:spacing w:before="92" w:line="185" w:lineRule="auto"/>
        <w:jc w:val="center"/>
        <w:outlineLvl w:val="0"/>
        <w:rPr>
          <w:rFonts w:hint="default" w:ascii="黑体"/>
          <w:sz w:val="52"/>
          <w:szCs w:val="52"/>
          <w:lang w:val="en-US"/>
        </w:rPr>
      </w:pPr>
      <w:bookmarkStart w:id="1" w:name="_Toc5886"/>
      <w:r>
        <w:rPr>
          <w:rFonts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52"/>
          <w:szCs w:val="52"/>
        </w:rPr>
        <w:t>：</w:t>
      </w:r>
      <w:bookmarkEnd w:id="1"/>
      <w:r>
        <w:rPr>
          <w:rFonts w:hint="eastAsia" w:ascii="宋体" w:hAnsi="宋体" w:eastAsia="宋体" w:cs="宋体"/>
          <w:spacing w:val="-2"/>
          <w:sz w:val="52"/>
          <w:szCs w:val="52"/>
          <w:lang w:val="en-US" w:eastAsia="zh-CN"/>
        </w:rPr>
        <w:t xml:space="preserve"> </w:t>
      </w:r>
      <w:r>
        <w:rPr>
          <w:rFonts w:hint="eastAsia" w:asciiTheme="minorEastAsia" w:hAnsiTheme="minorEastAsia" w:eastAsiaTheme="minorEastAsia"/>
          <w:b w:val="0"/>
          <w:bCs w:val="0"/>
          <w:sz w:val="52"/>
          <w:szCs w:val="52"/>
          <w:highlight w:val="none"/>
        </w:rPr>
        <w:t>HXZB202</w:t>
      </w:r>
      <w:r>
        <w:rPr>
          <w:rFonts w:hint="eastAsia" w:asciiTheme="minorEastAsia" w:hAnsiTheme="minorEastAsia" w:eastAsiaTheme="minorEastAsia"/>
          <w:b w:val="0"/>
          <w:bCs w:val="0"/>
          <w:sz w:val="52"/>
          <w:szCs w:val="52"/>
          <w:highlight w:val="none"/>
          <w:lang w:val="en-US" w:eastAsia="zh-CN"/>
        </w:rPr>
        <w:t>40424</w:t>
      </w:r>
      <w:r>
        <w:rPr>
          <w:rFonts w:asciiTheme="minorEastAsia" w:hAnsiTheme="minorEastAsia" w:eastAsiaTheme="minorEastAsia"/>
          <w:b w:val="0"/>
          <w:bCs w:val="0"/>
          <w:sz w:val="52"/>
          <w:szCs w:val="52"/>
          <w:highlight w:val="none"/>
        </w:rPr>
        <w:t>0</w:t>
      </w:r>
      <w:r>
        <w:rPr>
          <w:rFonts w:hint="eastAsia" w:asciiTheme="minorEastAsia" w:hAnsiTheme="minorEastAsia" w:eastAsiaTheme="minorEastAsia"/>
          <w:b w:val="0"/>
          <w:bCs w:val="0"/>
          <w:sz w:val="52"/>
          <w:szCs w:val="52"/>
          <w:highlight w:val="none"/>
        </w:rPr>
        <w:t>1</w:t>
      </w: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2024</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04</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ascii="仿宋" w:hAnsi="仿宋" w:eastAsia="仿宋" w:cs="仿宋"/>
          <w:color w:val="auto"/>
          <w:sz w:val="32"/>
          <w:szCs w:val="32"/>
        </w:rPr>
        <w:t>日</w:t>
      </w:r>
      <w:bookmarkEnd w:id="4"/>
    </w:p>
    <w:p>
      <w: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z w:val="36"/>
          <w:szCs w:val="36"/>
        </w:rPr>
      </w:pPr>
      <w:bookmarkStart w:id="5" w:name="_Toc10112"/>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pPr>
        <w:tabs>
          <w:tab w:val="left" w:pos="2648"/>
        </w:tabs>
        <w:spacing w:line="360" w:lineRule="auto"/>
        <w:rPr>
          <w:rFonts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Theme="minorEastAsia" w:hAnsiTheme="minorEastAsia" w:eastAsiaTheme="minorEastAsia"/>
          <w:b w:val="0"/>
          <w:bCs w:val="0"/>
          <w:sz w:val="28"/>
          <w:szCs w:val="28"/>
          <w:highlight w:val="none"/>
          <w:u w:val="single"/>
        </w:rPr>
        <w:t>HXZB202</w:t>
      </w:r>
      <w:r>
        <w:rPr>
          <w:rFonts w:hint="eastAsia" w:asciiTheme="minorEastAsia" w:hAnsiTheme="minorEastAsia" w:eastAsiaTheme="minorEastAsia"/>
          <w:b w:val="0"/>
          <w:bCs w:val="0"/>
          <w:sz w:val="28"/>
          <w:szCs w:val="28"/>
          <w:highlight w:val="none"/>
          <w:u w:val="single"/>
          <w:lang w:val="en-US" w:eastAsia="zh-CN"/>
        </w:rPr>
        <w:t>40424</w:t>
      </w:r>
      <w:bookmarkStart w:id="16" w:name="_GoBack"/>
      <w:bookmarkEnd w:id="16"/>
      <w:r>
        <w:rPr>
          <w:rFonts w:asciiTheme="minorEastAsia" w:hAnsiTheme="minorEastAsia" w:eastAsiaTheme="minorEastAsia"/>
          <w:b w:val="0"/>
          <w:bCs w:val="0"/>
          <w:sz w:val="28"/>
          <w:szCs w:val="28"/>
          <w:highlight w:val="none"/>
          <w:u w:val="single"/>
        </w:rPr>
        <w:t>0</w:t>
      </w:r>
      <w:r>
        <w:rPr>
          <w:rFonts w:hint="eastAsia" w:asciiTheme="minorEastAsia" w:hAnsiTheme="minorEastAsia" w:eastAsiaTheme="minorEastAsia"/>
          <w:b w:val="0"/>
          <w:bCs w:val="0"/>
          <w:sz w:val="28"/>
          <w:szCs w:val="28"/>
          <w:highlight w:val="none"/>
          <w:u w:val="single"/>
        </w:rPr>
        <w:t>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等静压石墨方采购项目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6"/>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5"/>
        <w:numPr>
          <w:ilvl w:val="0"/>
          <w:numId w:val="1"/>
        </w:numPr>
        <w:kinsoku/>
        <w:spacing w:line="360" w:lineRule="auto"/>
        <w:ind w:left="0" w:firstLine="480"/>
        <w:outlineLvl w:val="0"/>
        <w:rPr>
          <w:rFonts w:ascii="宋体" w:hAnsi="宋体" w:eastAsia="宋体" w:cs="宋体"/>
          <w:sz w:val="24"/>
          <w:szCs w:val="24"/>
        </w:rPr>
      </w:pPr>
      <w:bookmarkStart w:id="7" w:name="_Toc30525"/>
      <w:r>
        <w:rPr>
          <w:rFonts w:ascii="宋体" w:hAnsi="宋体" w:eastAsia="宋体" w:cs="宋体"/>
          <w:sz w:val="24"/>
          <w:szCs w:val="24"/>
        </w:rPr>
        <w:t>招标内容、型号规格（见下表）</w:t>
      </w:r>
      <w:bookmarkEnd w:id="7"/>
    </w:p>
    <w:tbl>
      <w:tblPr>
        <w:tblStyle w:val="19"/>
        <w:tblpPr w:leftFromText="180" w:rightFromText="180" w:vertAnchor="text" w:horzAnchor="margin" w:tblpXSpec="center" w:tblpY="75"/>
        <w:tblOverlap w:val="never"/>
        <w:tblW w:w="102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613"/>
        <w:gridCol w:w="2394"/>
        <w:gridCol w:w="1347"/>
        <w:gridCol w:w="761"/>
        <w:gridCol w:w="997"/>
        <w:gridCol w:w="131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38"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613"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原料名称</w:t>
            </w:r>
          </w:p>
        </w:tc>
        <w:tc>
          <w:tcPr>
            <w:tcW w:w="2394" w:type="dxa"/>
            <w:tcBorders>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型号规格</w:t>
            </w:r>
          </w:p>
        </w:tc>
        <w:tc>
          <w:tcPr>
            <w:tcW w:w="1347" w:type="dxa"/>
            <w:tcBorders>
              <w:lef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技术要求</w:t>
            </w:r>
          </w:p>
        </w:tc>
        <w:tc>
          <w:tcPr>
            <w:tcW w:w="761" w:type="dxa"/>
            <w:tcBorders>
              <w:left w:val="single" w:color="auto" w:sz="4" w:space="0"/>
            </w:tcBorders>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w:t>
            </w:r>
          </w:p>
        </w:tc>
        <w:tc>
          <w:tcPr>
            <w:tcW w:w="997" w:type="dxa"/>
            <w:vAlign w:val="center"/>
          </w:tcPr>
          <w:p>
            <w:pPr>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数量</w:t>
            </w:r>
          </w:p>
        </w:tc>
        <w:tc>
          <w:tcPr>
            <w:tcW w:w="1314" w:type="dxa"/>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交货期</w:t>
            </w:r>
          </w:p>
        </w:tc>
        <w:tc>
          <w:tcPr>
            <w:tcW w:w="973" w:type="dxa"/>
            <w:vAlign w:val="center"/>
          </w:tcPr>
          <w:p>
            <w:pPr>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jc w:val="center"/>
        </w:trPr>
        <w:tc>
          <w:tcPr>
            <w:tcW w:w="838" w:type="dxa"/>
            <w:vAlign w:val="center"/>
          </w:tcPr>
          <w:p>
            <w:pPr>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w:t>
            </w:r>
          </w:p>
        </w:tc>
        <w:tc>
          <w:tcPr>
            <w:tcW w:w="161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等静压石墨</w:t>
            </w:r>
          </w:p>
        </w:tc>
        <w:tc>
          <w:tcPr>
            <w:tcW w:w="2394" w:type="dxa"/>
            <w:tcBorders>
              <w:right w:val="single" w:color="auto" w:sz="4" w:space="0"/>
            </w:tcBorders>
            <w:vAlign w:val="center"/>
          </w:tcPr>
          <w:p>
            <w:pPr>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br w:type="textWrapping"/>
            </w:r>
            <w:r>
              <w:rPr>
                <w:rFonts w:hint="eastAsia" w:asciiTheme="minorEastAsia" w:hAnsiTheme="minorEastAsia" w:eastAsiaTheme="minorEastAsia"/>
                <w:sz w:val="24"/>
                <w:szCs w:val="24"/>
                <w:lang w:val="en-US" w:eastAsia="zh-CN"/>
              </w:rPr>
              <w:t>740*74*260mm</w:t>
            </w:r>
            <w:r>
              <w:rPr>
                <w:rFonts w:hint="eastAsia" w:asciiTheme="minorEastAsia" w:hAnsiTheme="minorEastAsia" w:eastAsiaTheme="minorEastAsia"/>
                <w:sz w:val="24"/>
                <w:szCs w:val="24"/>
                <w:lang w:val="en-US" w:eastAsia="zh-CN"/>
              </w:rPr>
              <w:br w:type="textWrapping"/>
            </w:r>
          </w:p>
        </w:tc>
        <w:tc>
          <w:tcPr>
            <w:tcW w:w="1347" w:type="dxa"/>
            <w:tcBorders>
              <w:lef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密度</w:t>
            </w:r>
            <w:r>
              <w:rPr>
                <w:rFonts w:hint="default" w:ascii="Arial" w:hAnsi="Arial" w:cs="Arial" w:eastAsiaTheme="minorEastAsia"/>
                <w:sz w:val="24"/>
                <w:szCs w:val="24"/>
                <w:lang w:val="en-US" w:eastAsia="zh-CN"/>
              </w:rPr>
              <w:t>≥</w:t>
            </w:r>
            <w:r>
              <w:rPr>
                <w:rFonts w:hint="eastAsia" w:asciiTheme="minorEastAsia" w:hAnsiTheme="minorEastAsia" w:eastAsiaTheme="minorEastAsia"/>
                <w:sz w:val="24"/>
                <w:szCs w:val="24"/>
                <w:lang w:val="en-US" w:eastAsia="zh-CN"/>
              </w:rPr>
              <w:t>1.75g/c</w:t>
            </w:r>
            <w:r>
              <w:rPr>
                <w:rFonts w:hint="eastAsia" w:ascii="微软雅黑" w:hAnsi="微软雅黑" w:eastAsia="微软雅黑" w:cs="微软雅黑"/>
                <w:sz w:val="24"/>
                <w:szCs w:val="24"/>
                <w:lang w:val="en-US" w:eastAsia="zh-CN"/>
              </w:rPr>
              <w:t>㎥</w:t>
            </w:r>
          </w:p>
        </w:tc>
        <w:tc>
          <w:tcPr>
            <w:tcW w:w="761" w:type="dxa"/>
            <w:tcBorders>
              <w:lef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吨</w:t>
            </w:r>
          </w:p>
        </w:tc>
        <w:tc>
          <w:tcPr>
            <w:tcW w:w="997"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100</w:t>
            </w:r>
          </w:p>
        </w:tc>
        <w:tc>
          <w:tcPr>
            <w:tcW w:w="131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2024.05.10</w:t>
            </w:r>
          </w:p>
        </w:tc>
        <w:tc>
          <w:tcPr>
            <w:tcW w:w="973" w:type="dxa"/>
            <w:vAlign w:val="center"/>
          </w:tcPr>
          <w:p>
            <w:pPr>
              <w:jc w:val="center"/>
              <w:rPr>
                <w:rFonts w:hint="default" w:asciiTheme="minorEastAsia" w:hAnsiTheme="minorEastAsia" w:eastAsiaTheme="minorEastAsia"/>
                <w:sz w:val="24"/>
                <w:szCs w:val="24"/>
                <w:lang w:val="en-US" w:eastAsia="zh-CN"/>
              </w:rPr>
            </w:pPr>
          </w:p>
        </w:tc>
      </w:tr>
    </w:tbl>
    <w:p>
      <w:pPr>
        <w:spacing w:before="120" w:beforeLines="50" w:line="360" w:lineRule="auto"/>
        <w:ind w:firstLine="480" w:firstLineChars="200"/>
        <w:rPr>
          <w:rFonts w:ascii="宋体" w:hAnsi="宋体" w:eastAsia="宋体" w:cs="宋体"/>
          <w:sz w:val="24"/>
          <w:szCs w:val="24"/>
        </w:rPr>
      </w:pPr>
      <w:r>
        <w:rPr>
          <w:rFonts w:ascii="宋体" w:hAnsi="宋体" w:eastAsia="宋体" w:cs="宋体"/>
          <w:sz w:val="24"/>
          <w:szCs w:val="24"/>
        </w:rPr>
        <w:t xml:space="preserve"> (具体相关信息如技术参数、规格、质量标准、包装、运输费等要求请与我单位相关人员联系，联系人：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5"/>
        <w:numPr>
          <w:ilvl w:val="0"/>
          <w:numId w:val="1"/>
        </w:numPr>
        <w:kinsoku/>
        <w:spacing w:line="360" w:lineRule="auto"/>
        <w:ind w:left="0" w:firstLine="480"/>
        <w:rPr>
          <w:rFonts w:ascii="宋体" w:hAnsi="宋体" w:eastAsia="宋体" w:cs="宋体"/>
          <w:color w:val="auto"/>
          <w:sz w:val="24"/>
          <w:szCs w:val="24"/>
        </w:rPr>
      </w:pPr>
      <w:bookmarkStart w:id="8" w:name="_Toc5828"/>
      <w:r>
        <w:rPr>
          <w:rFonts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4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29</w:t>
      </w:r>
      <w:r>
        <w:rPr>
          <w:rFonts w:ascii="宋体" w:hAnsi="宋体" w:eastAsia="宋体" w:cs="宋体"/>
          <w:color w:val="auto"/>
          <w:sz w:val="24"/>
          <w:szCs w:val="24"/>
        </w:rPr>
        <w:t>日</w:t>
      </w:r>
      <w:bookmarkEnd w:id="8"/>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4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29</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5"/>
        <w:numPr>
          <w:ilvl w:val="0"/>
          <w:numId w:val="1"/>
        </w:numPr>
        <w:kinsoku/>
        <w:spacing w:line="360" w:lineRule="auto"/>
        <w:ind w:left="0" w:firstLine="480"/>
        <w:outlineLvl w:val="0"/>
        <w:rPr>
          <w:rFonts w:ascii="宋体" w:hAnsi="宋体" w:eastAsia="宋体" w:cs="宋体"/>
          <w:sz w:val="24"/>
          <w:szCs w:val="24"/>
        </w:rPr>
      </w:pPr>
      <w:bookmarkStart w:id="9" w:name="_Toc7018"/>
      <w:r>
        <w:rPr>
          <w:rFonts w:ascii="宋体" w:hAnsi="宋体" w:eastAsia="宋体" w:cs="宋体"/>
          <w:sz w:val="24"/>
          <w:szCs w:val="24"/>
        </w:rPr>
        <w:t>相关要求：</w:t>
      </w:r>
      <w:bookmarkEnd w:id="9"/>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80" w:firstLineChars="200"/>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w:t>
      </w:r>
      <w:r>
        <w:rPr>
          <w:rFonts w:ascii="宋体" w:hAnsi="宋体" w:eastAsia="宋体" w:cs="宋体"/>
          <w:snapToGrid w:val="0"/>
          <w:color w:val="000000"/>
          <w:sz w:val="24"/>
          <w:szCs w:val="24"/>
          <w:lang w:val="en-US" w:eastAsia="zh-CN" w:bidi="ar-SA"/>
        </w:rPr>
        <w:t>13%</w:t>
      </w:r>
      <w:r>
        <w:rPr>
          <w:rFonts w:hint="eastAsia" w:ascii="宋体" w:hAnsi="宋体" w:eastAsia="宋体" w:cs="宋体"/>
          <w:snapToGrid w:val="0"/>
          <w:color w:val="000000"/>
          <w:sz w:val="24"/>
          <w:szCs w:val="24"/>
          <w:lang w:val="en-US" w:eastAsia="zh-CN" w:bidi="ar-SA"/>
        </w:rPr>
        <w:t>。</w:t>
      </w:r>
    </w:p>
    <w:p>
      <w:pPr>
        <w:pStyle w:val="25"/>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5"/>
        <w:numPr>
          <w:ilvl w:val="0"/>
          <w:numId w:val="1"/>
        </w:numPr>
        <w:kinsoku/>
        <w:spacing w:line="360" w:lineRule="auto"/>
        <w:ind w:left="0" w:firstLine="480"/>
        <w:outlineLvl w:val="0"/>
        <w:rPr>
          <w:rFonts w:ascii="宋体" w:hAnsi="宋体" w:eastAsia="宋体" w:cs="宋体"/>
          <w:sz w:val="24"/>
          <w:szCs w:val="24"/>
        </w:rPr>
      </w:pPr>
      <w:bookmarkStart w:id="10" w:name="_Toc30078"/>
      <w:r>
        <w:rPr>
          <w:rFonts w:ascii="宋体" w:hAnsi="宋体" w:eastAsia="宋体" w:cs="宋体"/>
          <w:sz w:val="24"/>
          <w:szCs w:val="24"/>
        </w:rPr>
        <w:t>联系方式</w:t>
      </w:r>
      <w:bookmarkEnd w:id="10"/>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270" w:lineRule="auto"/>
        <w:rPr>
          <w:rFonts w:ascii="黑体"/>
        </w:rPr>
      </w:pP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04</w:t>
      </w:r>
      <w:r>
        <w:rPr>
          <w:rFonts w:ascii="宋体" w:hAnsi="宋体" w:eastAsia="宋体" w:cs="宋体"/>
          <w:sz w:val="24"/>
          <w:szCs w:val="24"/>
        </w:rPr>
        <w:t>月</w:t>
      </w:r>
      <w:r>
        <w:rPr>
          <w:rFonts w:hint="eastAsia" w:ascii="宋体" w:hAnsi="宋体" w:eastAsia="宋体" w:cs="宋体"/>
          <w:sz w:val="24"/>
          <w:szCs w:val="24"/>
          <w:lang w:val="en-US" w:eastAsia="zh-CN"/>
        </w:rPr>
        <w:t>24</w:t>
      </w:r>
      <w:r>
        <w:rPr>
          <w:rFonts w:ascii="宋体" w:hAnsi="宋体" w:eastAsia="宋体" w:cs="宋体"/>
          <w:sz w:val="24"/>
          <w:szCs w:val="24"/>
        </w:rPr>
        <w:t>日</w:t>
      </w:r>
    </w:p>
    <w:p>
      <w:pPr>
        <w:kinsoku/>
        <w:autoSpaceDE/>
        <w:autoSpaceDN/>
        <w:adjustRightInd/>
        <w:snapToGrid/>
        <w:textAlignment w:val="auto"/>
        <w:rPr>
          <w:rFonts w:ascii="宋体" w:hAnsi="宋体" w:eastAsia="宋体" w:cs="宋体"/>
          <w:sz w:val="24"/>
          <w:szCs w:val="24"/>
        </w:rPr>
      </w:pPr>
      <w:r>
        <w:rPr>
          <w:rFonts w:ascii="宋体" w:hAnsi="宋体" w:eastAsia="宋体" w:cs="宋体"/>
          <w:sz w:val="24"/>
          <w:szCs w:val="24"/>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5"/>
        <w:spacing w:line="360" w:lineRule="auto"/>
        <w:rPr>
          <w:rFonts w:hint="eastAsia"/>
        </w:rPr>
      </w:pPr>
      <w:r>
        <w:rPr>
          <w:rFonts w:hint="eastAsia"/>
        </w:rPr>
        <w:t>投标人应满足以下要求：</w:t>
      </w:r>
    </w:p>
    <w:p>
      <w:pPr>
        <w:pStyle w:val="5"/>
        <w:spacing w:line="360" w:lineRule="auto"/>
        <w:rPr>
          <w:rFonts w:hint="default" w:eastAsia="宋体"/>
          <w:lang w:val="en-US" w:eastAsia="zh-CN"/>
        </w:rPr>
      </w:pPr>
      <w:r>
        <w:rPr>
          <w:rFonts w:hint="eastAsia"/>
          <w:lang w:val="en-US" w:eastAsia="zh-CN"/>
        </w:rPr>
        <w:t>原材料理化指标：</w:t>
      </w:r>
    </w:p>
    <w:p>
      <w:pPr>
        <w:pStyle w:val="5"/>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序号一：</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高纯石墨尺寸（mm）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740*740*260mm</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尺寸范围</w:t>
            </w: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1.75</w:t>
            </w:r>
          </w:p>
        </w:tc>
        <w:tc>
          <w:tcPr>
            <w:tcW w:w="3101" w:type="dxa"/>
            <w:noWrap w:val="0"/>
            <w:vAlign w:val="center"/>
          </w:tcPr>
          <w:p>
            <w:pPr>
              <w:widowControl/>
              <w:ind w:firstLine="720" w:firstLineChars="300"/>
              <w:jc w:val="both"/>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1.78~1.85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12~16</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500</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75</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35</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55</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5"/>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5"/>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5"/>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11"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11"/>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2" w:name="_Toc4816"/>
    </w:p>
    <w:p>
      <w:pPr>
        <w:pStyle w:val="25"/>
        <w:numPr>
          <w:ilvl w:val="0"/>
          <w:numId w:val="4"/>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2"/>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5"/>
        <w:numPr>
          <w:ilvl w:val="0"/>
          <w:numId w:val="4"/>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5"/>
        <w:numPr>
          <w:ilvl w:val="0"/>
          <w:numId w:val="5"/>
        </w:numPr>
        <w:kinsoku/>
        <w:spacing w:line="360" w:lineRule="auto"/>
        <w:ind w:left="0" w:firstLine="480"/>
        <w:outlineLvl w:val="0"/>
        <w:rPr>
          <w:rFonts w:cs="宋体" w:asciiTheme="majorEastAsia" w:hAnsiTheme="majorEastAsia" w:eastAsiaTheme="majorEastAsia"/>
          <w:sz w:val="24"/>
          <w:szCs w:val="24"/>
        </w:rPr>
      </w:pPr>
      <w:bookmarkStart w:id="13" w:name="_Toc30571"/>
      <w:r>
        <w:rPr>
          <w:rFonts w:cs="宋体" w:asciiTheme="majorEastAsia" w:hAnsiTheme="majorEastAsia" w:eastAsiaTheme="majorEastAsia"/>
          <w:sz w:val="24"/>
          <w:szCs w:val="24"/>
        </w:rPr>
        <w:t>投标人应填写其单位名称全称。</w:t>
      </w:r>
      <w:bookmarkEnd w:id="13"/>
    </w:p>
    <w:p>
      <w:pPr>
        <w:pStyle w:val="25"/>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4" w:name="_Toc5695"/>
      <w:r>
        <w:rPr>
          <w:rFonts w:cs="宋体" w:asciiTheme="majorEastAsia" w:hAnsiTheme="majorEastAsia" w:eastAsiaTheme="majorEastAsia"/>
          <w:sz w:val="24"/>
          <w:szCs w:val="24"/>
        </w:rPr>
        <w:t>开标时，将按照招标人有关招投标规定执行。</w:t>
      </w:r>
      <w:bookmarkEnd w:id="14"/>
    </w:p>
    <w:p>
      <w:pPr>
        <w:pStyle w:val="25"/>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5" w:name="_Toc18886"/>
      <w:r>
        <w:rPr>
          <w:rFonts w:cs="宋体" w:asciiTheme="majorEastAsia" w:hAnsiTheme="majorEastAsia" w:eastAsiaTheme="majorEastAsia"/>
          <w:sz w:val="24"/>
          <w:szCs w:val="24"/>
        </w:rPr>
        <w:t>招标人不对未中标的投标人作任何解释，不退还投标文件。</w:t>
      </w:r>
      <w:bookmarkEnd w:id="15"/>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4" w:type="default"/>
          <w:footerReference r:id="rId5" w:type="default"/>
          <w:pgSz w:w="11907" w:h="16839"/>
          <w:pgMar w:top="1432" w:right="1335" w:bottom="1201" w:left="1389" w:header="852" w:footer="1021" w:gutter="0"/>
          <w:cols w:space="720" w:num="1"/>
        </w:sectPr>
      </w:pPr>
    </w:p>
    <w:p>
      <w:pPr>
        <w:pStyle w:val="5"/>
        <w:spacing w:before="3" w:after="156" w:afterLines="50" w:line="360" w:lineRule="auto"/>
        <w:jc w:val="center"/>
        <w:outlineLvl w:val="0"/>
        <w:rPr>
          <w:b/>
          <w:bCs/>
          <w:color w:val="auto"/>
          <w:spacing w:val="-3"/>
          <w:sz w:val="36"/>
          <w:szCs w:val="36"/>
          <w:lang w:val="en-US"/>
        </w:rPr>
      </w:pP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采购合同</w:t>
      </w:r>
      <w:r>
        <w:rPr>
          <w:rFonts w:hint="eastAsia"/>
          <w:b/>
          <w:bCs/>
          <w:color w:val="auto"/>
          <w:spacing w:val="-3"/>
          <w:sz w:val="36"/>
          <w:szCs w:val="36"/>
          <w:lang w:val="en-US"/>
        </w:rPr>
        <w:t>（模版）</w:t>
      </w:r>
    </w:p>
    <w:p>
      <w:pPr>
        <w:pStyle w:val="29"/>
        <w:spacing w:line="560" w:lineRule="exact"/>
        <w:jc w:val="center"/>
        <w:rPr>
          <w:rFonts w:ascii="仿宋" w:hAnsi="仿宋" w:eastAsia="仿宋" w:cs="仿宋"/>
          <w:b/>
          <w:bCs/>
          <w:color w:val="auto"/>
          <w:sz w:val="40"/>
          <w:szCs w:val="40"/>
        </w:rPr>
      </w:pP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ascii="仿宋" w:hAnsi="仿宋" w:eastAsia="仿宋" w:cs="华文仿宋"/>
          <w:color w:val="auto"/>
          <w:sz w:val="24"/>
        </w:rPr>
        <w:t xml:space="preserve">                             </w:t>
      </w:r>
      <w:r>
        <w:rPr>
          <w:rFonts w:hint="eastAsia" w:ascii="仿宋" w:hAnsi="仿宋" w:eastAsia="仿宋" w:cs="华文仿宋"/>
          <w:color w:val="auto"/>
          <w:sz w:val="24"/>
        </w:rPr>
        <w:t>签订地点：福建省三明市沙县区</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乙方（乙方）：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 xml:space="preserve">签订日期：2023年  月  日    </w:t>
      </w:r>
    </w:p>
    <w:p>
      <w:pPr>
        <w:pStyle w:val="29"/>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2122"/>
        <w:gridCol w:w="1844"/>
        <w:gridCol w:w="851"/>
        <w:gridCol w:w="992"/>
        <w:gridCol w:w="1752"/>
        <w:gridCol w:w="1767"/>
      </w:tblGrid>
      <w:tr>
        <w:tblPrEx>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小写金额：</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人民币大写：</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含13%增值税票</w:t>
            </w:r>
          </w:p>
        </w:tc>
      </w:tr>
    </w:tbl>
    <w:p>
      <w:pPr>
        <w:spacing w:line="440" w:lineRule="exact"/>
        <w:rPr>
          <w:rFonts w:ascii="仿宋" w:hAnsi="仿宋" w:eastAsia="仿宋" w:cs="华文仿宋"/>
          <w:color w:val="auto"/>
          <w:sz w:val="24"/>
        </w:rPr>
      </w:pP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 xml:space="preserve">2、交货地点：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 xml:space="preserve">，买方指定接货联系人：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，电话</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auto"/>
          <w:sz w:val="24"/>
        </w:rPr>
        <w:t>福建省</w:t>
      </w:r>
      <w:r>
        <w:rPr>
          <w:rFonts w:hint="eastAsia" w:ascii="仿宋" w:hAnsi="仿宋" w:eastAsia="仿宋" w:cs="仿宋"/>
          <w:color w:val="auto"/>
          <w:sz w:val="24"/>
          <w:lang w:val="zh-CN"/>
        </w:rPr>
        <w:t>三明市沙县区；</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rPr>
        <w:t>甲</w:t>
      </w:r>
      <w:r>
        <w:rPr>
          <w:rFonts w:hint="eastAsia" w:ascii="仿宋" w:hAnsi="仿宋" w:eastAsia="仿宋" w:cs="仿宋"/>
          <w:color w:val="auto"/>
          <w:sz w:val="24"/>
          <w:lang w:val="zh-CN"/>
        </w:rPr>
        <w:t>方通过微信或书面通知提前通知</w:t>
      </w:r>
      <w:r>
        <w:rPr>
          <w:rFonts w:hint="eastAsia" w:ascii="仿宋" w:hAnsi="仿宋" w:eastAsia="仿宋" w:cs="仿宋"/>
          <w:color w:val="auto"/>
          <w:sz w:val="24"/>
        </w:rPr>
        <w:t>乙</w:t>
      </w:r>
      <w:r>
        <w:rPr>
          <w:rFonts w:hint="eastAsia" w:ascii="仿宋" w:hAnsi="仿宋" w:eastAsia="仿宋" w:cs="仿宋"/>
          <w:color w:val="auto"/>
          <w:sz w:val="24"/>
          <w:lang w:val="zh-CN"/>
        </w:rPr>
        <w:t>方</w:t>
      </w:r>
      <w:r>
        <w:rPr>
          <w:rFonts w:hint="eastAsia" w:ascii="仿宋" w:hAnsi="仿宋" w:eastAsia="仿宋" w:cs="仿宋"/>
          <w:color w:val="auto"/>
          <w:sz w:val="24"/>
        </w:rPr>
        <w:t>发</w:t>
      </w:r>
      <w:r>
        <w:rPr>
          <w:rFonts w:hint="eastAsia" w:ascii="仿宋" w:hAnsi="仿宋" w:eastAsia="仿宋" w:cs="仿宋"/>
          <w:color w:val="auto"/>
          <w:sz w:val="24"/>
          <w:lang w:val="zh-CN"/>
        </w:rPr>
        <w:t>货，合同签订后按照计划交货</w:t>
      </w:r>
      <w:r>
        <w:rPr>
          <w:rFonts w:hint="eastAsia" w:ascii="仿宋" w:hAnsi="仿宋" w:eastAsia="仿宋" w:cs="仿宋"/>
          <w:color w:val="auto"/>
          <w:sz w:val="24"/>
        </w:rPr>
        <w:t>出货</w:t>
      </w:r>
      <w:r>
        <w:rPr>
          <w:rFonts w:hint="eastAsia" w:ascii="仿宋" w:hAnsi="仿宋" w:eastAsia="仿宋" w:cs="仿宋"/>
          <w:color w:val="auto"/>
          <w:sz w:val="24"/>
          <w:lang w:val="zh-CN"/>
        </w:rPr>
        <w:t>。</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w:t>
      </w:r>
      <w:r>
        <w:rPr>
          <w:rFonts w:ascii="仿宋" w:hAnsi="仿宋" w:eastAsia="仿宋" w:cs="仿宋"/>
          <w:color w:val="FF0000"/>
          <w:sz w:val="24"/>
          <w:lang w:val="zh-CN"/>
        </w:rPr>
        <w:t>XX,</w:t>
      </w:r>
      <w:r>
        <w:rPr>
          <w:rFonts w:hint="eastAsia" w:ascii="仿宋" w:hAnsi="仿宋" w:eastAsia="仿宋" w:cs="仿宋"/>
          <w:color w:val="FF0000"/>
          <w:sz w:val="24"/>
          <w:lang w:val="zh-CN"/>
        </w:rPr>
        <w:t>电话：</w:t>
      </w:r>
      <w:r>
        <w:rPr>
          <w:rFonts w:ascii="仿宋" w:hAnsi="仿宋" w:eastAsia="仿宋" w:cs="仿宋"/>
          <w:color w:val="FF0000"/>
          <w:sz w:val="24"/>
          <w:lang w:val="zh-CN"/>
        </w:rPr>
        <w:t>XX</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2、结算方式：本合同生效后，</w:t>
      </w:r>
      <w:r>
        <w:rPr>
          <w:rFonts w:ascii="仿宋" w:hAnsi="仿宋" w:eastAsia="仿宋" w:cs="仿宋"/>
          <w:color w:val="FF0000"/>
          <w:sz w:val="24"/>
        </w:rPr>
        <w:t>XXX</w:t>
      </w:r>
      <w:r>
        <w:rPr>
          <w:rFonts w:hint="eastAsia" w:ascii="仿宋" w:hAnsi="仿宋" w:eastAsia="仿宋" w:cs="仿宋"/>
          <w:color w:val="FF0000"/>
          <w:sz w:val="24"/>
        </w:rPr>
        <w:t>天内支付</w:t>
      </w:r>
      <w:r>
        <w:rPr>
          <w:rFonts w:ascii="仿宋" w:hAnsi="仿宋" w:eastAsia="仿宋" w:cs="仿宋"/>
          <w:color w:val="FF0000"/>
          <w:sz w:val="24"/>
        </w:rPr>
        <w:t>XX%</w:t>
      </w:r>
      <w:r>
        <w:rPr>
          <w:rFonts w:hint="eastAsia" w:ascii="仿宋" w:hAnsi="仿宋" w:eastAsia="仿宋" w:cs="仿宋"/>
          <w:color w:val="FF0000"/>
          <w:sz w:val="24"/>
        </w:rPr>
        <w:t>预付款X</w:t>
      </w:r>
      <w:r>
        <w:rPr>
          <w:rFonts w:ascii="仿宋" w:hAnsi="仿宋" w:eastAsia="仿宋" w:cs="仿宋"/>
          <w:color w:val="FF0000"/>
          <w:sz w:val="24"/>
        </w:rPr>
        <w:t>X</w:t>
      </w:r>
      <w:r>
        <w:rPr>
          <w:rFonts w:hint="eastAsia" w:ascii="仿宋" w:hAnsi="仿宋" w:eastAsia="仿宋" w:cs="仿宋"/>
          <w:color w:val="FF0000"/>
          <w:sz w:val="24"/>
        </w:rPr>
        <w:t>万元。支付方式：银行承兑汇票。甲方收到货验收合格后支付</w:t>
      </w:r>
      <w:r>
        <w:rPr>
          <w:rFonts w:ascii="仿宋" w:hAnsi="仿宋" w:eastAsia="仿宋" w:cs="仿宋"/>
          <w:color w:val="FF0000"/>
          <w:sz w:val="24"/>
        </w:rPr>
        <w:t>XX%</w:t>
      </w:r>
      <w:r>
        <w:rPr>
          <w:rFonts w:hint="eastAsia" w:ascii="仿宋" w:hAnsi="仿宋" w:eastAsia="仿宋" w:cs="仿宋"/>
          <w:color w:val="FF0000"/>
          <w:sz w:val="24"/>
        </w:rPr>
        <w:t>货款X</w:t>
      </w:r>
      <w:r>
        <w:rPr>
          <w:rFonts w:ascii="仿宋" w:hAnsi="仿宋" w:eastAsia="仿宋" w:cs="仿宋"/>
          <w:color w:val="FF0000"/>
          <w:sz w:val="24"/>
        </w:rPr>
        <w:t>X</w:t>
      </w:r>
      <w:r>
        <w:rPr>
          <w:rFonts w:hint="eastAsia" w:ascii="仿宋" w:hAnsi="仿宋" w:eastAsia="仿宋" w:cs="仿宋"/>
          <w:color w:val="FF0000"/>
          <w:sz w:val="24"/>
        </w:rPr>
        <w:t>万元。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1、质量保证期为：</w:t>
      </w:r>
      <w:r>
        <w:rPr>
          <w:rFonts w:ascii="仿宋" w:hAnsi="仿宋" w:eastAsia="仿宋" w:cs="仿宋"/>
          <w:color w:val="FF0000"/>
          <w:sz w:val="24"/>
        </w:rPr>
        <w:t>XX</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甲方根据产品交接清单清点数量，检查产品外观质量。数量清点当场验收，质量验收以检测结果为准，如外观有明显破损、瑕疵、擦伤等，甲方有权要求退货，延误工期等损失由乙方承担。</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3、如果乙方未能按照合同约定的时间提供服务的，每逾期1天的，乙方应按本合同总金额的1</w:t>
      </w:r>
      <w:r>
        <w:rPr>
          <w:rFonts w:ascii="仿宋" w:hAnsi="仿宋" w:eastAsia="仿宋" w:cs="仿宋"/>
          <w:color w:val="auto"/>
          <w:sz w:val="24"/>
        </w:rPr>
        <w:t>%</w:t>
      </w:r>
      <w:r>
        <w:rPr>
          <w:rFonts w:hint="eastAsia" w:ascii="仿宋" w:hAnsi="仿宋" w:eastAsia="仿宋" w:cs="仿宋"/>
          <w:color w:val="auto"/>
          <w:sz w:val="24"/>
        </w:rPr>
        <w:t>向甲方支付违约金，若因此给甲方造成损失的，乙方还应赔偿甲方所受的损失。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方已付货款，并双倍返还合同预付款。当只能提供部分货物时，视为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方应承担购置费用和给</w:t>
      </w:r>
      <w:r>
        <w:rPr>
          <w:rFonts w:hint="eastAsia" w:ascii="仿宋" w:hAnsi="仿宋" w:eastAsia="仿宋" w:cs="仿宋"/>
          <w:color w:val="auto"/>
          <w:sz w:val="24"/>
        </w:rPr>
        <w:t>甲</w:t>
      </w:r>
      <w:r>
        <w:rPr>
          <w:rFonts w:hint="eastAsia" w:ascii="仿宋" w:hAnsi="仿宋" w:eastAsia="仿宋" w:cs="仿宋"/>
          <w:color w:val="auto"/>
          <w:sz w:val="24"/>
          <w:lang w:val="zh-CN"/>
        </w:rPr>
        <w:t>方带来的相关经济损失并按照合同约定向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1、基于诚信原则，本合同项下未经甲方书面同意，乙方不得转让或者变相转让本合同的权利义务，否则向甲方支付合同总金额30％的违约金。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2、在本合同项下如乙方违法违规造成甲方损失的，乙方须全额赔偿，赔偿金额从乙方货款或者履约保证金等款项中扣除，不足部分，甲方依法享有向乙方追索的权利。</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p>
      <w:pPr>
        <w:pStyle w:val="13"/>
        <w:rPr>
          <w:color w:val="auto"/>
          <w:lang w:val="zh-CN"/>
        </w:rPr>
      </w:pPr>
    </w:p>
    <w:tbl>
      <w:tblPr>
        <w:tblStyle w:val="1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8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甲  方</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法定代表人：薛松海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1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华文仿宋"/>
                <w:color w:val="auto"/>
                <w:sz w:val="24"/>
              </w:rPr>
            </w:pPr>
            <w:r>
              <w:rPr>
                <w:rFonts w:hint="eastAsia" w:ascii="仿宋" w:hAnsi="仿宋" w:eastAsia="仿宋" w:cs="仿宋"/>
                <w:color w:val="auto"/>
                <w:sz w:val="24"/>
              </w:rPr>
              <w:t>名称（公章）：</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华文仿宋"/>
                <w:color w:val="auto"/>
                <w:sz w:val="24"/>
              </w:rPr>
              <w:t xml:space="preserve">地址：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法定代表人：</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开户银行：</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税号： </w:t>
            </w:r>
          </w:p>
        </w:tc>
      </w:tr>
    </w:tbl>
    <w:p>
      <w:pPr>
        <w:pStyle w:val="21"/>
        <w:ind w:firstLine="420"/>
        <w:rPr>
          <w:color w:val="auto"/>
          <w:sz w:val="21"/>
          <w:szCs w:val="21"/>
        </w:rPr>
      </w:pPr>
    </w:p>
    <w:p>
      <w:pPr>
        <w:pStyle w:val="21"/>
        <w:ind w:firstLine="420"/>
        <w:rPr>
          <w:color w:val="auto"/>
          <w:sz w:val="21"/>
          <w:szCs w:val="21"/>
        </w:rPr>
      </w:pPr>
    </w:p>
    <w:p>
      <w:pPr>
        <w:pStyle w:val="21"/>
        <w:ind w:firstLine="420"/>
        <w:rPr>
          <w:color w:val="auto"/>
          <w:sz w:val="21"/>
          <w:szCs w:val="21"/>
        </w:rPr>
      </w:pPr>
    </w:p>
    <w:p/>
    <w:sectPr>
      <w:headerReference r:id="rId6" w:type="default"/>
      <w:footerReference r:id="rId7" w:type="default"/>
      <w:pgSz w:w="11905" w:h="16838"/>
      <w:pgMar w:top="1440" w:right="1080" w:bottom="1440" w:left="1080"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mZWY0YjkyZGYzN2U1NjdhNTIzNmE5Mjg5OWFmM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63D2047"/>
    <w:rsid w:val="06555C4C"/>
    <w:rsid w:val="082216E1"/>
    <w:rsid w:val="08E31B8A"/>
    <w:rsid w:val="0BD75BB1"/>
    <w:rsid w:val="0C97306B"/>
    <w:rsid w:val="13DD4624"/>
    <w:rsid w:val="143516C6"/>
    <w:rsid w:val="1441006B"/>
    <w:rsid w:val="15BE749A"/>
    <w:rsid w:val="19416EE3"/>
    <w:rsid w:val="19E54C84"/>
    <w:rsid w:val="1A2B2E16"/>
    <w:rsid w:val="1CB72E06"/>
    <w:rsid w:val="1D406077"/>
    <w:rsid w:val="1F9B0ADF"/>
    <w:rsid w:val="1FC00470"/>
    <w:rsid w:val="213B2D65"/>
    <w:rsid w:val="21B97B04"/>
    <w:rsid w:val="22345F2D"/>
    <w:rsid w:val="223760ED"/>
    <w:rsid w:val="229A5157"/>
    <w:rsid w:val="22F1792F"/>
    <w:rsid w:val="23C06ACA"/>
    <w:rsid w:val="28872C4F"/>
    <w:rsid w:val="29DE5491"/>
    <w:rsid w:val="2CD14227"/>
    <w:rsid w:val="2EA636D0"/>
    <w:rsid w:val="35A40002"/>
    <w:rsid w:val="374B4BD9"/>
    <w:rsid w:val="38557A9F"/>
    <w:rsid w:val="3A4A73CA"/>
    <w:rsid w:val="3DE83A67"/>
    <w:rsid w:val="42BD2F8E"/>
    <w:rsid w:val="435B1499"/>
    <w:rsid w:val="440A6827"/>
    <w:rsid w:val="47100713"/>
    <w:rsid w:val="474C1085"/>
    <w:rsid w:val="48B325A9"/>
    <w:rsid w:val="49203109"/>
    <w:rsid w:val="4A7A55DF"/>
    <w:rsid w:val="4ABB39CC"/>
    <w:rsid w:val="4B5E45B8"/>
    <w:rsid w:val="4BF71DFE"/>
    <w:rsid w:val="4C0E5B77"/>
    <w:rsid w:val="4DC57782"/>
    <w:rsid w:val="4DF810AC"/>
    <w:rsid w:val="4FF456D9"/>
    <w:rsid w:val="50054BB6"/>
    <w:rsid w:val="50390222"/>
    <w:rsid w:val="53DA53DB"/>
    <w:rsid w:val="55CA11C1"/>
    <w:rsid w:val="5621082A"/>
    <w:rsid w:val="56625644"/>
    <w:rsid w:val="57555FF4"/>
    <w:rsid w:val="58324C4B"/>
    <w:rsid w:val="5A13454B"/>
    <w:rsid w:val="5D2574A1"/>
    <w:rsid w:val="5DC2080A"/>
    <w:rsid w:val="5FC078B7"/>
    <w:rsid w:val="64032E7A"/>
    <w:rsid w:val="646451EA"/>
    <w:rsid w:val="65B23EF2"/>
    <w:rsid w:val="67FF3F88"/>
    <w:rsid w:val="6905258B"/>
    <w:rsid w:val="69AB353C"/>
    <w:rsid w:val="6A6D4009"/>
    <w:rsid w:val="6B9F29DB"/>
    <w:rsid w:val="6C242CBC"/>
    <w:rsid w:val="6C4A4810"/>
    <w:rsid w:val="6DD6696E"/>
    <w:rsid w:val="714F5BD7"/>
    <w:rsid w:val="73830C7C"/>
    <w:rsid w:val="73DA76D3"/>
    <w:rsid w:val="750A0CFF"/>
    <w:rsid w:val="77687477"/>
    <w:rsid w:val="778D3071"/>
    <w:rsid w:val="77BA6C36"/>
    <w:rsid w:val="78EE6CAC"/>
    <w:rsid w:val="79D42231"/>
    <w:rsid w:val="79F214BE"/>
    <w:rsid w:val="7A7953A0"/>
    <w:rsid w:val="7B2C1BF9"/>
    <w:rsid w:val="7C603C2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qFormat/>
    <w:uiPriority w:val="0"/>
  </w:style>
  <w:style w:type="paragraph" w:styleId="5">
    <w:name w:val="Body Text"/>
    <w:basedOn w:val="1"/>
    <w:autoRedefine/>
    <w:qFormat/>
    <w:uiPriority w:val="1"/>
    <w:rPr>
      <w:rFonts w:ascii="宋体" w:hAnsi="宋体" w:eastAsia="宋体" w:cs="宋体"/>
      <w:sz w:val="24"/>
      <w:szCs w:val="24"/>
      <w:lang w:val="zh-CN" w:bidi="zh-CN"/>
    </w:rPr>
  </w:style>
  <w:style w:type="paragraph" w:styleId="6">
    <w:name w:val="Body Text Indent"/>
    <w:basedOn w:val="1"/>
    <w:autoRedefine/>
    <w:qFormat/>
    <w:uiPriority w:val="0"/>
    <w:pPr>
      <w:spacing w:after="120"/>
      <w:ind w:left="420" w:leftChars="200"/>
    </w:pPr>
  </w:style>
  <w:style w:type="paragraph" w:styleId="7">
    <w:name w:val="toc 3"/>
    <w:basedOn w:val="1"/>
    <w:next w:val="1"/>
    <w:autoRedefine/>
    <w:qFormat/>
    <w:uiPriority w:val="39"/>
    <w:pPr>
      <w:ind w:left="840" w:leftChars="400"/>
    </w:pPr>
  </w:style>
  <w:style w:type="paragraph" w:styleId="8">
    <w:name w:val="footer"/>
    <w:basedOn w:val="1"/>
    <w:autoRedefine/>
    <w:qFormat/>
    <w:uiPriority w:val="0"/>
    <w:pPr>
      <w:tabs>
        <w:tab w:val="center" w:pos="4153"/>
        <w:tab w:val="right" w:pos="8306"/>
      </w:tabs>
    </w:pPr>
    <w:rPr>
      <w:sz w:val="18"/>
    </w:rPr>
  </w:style>
  <w:style w:type="paragraph" w:styleId="9">
    <w:name w:val="header"/>
    <w:basedOn w:val="1"/>
    <w:link w:val="28"/>
    <w:autoRedefine/>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2">
    <w:name w:val="annotation subject"/>
    <w:basedOn w:val="4"/>
    <w:next w:val="4"/>
    <w:link w:val="24"/>
    <w:autoRedefine/>
    <w:qFormat/>
    <w:uiPriority w:val="0"/>
    <w:rPr>
      <w:b/>
      <w:bCs/>
    </w:rPr>
  </w:style>
  <w:style w:type="paragraph" w:styleId="13">
    <w:name w:val="Body Text First Indent 2"/>
    <w:basedOn w:val="6"/>
    <w:autoRedefine/>
    <w:qFormat/>
    <w:uiPriority w:val="0"/>
    <w:pPr>
      <w:ind w:firstLine="420" w:firstLineChars="200"/>
    </w:pPr>
  </w:style>
  <w:style w:type="character" w:styleId="16">
    <w:name w:val="Strong"/>
    <w:basedOn w:val="15"/>
    <w:autoRedefine/>
    <w:qFormat/>
    <w:uiPriority w:val="22"/>
    <w:rPr>
      <w:b/>
      <w:bCs/>
    </w:rPr>
  </w:style>
  <w:style w:type="character" w:styleId="17">
    <w:name w:val="Hyperlink"/>
    <w:basedOn w:val="15"/>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5"/>
    <w:autoRedefine/>
    <w:qFormat/>
    <w:uiPriority w:val="0"/>
    <w:rPr>
      <w:sz w:val="21"/>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01"/>
    <w:basedOn w:val="15"/>
    <w:autoRedefine/>
    <w:qFormat/>
    <w:uiPriority w:val="0"/>
    <w:rPr>
      <w:rFonts w:hint="eastAsia" w:ascii="宋体" w:hAnsi="宋体" w:eastAsia="宋体" w:cs="宋体"/>
      <w:color w:val="000000"/>
      <w:sz w:val="24"/>
      <w:szCs w:val="24"/>
      <w:u w:val="none"/>
      <w:vertAlign w:val="superscript"/>
    </w:rPr>
  </w:style>
  <w:style w:type="paragraph" w:customStyle="1" w:styleId="21">
    <w:name w:val="报告正文"/>
    <w:basedOn w:val="1"/>
    <w:autoRedefine/>
    <w:qFormat/>
    <w:uiPriority w:val="99"/>
    <w:pPr>
      <w:spacing w:line="360" w:lineRule="auto"/>
      <w:ind w:firstLine="560" w:firstLineChars="200"/>
    </w:pPr>
    <w:rPr>
      <w:sz w:val="28"/>
      <w:szCs w:val="28"/>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character" w:customStyle="1" w:styleId="23">
    <w:name w:val="批注文字 字符"/>
    <w:basedOn w:val="15"/>
    <w:link w:val="4"/>
    <w:autoRedefine/>
    <w:qFormat/>
    <w:uiPriority w:val="0"/>
    <w:rPr>
      <w:rFonts w:ascii="Arial" w:hAnsi="Arial" w:eastAsia="Arial" w:cs="Arial"/>
      <w:snapToGrid w:val="0"/>
      <w:color w:val="000000"/>
      <w:sz w:val="21"/>
      <w:szCs w:val="21"/>
    </w:rPr>
  </w:style>
  <w:style w:type="character" w:customStyle="1" w:styleId="24">
    <w:name w:val="批注主题 字符"/>
    <w:basedOn w:val="23"/>
    <w:link w:val="12"/>
    <w:autoRedefine/>
    <w:qFormat/>
    <w:uiPriority w:val="0"/>
    <w:rPr>
      <w:rFonts w:ascii="Arial" w:hAnsi="Arial" w:eastAsia="Arial" w:cs="Arial"/>
      <w:b/>
      <w:bCs/>
      <w:snapToGrid w:val="0"/>
      <w:color w:val="000000"/>
      <w:sz w:val="21"/>
      <w:szCs w:val="21"/>
    </w:rPr>
  </w:style>
  <w:style w:type="paragraph" w:styleId="25">
    <w:name w:val="List Paragraph"/>
    <w:basedOn w:val="1"/>
    <w:autoRedefine/>
    <w:qFormat/>
    <w:uiPriority w:val="99"/>
    <w:pPr>
      <w:ind w:firstLine="420" w:firstLineChars="200"/>
    </w:pPr>
  </w:style>
  <w:style w:type="character" w:customStyle="1" w:styleId="26">
    <w:name w:val="标题 1 字符"/>
    <w:basedOn w:val="15"/>
    <w:link w:val="2"/>
    <w:autoRedefine/>
    <w:qFormat/>
    <w:uiPriority w:val="0"/>
    <w:rPr>
      <w:rFonts w:ascii="Arial" w:hAnsi="Arial" w:eastAsia="Arial" w:cs="Arial"/>
      <w:b/>
      <w:bCs/>
      <w:snapToGrid w:val="0"/>
      <w:color w:val="000000"/>
      <w:kern w:val="44"/>
      <w:sz w:val="44"/>
      <w:szCs w:val="44"/>
    </w:rPr>
  </w:style>
  <w:style w:type="paragraph" w:customStyle="1" w:styleId="27">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8">
    <w:name w:val="页眉 字符"/>
    <w:basedOn w:val="15"/>
    <w:link w:val="9"/>
    <w:autoRedefine/>
    <w:qFormat/>
    <w:uiPriority w:val="0"/>
    <w:rPr>
      <w:rFonts w:ascii="Arial" w:hAnsi="Arial" w:eastAsia="Arial" w:cs="Arial"/>
      <w:snapToGrid w:val="0"/>
      <w:color w:val="000000"/>
      <w:sz w:val="18"/>
      <w:szCs w:val="18"/>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标题A"/>
    <w:basedOn w:val="25"/>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3594</Words>
  <Characters>3937</Characters>
  <Lines>28</Lines>
  <Paragraphs>7</Paragraphs>
  <TotalTime>2</TotalTime>
  <ScaleCrop>false</ScaleCrop>
  <LinksUpToDate>false</LinksUpToDate>
  <CharactersWithSpaces>5015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2022-12-05T07:10:00Z</cp:lastPrinted>
  <dcterms:modified xsi:type="dcterms:W3CDTF">2024-04-24T02:18:55Z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46214221BD6744E19588268910D8FAFC_13</vt:lpwstr>
  </property>
</Properties>
</file>