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E7966">
      <w:pPr>
        <w:spacing w:line="360" w:lineRule="auto"/>
        <w:rPr>
          <w:rFonts w:ascii="黑体"/>
        </w:rPr>
      </w:pPr>
    </w:p>
    <w:p w14:paraId="2D6C3B8F">
      <w:pPr>
        <w:spacing w:before="92" w:line="360" w:lineRule="auto"/>
        <w:ind w:firstLine="4480" w:firstLineChars="1600"/>
        <w:rPr>
          <w:rFonts w:hint="default" w:ascii="黑体" w:eastAsia="宋体"/>
          <w:highlight w:val="none"/>
          <w:lang w:val="en-US" w:eastAsia="zh-CN"/>
        </w:rPr>
      </w:pPr>
      <w:r>
        <w:rPr>
          <w:rFonts w:ascii="宋体" w:hAnsi="宋体" w:eastAsia="宋体" w:cs="宋体"/>
          <w:sz w:val="28"/>
          <w:szCs w:val="28"/>
          <w:highlight w:val="none"/>
          <w14:textOutline w14:w="5092" w14:cap="flat" w14:cmpd="sng" w14:algn="ctr">
            <w14:solidFill>
              <w14:srgbClr w14:val="000000"/>
            </w14:solidFill>
            <w14:prstDash w14:val="solid"/>
            <w14:miter w14:val="0"/>
          </w14:textOutline>
        </w:rPr>
        <w:t>招标文件编号</w:t>
      </w:r>
      <w:r>
        <w:rPr>
          <w:rFonts w:ascii="宋体" w:hAnsi="宋体" w:eastAsia="宋体" w:cs="宋体"/>
          <w:sz w:val="28"/>
          <w:szCs w:val="28"/>
          <w:highlight w:val="none"/>
        </w:rPr>
        <w:t>：</w:t>
      </w:r>
      <w:r>
        <w:rPr>
          <w:rFonts w:hint="eastAsia" w:ascii="宋体" w:hAnsi="宋体" w:eastAsia="宋体" w:cs="宋体"/>
          <w:sz w:val="28"/>
          <w:szCs w:val="28"/>
          <w:highlight w:val="none"/>
          <w:lang w:val="en-US" w:eastAsia="zh-CN"/>
        </w:rPr>
        <w:t>HXZB2024121301</w:t>
      </w:r>
    </w:p>
    <w:p w14:paraId="4D257E4D">
      <w:pPr>
        <w:spacing w:line="360" w:lineRule="auto"/>
        <w:rPr>
          <w:rFonts w:ascii="黑体"/>
          <w:highlight w:val="none"/>
        </w:rPr>
      </w:pPr>
    </w:p>
    <w:p w14:paraId="6ADD53DD">
      <w:pPr>
        <w:spacing w:line="360" w:lineRule="auto"/>
        <w:rPr>
          <w:rFonts w:ascii="黑体"/>
          <w:highlight w:val="none"/>
        </w:rPr>
      </w:pPr>
    </w:p>
    <w:p w14:paraId="24E2C408">
      <w:pPr>
        <w:spacing w:line="360" w:lineRule="auto"/>
        <w:rPr>
          <w:rFonts w:ascii="黑体"/>
          <w:highlight w:val="none"/>
        </w:rPr>
      </w:pPr>
    </w:p>
    <w:p w14:paraId="279E3909">
      <w:pPr>
        <w:spacing w:line="360" w:lineRule="auto"/>
        <w:rPr>
          <w:rFonts w:ascii="黑体"/>
          <w:highlight w:val="none"/>
        </w:rPr>
      </w:pPr>
    </w:p>
    <w:p w14:paraId="1ECF2509">
      <w:pPr>
        <w:tabs>
          <w:tab w:val="left" w:pos="5882"/>
        </w:tabs>
        <w:spacing w:before="169" w:line="360" w:lineRule="auto"/>
        <w:jc w:val="center"/>
        <w:rPr>
          <w:rFonts w:ascii="宋体" w:hAnsi="宋体" w:eastAsia="宋体" w:cs="宋体"/>
          <w:sz w:val="52"/>
          <w:szCs w:val="52"/>
          <w:highlight w:val="none"/>
        </w:rPr>
      </w:pPr>
      <w:r>
        <w:rPr>
          <w:rFonts w:hint="eastAsia" w:ascii="宋体" w:hAnsi="宋体" w:eastAsia="宋体" w:cs="宋体"/>
          <w:sz w:val="52"/>
          <w:szCs w:val="52"/>
          <w:highlight w:val="none"/>
          <w:u w:val="single"/>
          <w:lang w:val="en-US" w:eastAsia="zh-CN"/>
        </w:rPr>
        <w:t>重切型龙门加工中心</w:t>
      </w:r>
      <w:r>
        <w:rPr>
          <w:rFonts w:ascii="宋体" w:hAnsi="宋体" w:eastAsia="宋体" w:cs="宋体"/>
          <w:sz w:val="52"/>
          <w:szCs w:val="52"/>
          <w:highlight w:val="none"/>
        </w:rPr>
        <w:t>采购项目</w:t>
      </w:r>
    </w:p>
    <w:p w14:paraId="54787677">
      <w:pPr>
        <w:spacing w:line="360" w:lineRule="auto"/>
        <w:rPr>
          <w:rFonts w:ascii="黑体"/>
          <w:highlight w:val="none"/>
        </w:rPr>
      </w:pPr>
    </w:p>
    <w:p w14:paraId="0C63380E">
      <w:pPr>
        <w:spacing w:line="360" w:lineRule="auto"/>
        <w:rPr>
          <w:rFonts w:ascii="黑体"/>
          <w:highlight w:val="none"/>
        </w:rPr>
      </w:pPr>
    </w:p>
    <w:p w14:paraId="6635D87C">
      <w:pPr>
        <w:spacing w:line="360" w:lineRule="auto"/>
        <w:rPr>
          <w:rFonts w:ascii="黑体"/>
          <w:highlight w:val="none"/>
        </w:rPr>
      </w:pPr>
    </w:p>
    <w:p w14:paraId="03359911">
      <w:pPr>
        <w:spacing w:line="360" w:lineRule="auto"/>
        <w:rPr>
          <w:rFonts w:ascii="黑体"/>
          <w:highlight w:val="none"/>
        </w:rPr>
      </w:pPr>
    </w:p>
    <w:p w14:paraId="315CE2C3">
      <w:pPr>
        <w:spacing w:line="360" w:lineRule="auto"/>
        <w:rPr>
          <w:rFonts w:ascii="黑体"/>
          <w:highlight w:val="none"/>
        </w:rPr>
      </w:pPr>
    </w:p>
    <w:p w14:paraId="5B354287">
      <w:pPr>
        <w:spacing w:line="360" w:lineRule="auto"/>
        <w:rPr>
          <w:rFonts w:ascii="黑体"/>
          <w:highlight w:val="none"/>
        </w:rPr>
      </w:pPr>
    </w:p>
    <w:p w14:paraId="70AE5926">
      <w:pPr>
        <w:spacing w:line="360" w:lineRule="auto"/>
        <w:rPr>
          <w:rFonts w:ascii="黑体"/>
          <w:highlight w:val="none"/>
        </w:rPr>
      </w:pPr>
    </w:p>
    <w:p w14:paraId="4EFBDF18">
      <w:pPr>
        <w:spacing w:before="274" w:line="360" w:lineRule="auto"/>
        <w:jc w:val="center"/>
        <w:outlineLvl w:val="0"/>
        <w:rPr>
          <w:rFonts w:ascii="宋体" w:hAnsi="宋体" w:eastAsia="宋体" w:cs="宋体"/>
          <w:sz w:val="84"/>
          <w:szCs w:val="84"/>
          <w:highlight w:val="none"/>
        </w:rPr>
      </w:pPr>
      <w:bookmarkStart w:id="0" w:name="_Toc4814"/>
      <w:bookmarkStart w:id="1" w:name="_Toc3319"/>
      <w:bookmarkStart w:id="2" w:name="_Toc7596"/>
      <w:r>
        <w:rPr>
          <w:rFonts w:ascii="宋体" w:hAnsi="宋体" w:eastAsia="宋体" w:cs="宋体"/>
          <w:sz w:val="84"/>
          <w:szCs w:val="84"/>
          <w:highlight w:val="none"/>
          <w14:textOutline w14:w="15240" w14:cap="flat" w14:cmpd="sng" w14:algn="ctr">
            <w14:solidFill>
              <w14:srgbClr w14:val="000000"/>
            </w14:solidFill>
            <w14:prstDash w14:val="solid"/>
            <w14:miter w14:val="0"/>
          </w14:textOutline>
        </w:rPr>
        <w:t>招标文件</w:t>
      </w:r>
      <w:bookmarkEnd w:id="0"/>
      <w:bookmarkEnd w:id="1"/>
      <w:bookmarkEnd w:id="2"/>
    </w:p>
    <w:p w14:paraId="617AE98B">
      <w:pPr>
        <w:spacing w:line="360" w:lineRule="auto"/>
        <w:rPr>
          <w:rFonts w:ascii="黑体"/>
          <w:highlight w:val="none"/>
        </w:rPr>
      </w:pPr>
    </w:p>
    <w:p w14:paraId="268E4C9C">
      <w:pPr>
        <w:spacing w:line="360" w:lineRule="auto"/>
        <w:rPr>
          <w:rFonts w:ascii="黑体"/>
          <w:highlight w:val="none"/>
        </w:rPr>
      </w:pPr>
    </w:p>
    <w:p w14:paraId="07993C86">
      <w:pPr>
        <w:spacing w:line="360" w:lineRule="auto"/>
        <w:rPr>
          <w:rFonts w:ascii="黑体"/>
          <w:highlight w:val="none"/>
        </w:rPr>
      </w:pPr>
    </w:p>
    <w:p w14:paraId="623CD133">
      <w:pPr>
        <w:spacing w:line="360" w:lineRule="auto"/>
        <w:rPr>
          <w:rFonts w:ascii="黑体"/>
          <w:highlight w:val="none"/>
        </w:rPr>
      </w:pPr>
    </w:p>
    <w:p w14:paraId="6CF612E5">
      <w:pPr>
        <w:spacing w:before="104" w:line="360" w:lineRule="auto"/>
        <w:rPr>
          <w:rFonts w:ascii="仿宋" w:hAnsi="仿宋" w:eastAsia="仿宋" w:cs="仿宋"/>
          <w:sz w:val="32"/>
          <w:szCs w:val="32"/>
          <w:highlight w:val="none"/>
        </w:rPr>
      </w:pPr>
    </w:p>
    <w:p w14:paraId="39E829E0">
      <w:pPr>
        <w:spacing w:before="104" w:line="360" w:lineRule="auto"/>
        <w:jc w:val="center"/>
        <w:rPr>
          <w:rFonts w:ascii="仿宋" w:hAnsi="仿宋" w:eastAsia="仿宋" w:cs="仿宋"/>
          <w:sz w:val="32"/>
          <w:szCs w:val="32"/>
          <w:highlight w:val="none"/>
        </w:rPr>
      </w:pPr>
      <w:r>
        <w:rPr>
          <w:rFonts w:ascii="仿宋" w:hAnsi="仿宋" w:eastAsia="仿宋" w:cs="仿宋"/>
          <w:sz w:val="32"/>
          <w:szCs w:val="32"/>
          <w:highlight w:val="none"/>
        </w:rPr>
        <w:t>招标人：</w:t>
      </w:r>
      <w:r>
        <w:rPr>
          <w:rFonts w:hint="eastAsia" w:ascii="仿宋" w:hAnsi="仿宋" w:eastAsia="仿宋" w:cs="仿宋"/>
          <w:sz w:val="32"/>
          <w:szCs w:val="32"/>
          <w:highlight w:val="none"/>
        </w:rPr>
        <w:t>中国机械总院集团海西（福建）分院有限公司</w:t>
      </w:r>
    </w:p>
    <w:p w14:paraId="584442CF">
      <w:pPr>
        <w:spacing w:line="360" w:lineRule="auto"/>
        <w:rPr>
          <w:rFonts w:ascii="黑体"/>
          <w:highlight w:val="none"/>
        </w:rPr>
      </w:pPr>
    </w:p>
    <w:p w14:paraId="3BB6984F">
      <w:pPr>
        <w:spacing w:before="104"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ascii="仿宋" w:hAnsi="仿宋" w:eastAsia="仿宋" w:cs="仿宋"/>
          <w:sz w:val="32"/>
          <w:szCs w:val="32"/>
          <w:highlight w:val="none"/>
        </w:rPr>
        <w:t>年</w:t>
      </w:r>
      <w:r>
        <w:rPr>
          <w:rFonts w:hint="eastAsia" w:ascii="仿宋" w:hAnsi="仿宋" w:eastAsia="仿宋" w:cs="仿宋"/>
          <w:sz w:val="32"/>
          <w:szCs w:val="32"/>
          <w:highlight w:val="none"/>
          <w:lang w:val="en-US" w:eastAsia="zh-CN"/>
        </w:rPr>
        <w:t>12</w:t>
      </w:r>
      <w:r>
        <w:rPr>
          <w:rFonts w:ascii="仿宋" w:hAnsi="仿宋" w:eastAsia="仿宋" w:cs="仿宋"/>
          <w:sz w:val="32"/>
          <w:szCs w:val="32"/>
          <w:highlight w:val="none"/>
        </w:rPr>
        <w:t>月</w:t>
      </w:r>
      <w:r>
        <w:rPr>
          <w:rFonts w:hint="eastAsia" w:ascii="仿宋" w:hAnsi="仿宋" w:eastAsia="仿宋" w:cs="仿宋"/>
          <w:sz w:val="32"/>
          <w:szCs w:val="32"/>
          <w:highlight w:val="none"/>
          <w:lang w:val="en-US" w:eastAsia="zh-CN"/>
        </w:rPr>
        <w:t>13</w:t>
      </w:r>
      <w:r>
        <w:rPr>
          <w:rFonts w:ascii="仿宋" w:hAnsi="仿宋" w:eastAsia="仿宋" w:cs="仿宋"/>
          <w:sz w:val="32"/>
          <w:szCs w:val="32"/>
          <w:highlight w:val="none"/>
        </w:rPr>
        <w:t>日</w:t>
      </w:r>
    </w:p>
    <w:p w14:paraId="29132A12">
      <w:pPr>
        <w:spacing w:line="360" w:lineRule="auto"/>
        <w:rPr>
          <w:rFonts w:ascii="仿宋" w:hAnsi="仿宋" w:eastAsia="仿宋" w:cs="仿宋"/>
          <w:sz w:val="32"/>
          <w:szCs w:val="32"/>
          <w:highlight w:val="none"/>
        </w:rPr>
      </w:pPr>
      <w:r>
        <w:rPr>
          <w:rFonts w:ascii="仿宋" w:hAnsi="仿宋" w:eastAsia="仿宋" w:cs="仿宋"/>
          <w:sz w:val="32"/>
          <w:szCs w:val="32"/>
          <w:highlight w:val="none"/>
        </w:rPr>
        <w:br w:type="page"/>
      </w:r>
    </w:p>
    <w:p w14:paraId="176A5BB5">
      <w:pPr>
        <w:pStyle w:val="17"/>
        <w:spacing w:line="360" w:lineRule="auto"/>
        <w:rPr>
          <w:highlight w:val="none"/>
        </w:rPr>
      </w:pPr>
    </w:p>
    <w:p w14:paraId="383FBA4B">
      <w:pPr>
        <w:spacing w:line="360" w:lineRule="auto"/>
        <w:rPr>
          <w:highlight w:val="none"/>
        </w:rPr>
        <w:sectPr>
          <w:headerReference r:id="rId3" w:type="default"/>
          <w:pgSz w:w="11907" w:h="16839"/>
          <w:pgMar w:top="1432" w:right="1389" w:bottom="1201" w:left="1389" w:header="852" w:footer="1021" w:gutter="0"/>
          <w:cols w:space="720" w:num="1"/>
        </w:sectPr>
      </w:pPr>
    </w:p>
    <w:sdt>
      <w:sdtPr>
        <w:rPr>
          <w:rFonts w:ascii="宋体" w:hAnsi="宋体" w:eastAsia="宋体"/>
          <w:highlight w:val="none"/>
        </w:rPr>
        <w:id w:val="323009654"/>
        <w15:color w:val="DBDBDB"/>
        <w:docPartObj>
          <w:docPartGallery w:val="Table of Contents"/>
          <w:docPartUnique/>
        </w:docPartObj>
      </w:sdtPr>
      <w:sdtEndPr>
        <w:rPr>
          <w:rFonts w:ascii="宋体" w:hAnsi="宋体" w:eastAsia="宋体" w:cs="宋体"/>
          <w:sz w:val="56"/>
          <w:szCs w:val="180"/>
          <w:highlight w:val="none"/>
          <w14:textOutline w14:w="6527" w14:cap="flat" w14:cmpd="sng" w14:algn="ctr">
            <w14:solidFill>
              <w14:srgbClr w14:val="000000"/>
            </w14:solidFill>
            <w14:prstDash w14:val="solid"/>
            <w14:miter w14:val="0"/>
          </w14:textOutline>
        </w:rPr>
      </w:sdtEndPr>
      <w:sdtContent>
        <w:p w14:paraId="72249B77">
          <w:pPr>
            <w:spacing w:line="360" w:lineRule="auto"/>
            <w:jc w:val="center"/>
            <w:rPr>
              <w:b/>
              <w:bCs/>
              <w:sz w:val="48"/>
              <w:szCs w:val="48"/>
              <w:highlight w:val="none"/>
            </w:rPr>
          </w:pPr>
          <w:r>
            <w:rPr>
              <w:rFonts w:ascii="宋体" w:hAnsi="宋体" w:eastAsia="宋体"/>
              <w:b/>
              <w:bCs/>
              <w:sz w:val="48"/>
              <w:szCs w:val="48"/>
              <w:highlight w:val="none"/>
            </w:rPr>
            <w:t>目录</w:t>
          </w:r>
        </w:p>
        <w:p w14:paraId="121F1663">
          <w:pPr>
            <w:pStyle w:val="12"/>
            <w:tabs>
              <w:tab w:val="right" w:leader="dot" w:pos="9129"/>
            </w:tabs>
            <w:spacing w:line="360" w:lineRule="auto"/>
            <w:rPr>
              <w:sz w:val="36"/>
              <w:szCs w:val="36"/>
              <w:highlight w:val="none"/>
            </w:rPr>
          </w:pPr>
          <w:r>
            <w:rPr>
              <w:rFonts w:ascii="宋体" w:hAnsi="宋体" w:eastAsia="宋体" w:cs="宋体"/>
              <w:sz w:val="180"/>
              <w:szCs w:val="180"/>
              <w:highlight w:val="none"/>
              <w14:textOutline w14:w="6527" w14:cap="flat" w14:cmpd="sng" w14:algn="ctr">
                <w14:solidFill>
                  <w14:srgbClr w14:val="000000"/>
                </w14:solidFill>
                <w14:prstDash w14:val="solid"/>
                <w14:miter w14:val="0"/>
              </w14:textOutline>
            </w:rPr>
            <w:fldChar w:fldCharType="begin"/>
          </w:r>
          <w:r>
            <w:rPr>
              <w:rFonts w:ascii="宋体" w:hAnsi="宋体" w:eastAsia="宋体" w:cs="宋体"/>
              <w:sz w:val="180"/>
              <w:szCs w:val="180"/>
              <w:highlight w:val="none"/>
              <w14:textOutline w14:w="6527" w14:cap="flat" w14:cmpd="sng" w14:algn="ctr">
                <w14:solidFill>
                  <w14:srgbClr w14:val="000000"/>
                </w14:solidFill>
                <w14:prstDash w14:val="solid"/>
                <w14:miter w14:val="0"/>
              </w14:textOutline>
            </w:rPr>
            <w:instrText xml:space="preserve">TOC \o "1-1" \h \u </w:instrText>
          </w:r>
          <w:r>
            <w:rPr>
              <w:rFonts w:ascii="宋体" w:hAnsi="宋体" w:eastAsia="宋体" w:cs="宋体"/>
              <w:sz w:val="180"/>
              <w:szCs w:val="180"/>
              <w:highlight w:val="none"/>
              <w14:textOutline w14:w="6527" w14:cap="flat" w14:cmpd="sng" w14:algn="ctr">
                <w14:solidFill>
                  <w14:srgbClr w14:val="000000"/>
                </w14:solidFill>
                <w14:prstDash w14:val="solid"/>
                <w14:miter w14:val="0"/>
              </w14:textOutline>
            </w:rPr>
            <w:fldChar w:fldCharType="separate"/>
          </w:r>
        </w:p>
        <w:p w14:paraId="73024D96">
          <w:pPr>
            <w:spacing w:line="360" w:lineRule="auto"/>
            <w:jc w:val="center"/>
            <w:rPr>
              <w:rFonts w:ascii="宋体" w:hAnsi="宋体" w:eastAsia="宋体" w:cs="宋体"/>
              <w:sz w:val="36"/>
              <w:szCs w:val="180"/>
              <w:highlight w:val="none"/>
              <w14:textOutline w14:w="6527" w14:cap="flat" w14:cmpd="sng" w14:algn="ctr">
                <w14:solidFill>
                  <w14:srgbClr w14:val="000000"/>
                </w14:solidFill>
                <w14:prstDash w14:val="solid"/>
                <w14:miter w14:val="0"/>
              </w14:textOutline>
            </w:rPr>
          </w:pPr>
          <w:r>
            <w:rPr>
              <w:rFonts w:ascii="宋体" w:hAnsi="宋体" w:eastAsia="宋体" w:cs="宋体"/>
              <w:sz w:val="36"/>
              <w:szCs w:val="180"/>
              <w:highlight w:val="none"/>
              <w14:textOutline w14:w="6527" w14:cap="flat" w14:cmpd="sng" w14:algn="ctr">
                <w14:solidFill>
                  <w14:srgbClr w14:val="000000"/>
                </w14:solidFill>
                <w14:prstDash w14:val="solid"/>
                <w14:miter w14:val="0"/>
              </w14:textOutline>
            </w:rPr>
            <w:fldChar w:fldCharType="end"/>
          </w:r>
        </w:p>
        <w:sdt>
          <w:sdtPr>
            <w:rPr>
              <w:rFonts w:eastAsia="宋体"/>
              <w:highlight w:val="none"/>
            </w:rPr>
            <w:id w:val="147466991"/>
            <w15:color w:val="DBDBDB"/>
            <w:docPartObj>
              <w:docPartGallery w:val="Table of Contents"/>
              <w:docPartUnique/>
            </w:docPartObj>
          </w:sdtPr>
          <w:sdtEndPr>
            <w:rPr>
              <w:rFonts w:ascii="宋体" w:hAnsi="宋体" w:eastAsia="宋体" w:cs="宋体"/>
              <w:sz w:val="32"/>
              <w:szCs w:val="160"/>
              <w:highlight w:val="none"/>
              <w14:textOutline w14:w="6527" w14:cap="flat" w14:cmpd="sng" w14:algn="ctr">
                <w14:solidFill>
                  <w14:srgbClr w14:val="000000"/>
                </w14:solidFill>
                <w14:prstDash w14:val="solid"/>
                <w14:miter w14:val="0"/>
              </w14:textOutline>
            </w:rPr>
          </w:sdtEndPr>
          <w:sdtContent>
            <w:p w14:paraId="7BCDF72A">
              <w:pPr>
                <w:spacing w:line="360" w:lineRule="auto"/>
                <w:jc w:val="center"/>
                <w:rPr>
                  <w:sz w:val="48"/>
                  <w:szCs w:val="48"/>
                  <w:highlight w:val="none"/>
                </w:rPr>
              </w:pPr>
            </w:p>
            <w:p w14:paraId="7B3831B6">
              <w:pPr>
                <w:pStyle w:val="12"/>
                <w:tabs>
                  <w:tab w:val="right" w:leader="dot" w:pos="9129"/>
                </w:tabs>
                <w:spacing w:line="360" w:lineRule="auto"/>
                <w:rPr>
                  <w:sz w:val="32"/>
                  <w:szCs w:val="32"/>
                  <w:highlight w:val="none"/>
                </w:rPr>
              </w:pPr>
              <w:r>
                <w:rPr>
                  <w:sz w:val="32"/>
                  <w:szCs w:val="32"/>
                  <w:highlight w:val="none"/>
                </w:rPr>
                <w:fldChar w:fldCharType="begin"/>
              </w:r>
              <w:r>
                <w:rPr>
                  <w:sz w:val="32"/>
                  <w:szCs w:val="32"/>
                  <w:highlight w:val="none"/>
                </w:rPr>
                <w:instrText xml:space="preserve">TOC \o "1-1" \h \u </w:instrText>
              </w:r>
              <w:r>
                <w:rPr>
                  <w:sz w:val="32"/>
                  <w:szCs w:val="32"/>
                  <w:highlight w:val="none"/>
                </w:rPr>
                <w:fldChar w:fldCharType="separate"/>
              </w:r>
              <w:r>
                <w:rPr>
                  <w:highlight w:val="none"/>
                </w:rPr>
                <w:fldChar w:fldCharType="begin"/>
              </w:r>
              <w:r>
                <w:rPr>
                  <w:highlight w:val="none"/>
                </w:rPr>
                <w:instrText xml:space="preserve"> HYPERLINK \l "_Toc9866" </w:instrText>
              </w:r>
              <w:r>
                <w:rPr>
                  <w:highlight w:val="none"/>
                </w:rPr>
                <w:fldChar w:fldCharType="separate"/>
              </w:r>
              <w:r>
                <w:rPr>
                  <w:sz w:val="32"/>
                  <w:szCs w:val="32"/>
                  <w:highlight w:val="none"/>
                </w:rPr>
                <w:t>一、投标书</w:t>
              </w:r>
              <w:r>
                <w:rPr>
                  <w:sz w:val="32"/>
                  <w:szCs w:val="32"/>
                  <w:highlight w:val="none"/>
                </w:rPr>
                <w:tab/>
              </w:r>
              <w:r>
                <w:rPr>
                  <w:rFonts w:hint="eastAsia" w:eastAsia="宋体"/>
                  <w:sz w:val="32"/>
                  <w:szCs w:val="32"/>
                  <w:highlight w:val="none"/>
                </w:rPr>
                <w:t>3</w:t>
              </w:r>
              <w:r>
                <w:rPr>
                  <w:rFonts w:hint="eastAsia" w:eastAsia="宋体"/>
                  <w:sz w:val="32"/>
                  <w:szCs w:val="32"/>
                  <w:highlight w:val="none"/>
                </w:rPr>
                <w:fldChar w:fldCharType="end"/>
              </w:r>
            </w:p>
            <w:p w14:paraId="350FD055">
              <w:pPr>
                <w:pStyle w:val="12"/>
                <w:tabs>
                  <w:tab w:val="right" w:leader="dot" w:pos="9129"/>
                </w:tabs>
                <w:spacing w:line="360" w:lineRule="auto"/>
                <w:rPr>
                  <w:sz w:val="32"/>
                  <w:szCs w:val="32"/>
                  <w:highlight w:val="none"/>
                </w:rPr>
              </w:pPr>
              <w:r>
                <w:rPr>
                  <w:highlight w:val="none"/>
                </w:rPr>
                <w:fldChar w:fldCharType="begin"/>
              </w:r>
              <w:r>
                <w:rPr>
                  <w:highlight w:val="none"/>
                </w:rPr>
                <w:instrText xml:space="preserve"> HYPERLINK \l "_Toc23575" </w:instrText>
              </w:r>
              <w:r>
                <w:rPr>
                  <w:highlight w:val="none"/>
                </w:rPr>
                <w:fldChar w:fldCharType="separate"/>
              </w:r>
              <w:r>
                <w:rPr>
                  <w:sz w:val="32"/>
                  <w:szCs w:val="32"/>
                  <w:highlight w:val="none"/>
                </w:rPr>
                <w:t>附件：技术</w:t>
              </w:r>
              <w:r>
                <w:rPr>
                  <w:rFonts w:hint="eastAsia" w:ascii="宋体" w:hAnsi="宋体" w:eastAsia="宋体" w:cs="宋体"/>
                  <w:sz w:val="32"/>
                  <w:szCs w:val="32"/>
                  <w:highlight w:val="none"/>
                </w:rPr>
                <w:t>要求</w:t>
              </w:r>
              <w:r>
                <w:rPr>
                  <w:sz w:val="32"/>
                  <w:szCs w:val="32"/>
                  <w:highlight w:val="none"/>
                </w:rPr>
                <w:tab/>
              </w:r>
              <w:r>
                <w:rPr>
                  <w:rFonts w:hint="eastAsia" w:eastAsia="宋体"/>
                  <w:sz w:val="32"/>
                  <w:szCs w:val="32"/>
                  <w:highlight w:val="none"/>
                </w:rPr>
                <w:t>5</w:t>
              </w:r>
              <w:r>
                <w:rPr>
                  <w:rFonts w:hint="eastAsia" w:eastAsia="宋体"/>
                  <w:sz w:val="32"/>
                  <w:szCs w:val="32"/>
                  <w:highlight w:val="none"/>
                </w:rPr>
                <w:fldChar w:fldCharType="end"/>
              </w:r>
            </w:p>
            <w:p w14:paraId="75C17315">
              <w:pPr>
                <w:pStyle w:val="12"/>
                <w:tabs>
                  <w:tab w:val="right" w:leader="dot" w:pos="9129"/>
                </w:tabs>
                <w:spacing w:line="360" w:lineRule="auto"/>
                <w:rPr>
                  <w:sz w:val="32"/>
                  <w:szCs w:val="32"/>
                  <w:highlight w:val="none"/>
                </w:rPr>
              </w:pPr>
              <w:r>
                <w:rPr>
                  <w:highlight w:val="none"/>
                </w:rPr>
                <w:fldChar w:fldCharType="begin"/>
              </w:r>
              <w:r>
                <w:rPr>
                  <w:highlight w:val="none"/>
                </w:rPr>
                <w:instrText xml:space="preserve"> HYPERLINK \l "_Toc14127" </w:instrText>
              </w:r>
              <w:r>
                <w:rPr>
                  <w:highlight w:val="none"/>
                </w:rPr>
                <w:fldChar w:fldCharType="separate"/>
              </w:r>
              <w:r>
                <w:rPr>
                  <w:sz w:val="32"/>
                  <w:szCs w:val="32"/>
                  <w:highlight w:val="none"/>
                </w:rPr>
                <w:t>附件：</w:t>
              </w:r>
              <w:r>
                <w:rPr>
                  <w:rFonts w:hint="eastAsia" w:ascii="宋体" w:hAnsi="宋体" w:eastAsia="宋体" w:cs="宋体"/>
                  <w:sz w:val="32"/>
                  <w:szCs w:val="32"/>
                  <w:highlight w:val="none"/>
                </w:rPr>
                <w:t>商务</w:t>
              </w:r>
              <w:r>
                <w:rPr>
                  <w:sz w:val="32"/>
                  <w:szCs w:val="32"/>
                  <w:highlight w:val="none"/>
                </w:rPr>
                <w:t>要求</w:t>
              </w:r>
              <w:r>
                <w:rPr>
                  <w:sz w:val="32"/>
                  <w:szCs w:val="32"/>
                  <w:highlight w:val="none"/>
                </w:rPr>
                <w:tab/>
              </w:r>
              <w:r>
                <w:rPr>
                  <w:rFonts w:hint="eastAsia" w:eastAsia="宋体"/>
                  <w:sz w:val="32"/>
                  <w:szCs w:val="32"/>
                  <w:highlight w:val="none"/>
                </w:rPr>
                <w:t>8</w:t>
              </w:r>
              <w:r>
                <w:rPr>
                  <w:rFonts w:hint="eastAsia" w:eastAsia="宋体"/>
                  <w:sz w:val="32"/>
                  <w:szCs w:val="32"/>
                  <w:highlight w:val="none"/>
                </w:rPr>
                <w:fldChar w:fldCharType="end"/>
              </w:r>
            </w:p>
            <w:p w14:paraId="45F337BB">
              <w:pPr>
                <w:pStyle w:val="12"/>
                <w:tabs>
                  <w:tab w:val="right" w:leader="dot" w:pos="9129"/>
                </w:tabs>
                <w:spacing w:line="360" w:lineRule="auto"/>
                <w:rPr>
                  <w:rFonts w:eastAsia="宋体"/>
                  <w:sz w:val="32"/>
                  <w:szCs w:val="32"/>
                  <w:highlight w:val="none"/>
                </w:rPr>
              </w:pPr>
              <w:r>
                <w:rPr>
                  <w:highlight w:val="none"/>
                </w:rPr>
                <w:fldChar w:fldCharType="begin"/>
              </w:r>
              <w:r>
                <w:rPr>
                  <w:highlight w:val="none"/>
                </w:rPr>
                <w:instrText xml:space="preserve"> HYPERLINK \l "_Toc28318" </w:instrText>
              </w:r>
              <w:r>
                <w:rPr>
                  <w:highlight w:val="none"/>
                </w:rPr>
                <w:fldChar w:fldCharType="separate"/>
              </w:r>
              <w:r>
                <w:rPr>
                  <w:sz w:val="32"/>
                  <w:szCs w:val="32"/>
                  <w:highlight w:val="none"/>
                </w:rPr>
                <w:t>二、投标人须知</w:t>
              </w:r>
              <w:r>
                <w:rPr>
                  <w:sz w:val="32"/>
                  <w:szCs w:val="32"/>
                  <w:highlight w:val="none"/>
                </w:rPr>
                <w:tab/>
              </w:r>
              <w:r>
                <w:rPr>
                  <w:rFonts w:hint="eastAsia" w:eastAsia="宋体"/>
                  <w:sz w:val="32"/>
                  <w:szCs w:val="32"/>
                  <w:highlight w:val="none"/>
                </w:rPr>
                <w:t>1</w:t>
              </w:r>
              <w:r>
                <w:rPr>
                  <w:rFonts w:hint="eastAsia" w:eastAsia="宋体"/>
                  <w:sz w:val="32"/>
                  <w:szCs w:val="32"/>
                  <w:highlight w:val="none"/>
                </w:rPr>
                <w:fldChar w:fldCharType="end"/>
              </w:r>
              <w:r>
                <w:rPr>
                  <w:rFonts w:hint="eastAsia" w:eastAsia="宋体"/>
                  <w:sz w:val="32"/>
                  <w:szCs w:val="32"/>
                  <w:highlight w:val="none"/>
                </w:rPr>
                <w:t>0</w:t>
              </w:r>
            </w:p>
            <w:p w14:paraId="50F0794B">
              <w:pPr>
                <w:widowControl w:val="0"/>
                <w:kinsoku/>
                <w:autoSpaceDE/>
                <w:autoSpaceDN/>
                <w:adjustRightInd/>
                <w:snapToGrid/>
                <w:spacing w:line="360" w:lineRule="auto"/>
                <w:jc w:val="both"/>
                <w:textAlignment w:val="auto"/>
                <w:rPr>
                  <w:rFonts w:hint="eastAsia" w:eastAsia="宋体"/>
                  <w:sz w:val="32"/>
                  <w:szCs w:val="32"/>
                  <w:highlight w:val="none"/>
                  <w:lang w:eastAsia="zh-CN"/>
                </w:rPr>
              </w:pPr>
              <w:r>
                <w:rPr>
                  <w:sz w:val="32"/>
                  <w:szCs w:val="32"/>
                  <w:highlight w:val="none"/>
                </w:rPr>
                <w:fldChar w:fldCharType="end"/>
              </w:r>
              <w:r>
                <w:rPr>
                  <w:rFonts w:hint="eastAsia"/>
                  <w:sz w:val="32"/>
                  <w:szCs w:val="32"/>
                  <w:highlight w:val="none"/>
                </w:rPr>
                <w:t>三、设备综合评标评分标准.........................................................1</w:t>
              </w:r>
              <w:r>
                <w:rPr>
                  <w:rFonts w:hint="eastAsia" w:eastAsia="宋体"/>
                  <w:sz w:val="32"/>
                  <w:szCs w:val="32"/>
                  <w:highlight w:val="none"/>
                  <w:lang w:val="en-US" w:eastAsia="zh-CN"/>
                </w:rPr>
                <w:t>3</w:t>
              </w:r>
            </w:p>
            <w:p w14:paraId="08261610">
              <w:pPr>
                <w:pStyle w:val="17"/>
                <w:ind w:left="0" w:leftChars="0" w:firstLine="0" w:firstLineChars="0"/>
                <w:rPr>
                  <w:rFonts w:hint="default" w:ascii="Arial" w:hAnsi="Arial" w:eastAsia="宋体" w:cs="Arial"/>
                  <w:snapToGrid w:val="0"/>
                  <w:color w:val="000000"/>
                  <w:sz w:val="32"/>
                  <w:szCs w:val="32"/>
                  <w:highlight w:val="none"/>
                  <w:lang w:val="en-US" w:eastAsia="zh-CN" w:bidi="ar-SA"/>
                </w:rPr>
              </w:pPr>
              <w:r>
                <w:rPr>
                  <w:rFonts w:hint="eastAsia" w:eastAsia="宋体"/>
                  <w:sz w:val="32"/>
                  <w:szCs w:val="32"/>
                  <w:highlight w:val="none"/>
                  <w:lang w:val="en-US" w:eastAsia="zh-CN"/>
                </w:rPr>
                <w:t>四、</w:t>
              </w:r>
              <w:r>
                <w:rPr>
                  <w:rFonts w:hint="eastAsia" w:ascii="Arial" w:hAnsi="Arial" w:eastAsia="Arial" w:cs="Arial"/>
                  <w:snapToGrid w:val="0"/>
                  <w:color w:val="000000"/>
                  <w:sz w:val="32"/>
                  <w:szCs w:val="32"/>
                  <w:highlight w:val="none"/>
                  <w:lang w:val="en-US" w:eastAsia="zh-CN" w:bidi="ar-SA"/>
                </w:rPr>
                <w:t>合同（参考文本）</w:t>
              </w:r>
              <w:r>
                <w:rPr>
                  <w:rFonts w:hint="eastAsia"/>
                  <w:sz w:val="32"/>
                  <w:szCs w:val="32"/>
                  <w:highlight w:val="none"/>
                </w:rPr>
                <w:t>...............................................................</w:t>
              </w:r>
              <w:r>
                <w:rPr>
                  <w:rFonts w:hint="eastAsia" w:eastAsia="宋体"/>
                  <w:sz w:val="32"/>
                  <w:szCs w:val="32"/>
                  <w:highlight w:val="none"/>
                  <w:lang w:val="en-US" w:eastAsia="zh-CN"/>
                </w:rPr>
                <w:t>15</w:t>
              </w:r>
            </w:p>
            <w:p w14:paraId="7CFC296F">
              <w:pPr>
                <w:pStyle w:val="12"/>
                <w:tabs>
                  <w:tab w:val="right" w:leader="dot" w:pos="9129"/>
                </w:tabs>
                <w:spacing w:line="360" w:lineRule="auto"/>
                <w:rPr>
                  <w:rFonts w:ascii="宋体" w:hAnsi="宋体" w:eastAsia="宋体" w:cs="宋体"/>
                  <w:sz w:val="32"/>
                  <w:szCs w:val="160"/>
                  <w:highlight w:val="none"/>
                  <w14:textOutline w14:w="6527" w14:cap="flat" w14:cmpd="sng" w14:algn="ctr">
                    <w14:solidFill>
                      <w14:srgbClr w14:val="000000"/>
                    </w14:solidFill>
                    <w14:prstDash w14:val="solid"/>
                    <w14:miter w14:val="0"/>
                  </w14:textOutline>
                </w:rPr>
              </w:pPr>
            </w:p>
          </w:sdtContent>
        </w:sdt>
        <w:p w14:paraId="657ACEBB">
          <w:pPr>
            <w:spacing w:before="153" w:line="360" w:lineRule="auto"/>
            <w:rPr>
              <w:rFonts w:ascii="宋体" w:hAnsi="宋体" w:eastAsia="宋体" w:cs="宋体"/>
              <w:sz w:val="180"/>
              <w:szCs w:val="180"/>
              <w:highlight w:val="none"/>
              <w14:textOutline w14:w="6527" w14:cap="flat" w14:cmpd="sng" w14:algn="ctr">
                <w14:solidFill>
                  <w14:srgbClr w14:val="000000"/>
                </w14:solidFill>
                <w14:prstDash w14:val="solid"/>
                <w14:miter w14:val="0"/>
              </w14:textOutline>
            </w:rPr>
            <w:sectPr>
              <w:headerReference r:id="rId4" w:type="default"/>
              <w:footerReference r:id="rId5" w:type="default"/>
              <w:type w:val="continuous"/>
              <w:pgSz w:w="11907" w:h="16839"/>
              <w:pgMar w:top="1432" w:right="1389" w:bottom="1201" w:left="1389" w:header="567" w:footer="1021" w:gutter="0"/>
              <w:cols w:equalWidth="0" w:num="1">
                <w:col w:w="9128"/>
              </w:cols>
            </w:sectPr>
          </w:pPr>
        </w:p>
      </w:sdtContent>
    </w:sdt>
    <w:p w14:paraId="6AFB70B8">
      <w:pPr>
        <w:spacing w:before="240" w:beforeLines="100" w:line="360" w:lineRule="auto"/>
        <w:jc w:val="both"/>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3" w:name="_Toc27877"/>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一、投标书</w:t>
      </w:r>
      <w:bookmarkEnd w:id="3"/>
    </w:p>
    <w:p w14:paraId="7126C2BC">
      <w:pPr>
        <w:pStyle w:val="17"/>
        <w:spacing w:line="360" w:lineRule="auto"/>
        <w:rPr>
          <w:rFonts w:hint="eastAsia" w:eastAsia="宋体"/>
          <w:highlight w:val="none"/>
          <w:lang w:eastAsia="zh-CN"/>
        </w:rPr>
      </w:pPr>
      <w:r>
        <w:rPr>
          <w:rFonts w:hint="eastAsia" w:ascii="宋体" w:hAnsi="宋体" w:eastAsia="宋体" w:cs="宋体"/>
          <w:spacing w:val="0"/>
          <w:sz w:val="24"/>
          <w:szCs w:val="24"/>
          <w:highlight w:val="none"/>
        </w:rPr>
        <w:t> 招标人</w:t>
      </w:r>
      <w:r>
        <w:rPr>
          <w:rFonts w:hint="eastAsia" w:ascii="宋体" w:hAnsi="宋体" w:eastAsia="宋体" w:cs="宋体"/>
          <w:spacing w:val="0"/>
          <w:sz w:val="24"/>
          <w:szCs w:val="24"/>
          <w:highlight w:val="none"/>
          <w:u w:val="single"/>
          <w:lang w:val="en-US" w:eastAsia="zh-CN"/>
        </w:rPr>
        <w:t>中国机械总院集团海西（福建）分院有限公司</w:t>
      </w:r>
      <w:r>
        <w:rPr>
          <w:rFonts w:hint="eastAsia" w:ascii="宋体" w:hAnsi="宋体" w:eastAsia="宋体" w:cs="宋体"/>
          <w:spacing w:val="0"/>
          <w:sz w:val="24"/>
          <w:szCs w:val="24"/>
          <w:highlight w:val="none"/>
        </w:rPr>
        <w:t>已根据采购相关法律法规，经相应程序确定采用</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u w:val="single"/>
          <w:lang w:val="en-US" w:eastAsia="zh-CN"/>
        </w:rPr>
        <w:t>公开招标的</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方式组织</w:t>
      </w:r>
      <w:r>
        <w:rPr>
          <w:rFonts w:hint="eastAsia" w:ascii="宋体" w:hAnsi="宋体" w:eastAsia="宋体" w:cs="宋体"/>
          <w:spacing w:val="0"/>
          <w:sz w:val="24"/>
          <w:szCs w:val="24"/>
          <w:highlight w:val="none"/>
          <w:u w:val="single" w:color="auto"/>
          <w:lang w:val="en-US" w:eastAsia="zh-CN"/>
        </w:rPr>
        <w:t>重切型龙门加工中心采购</w:t>
      </w:r>
      <w:r>
        <w:rPr>
          <w:rFonts w:hint="eastAsia" w:ascii="宋体" w:hAnsi="宋体" w:eastAsia="宋体" w:cs="宋体"/>
          <w:spacing w:val="0"/>
          <w:sz w:val="24"/>
          <w:szCs w:val="24"/>
          <w:highlight w:val="none"/>
        </w:rPr>
        <w:t>项目，现欢迎国内合格的供应商前来参加</w:t>
      </w:r>
      <w:r>
        <w:rPr>
          <w:rFonts w:hint="eastAsia" w:ascii="宋体" w:hAnsi="宋体" w:eastAsia="宋体" w:cs="宋体"/>
          <w:spacing w:val="0"/>
          <w:sz w:val="24"/>
          <w:szCs w:val="24"/>
          <w:highlight w:val="none"/>
          <w:lang w:eastAsia="zh-CN"/>
        </w:rPr>
        <w:t>。</w:t>
      </w:r>
    </w:p>
    <w:p w14:paraId="0B95FEB4">
      <w:pPr>
        <w:spacing w:before="161"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1、招标内容、数量及型号规格（见下表）</w:t>
      </w:r>
    </w:p>
    <w:tbl>
      <w:tblPr>
        <w:tblStyle w:val="18"/>
        <w:tblW w:w="93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3740"/>
        <w:gridCol w:w="1225"/>
        <w:gridCol w:w="808"/>
        <w:gridCol w:w="1412"/>
        <w:gridCol w:w="1107"/>
      </w:tblGrid>
      <w:tr w14:paraId="583F7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024" w:type="dxa"/>
            <w:vAlign w:val="center"/>
          </w:tcPr>
          <w:p w14:paraId="7488841E">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3740" w:type="dxa"/>
            <w:vAlign w:val="center"/>
          </w:tcPr>
          <w:p w14:paraId="188DB9DE">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设备</w:t>
            </w:r>
            <w:r>
              <w:rPr>
                <w:rFonts w:hint="eastAsia" w:ascii="宋体" w:hAnsi="宋体" w:eastAsia="宋体" w:cs="宋体"/>
                <w:sz w:val="24"/>
                <w:szCs w:val="24"/>
                <w:highlight w:val="none"/>
              </w:rPr>
              <w:t>名称</w:t>
            </w:r>
          </w:p>
        </w:tc>
        <w:tc>
          <w:tcPr>
            <w:tcW w:w="1225" w:type="dxa"/>
            <w:vAlign w:val="center"/>
          </w:tcPr>
          <w:p w14:paraId="6D2769B5">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数量</w:t>
            </w:r>
          </w:p>
        </w:tc>
        <w:tc>
          <w:tcPr>
            <w:tcW w:w="808" w:type="dxa"/>
            <w:vAlign w:val="center"/>
          </w:tcPr>
          <w:p w14:paraId="17F8C5BB">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单位</w:t>
            </w:r>
          </w:p>
        </w:tc>
        <w:tc>
          <w:tcPr>
            <w:tcW w:w="1412" w:type="dxa"/>
            <w:tcBorders>
              <w:bottom w:val="single" w:color="auto" w:sz="4" w:space="0"/>
            </w:tcBorders>
            <w:vAlign w:val="center"/>
          </w:tcPr>
          <w:p w14:paraId="5F3657AB">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交货期</w:t>
            </w:r>
          </w:p>
        </w:tc>
        <w:tc>
          <w:tcPr>
            <w:tcW w:w="1107" w:type="dxa"/>
            <w:tcBorders>
              <w:bottom w:val="single" w:color="auto" w:sz="4" w:space="0"/>
            </w:tcBorders>
            <w:vAlign w:val="center"/>
          </w:tcPr>
          <w:p w14:paraId="4296D5EC">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质量及其他要求</w:t>
            </w:r>
          </w:p>
        </w:tc>
      </w:tr>
      <w:tr w14:paraId="340B0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024" w:type="dxa"/>
            <w:vAlign w:val="center"/>
          </w:tcPr>
          <w:p w14:paraId="0623F42C">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3740" w:type="dxa"/>
            <w:vAlign w:val="center"/>
          </w:tcPr>
          <w:p w14:paraId="6E3F0443">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重切型龙门加工中心</w:t>
            </w:r>
          </w:p>
        </w:tc>
        <w:tc>
          <w:tcPr>
            <w:tcW w:w="1225" w:type="dxa"/>
            <w:vAlign w:val="center"/>
          </w:tcPr>
          <w:p w14:paraId="3FAA500C">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808" w:type="dxa"/>
            <w:tcBorders>
              <w:right w:val="single" w:color="auto" w:sz="4" w:space="0"/>
            </w:tcBorders>
            <w:vAlign w:val="center"/>
          </w:tcPr>
          <w:p w14:paraId="0BC0A443">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1412" w:type="dxa"/>
            <w:tcBorders>
              <w:top w:val="single" w:color="auto" w:sz="4" w:space="0"/>
              <w:left w:val="single" w:color="auto" w:sz="4" w:space="0"/>
              <w:bottom w:val="single" w:color="auto" w:sz="4" w:space="0"/>
            </w:tcBorders>
            <w:vAlign w:val="center"/>
          </w:tcPr>
          <w:p w14:paraId="2FFCAD8D">
            <w:pPr>
              <w:spacing w:line="360" w:lineRule="auto"/>
              <w:jc w:val="center"/>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60天</w:t>
            </w:r>
          </w:p>
        </w:tc>
        <w:tc>
          <w:tcPr>
            <w:tcW w:w="1107" w:type="dxa"/>
            <w:tcBorders>
              <w:top w:val="single" w:color="auto" w:sz="4" w:space="0"/>
              <w:bottom w:val="single" w:color="auto" w:sz="4" w:space="0"/>
              <w:right w:val="single" w:color="auto" w:sz="4" w:space="0"/>
            </w:tcBorders>
            <w:vAlign w:val="center"/>
          </w:tcPr>
          <w:p w14:paraId="0BB8F135">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详见附件</w:t>
            </w:r>
          </w:p>
        </w:tc>
      </w:tr>
    </w:tbl>
    <w:p w14:paraId="1D2E5A93">
      <w:pPr>
        <w:pStyle w:val="17"/>
        <w:rPr>
          <w:rFonts w:ascii="宋体" w:hAnsi="宋体" w:eastAsia="宋体" w:cs="宋体"/>
          <w:sz w:val="24"/>
          <w:szCs w:val="24"/>
          <w:highlight w:val="none"/>
        </w:rPr>
      </w:pPr>
      <w:r>
        <w:rPr>
          <w:rFonts w:hint="eastAsia" w:ascii="宋体" w:hAnsi="宋体" w:eastAsia="宋体" w:cs="宋体"/>
          <w:snapToGrid w:val="0"/>
          <w:color w:val="000000"/>
          <w:sz w:val="24"/>
          <w:szCs w:val="24"/>
          <w:highlight w:val="none"/>
          <w:lang w:val="en-US" w:eastAsia="zh-CN" w:bidi="ar-SA"/>
        </w:rPr>
        <w:t>(具体相关信息如技术参数、规格、质量标准、包装、运输费等要求请与我单位相关人员联系，联系人:邓晓清   联系电话: 13950966034)</w:t>
      </w:r>
    </w:p>
    <w:p w14:paraId="2007908E">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2、交货地点：中国机械总院集团海西（福建）分院有限公司指定地点。</w:t>
      </w:r>
    </w:p>
    <w:p w14:paraId="4279310B">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3、投标截止时间：202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19日</w:t>
      </w:r>
      <w:r>
        <w:rPr>
          <w:rFonts w:hint="eastAsia" w:ascii="宋体" w:hAnsi="宋体" w:eastAsia="宋体" w:cs="宋体"/>
          <w:sz w:val="24"/>
          <w:szCs w:val="24"/>
          <w:highlight w:val="none"/>
        </w:rPr>
        <w:t>。</w:t>
      </w:r>
    </w:p>
    <w:p w14:paraId="5AABEC10">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4、投标文件的递交：拟参加本次投标的单位请于投标截止时间之前，将密封并加盖公章的文件袋，用特快专递方式邮寄到我单位（投标文件正本一份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副本四份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电子档发一份至邮箱hxfycg@163.com，</w:t>
      </w:r>
      <w:r>
        <w:rPr>
          <w:rFonts w:hint="eastAsia" w:ascii="宋体" w:hAnsi="宋体" w:eastAsia="宋体" w:cs="宋体"/>
          <w:sz w:val="24"/>
          <w:szCs w:val="24"/>
          <w:highlight w:val="none"/>
        </w:rPr>
        <w:t>原则上不接受当面递送。我们将在投标截止时间后，组织开标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19日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开标地点：海西分院会议室。</w:t>
      </w:r>
    </w:p>
    <w:p w14:paraId="60C3E269">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5、相关要求：</w:t>
      </w:r>
    </w:p>
    <w:p w14:paraId="3661F697">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报价单需按照我公司提供的样表填写，特殊情况可稍作调整，内容必须填写完整、真实和准确。除投标报价表外，不得对文件格式和内容进行修改，如发现投标文件未按我公司提供的招标文件格式填写，将视为废标。</w:t>
      </w:r>
    </w:p>
    <w:p w14:paraId="79E376DB">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密封文件袋上必须标注项目名称和投标单位名称,并注明“正式开标前，不得开启”字样。</w:t>
      </w:r>
    </w:p>
    <w:p w14:paraId="2121B439">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投标人投标时应提供加盖单位公章的项目技术方案、供货业绩及营业执照副本、资质证书、安全生产许可证等证书复印件。</w:t>
      </w:r>
    </w:p>
    <w:p w14:paraId="06ABD3D7">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6、凡对本次招标的有关事项需要咨询或有异议时，请在202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日前与相关负责人联系。关于评标结果，我们将会在评标结束之后第一时间告知。</w:t>
      </w:r>
    </w:p>
    <w:p w14:paraId="713DBA6F">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7、联系方式：</w:t>
      </w:r>
    </w:p>
    <w:p w14:paraId="4516B0C8">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招标人：中国机械总院集团海西（福建）分院有限公司</w:t>
      </w:r>
    </w:p>
    <w:p w14:paraId="498D25B4">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李浩东</w:t>
      </w:r>
    </w:p>
    <w:p w14:paraId="79969170">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18707194032</w:t>
      </w:r>
    </w:p>
    <w:p w14:paraId="316AD57D">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纪检监督电话：0598</w:t>
      </w:r>
      <w:r>
        <w:rPr>
          <w:rFonts w:hint="eastAsia" w:ascii="宋体" w:hAnsi="宋体" w:eastAsia="宋体" w:cs="宋体"/>
          <w:sz w:val="24"/>
          <w:szCs w:val="24"/>
          <w:highlight w:val="none"/>
          <w:lang w:val="en-US" w:eastAsia="zh-CN"/>
        </w:rPr>
        <w:t>-5053285</w:t>
      </w:r>
    </w:p>
    <w:p w14:paraId="481CBC53">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地址：福建省三明市沙县区金沙园开发区创新东路413号</w:t>
      </w:r>
    </w:p>
    <w:p w14:paraId="722F80B4">
      <w:pPr>
        <w:pStyle w:val="17"/>
        <w:spacing w:line="360" w:lineRule="auto"/>
        <w:ind w:firstLine="480"/>
        <w:rPr>
          <w:sz w:val="24"/>
          <w:szCs w:val="24"/>
          <w:highlight w:val="none"/>
        </w:rPr>
      </w:pPr>
    </w:p>
    <w:p w14:paraId="6FAF95AD">
      <w:pPr>
        <w:widowControl w:val="0"/>
        <w:kinsoku/>
        <w:adjustRightInd/>
        <w:snapToGrid/>
        <w:spacing w:line="360" w:lineRule="auto"/>
        <w:ind w:firstLine="468" w:firstLineChars="200"/>
        <w:textAlignment w:val="auto"/>
        <w:rPr>
          <w:rFonts w:eastAsia="宋体"/>
          <w:spacing w:val="-3"/>
          <w:sz w:val="24"/>
          <w:szCs w:val="24"/>
          <w:highlight w:val="none"/>
        </w:rPr>
      </w:pPr>
      <w:r>
        <w:rPr>
          <w:spacing w:val="-3"/>
          <w:sz w:val="24"/>
          <w:szCs w:val="24"/>
          <w:highlight w:val="none"/>
        </w:rPr>
        <w:t>附件：</w:t>
      </w:r>
      <w:r>
        <w:rPr>
          <w:rFonts w:hint="eastAsia" w:eastAsia="宋体"/>
          <w:spacing w:val="-3"/>
          <w:sz w:val="24"/>
          <w:szCs w:val="24"/>
          <w:highlight w:val="none"/>
        </w:rPr>
        <w:t>《</w:t>
      </w:r>
      <w:r>
        <w:rPr>
          <w:spacing w:val="-3"/>
          <w:sz w:val="24"/>
          <w:szCs w:val="24"/>
          <w:highlight w:val="none"/>
        </w:rPr>
        <w:t>技术</w:t>
      </w:r>
      <w:r>
        <w:rPr>
          <w:rFonts w:hint="eastAsia" w:eastAsia="宋体"/>
          <w:spacing w:val="-3"/>
          <w:sz w:val="24"/>
          <w:szCs w:val="24"/>
          <w:highlight w:val="none"/>
          <w:lang w:val="en-US" w:eastAsia="zh-CN"/>
        </w:rPr>
        <w:t>要求</w:t>
      </w:r>
      <w:r>
        <w:rPr>
          <w:rFonts w:hint="eastAsia" w:eastAsia="宋体"/>
          <w:spacing w:val="-3"/>
          <w:sz w:val="24"/>
          <w:szCs w:val="24"/>
          <w:highlight w:val="none"/>
        </w:rPr>
        <w:t>》</w:t>
      </w:r>
    </w:p>
    <w:p w14:paraId="28DF8B10">
      <w:pPr>
        <w:pStyle w:val="17"/>
        <w:spacing w:line="360" w:lineRule="auto"/>
        <w:ind w:firstLine="1170" w:firstLineChars="500"/>
        <w:rPr>
          <w:rFonts w:eastAsia="宋体"/>
          <w:highlight w:val="none"/>
        </w:rPr>
      </w:pPr>
      <w:r>
        <w:rPr>
          <w:rFonts w:hint="eastAsia" w:eastAsia="宋体"/>
          <w:spacing w:val="-3"/>
          <w:sz w:val="24"/>
          <w:szCs w:val="24"/>
          <w:highlight w:val="none"/>
        </w:rPr>
        <w:t>《</w:t>
      </w:r>
      <w:r>
        <w:rPr>
          <w:rFonts w:hint="eastAsia" w:eastAsia="宋体"/>
          <w:spacing w:val="-3"/>
          <w:sz w:val="24"/>
          <w:szCs w:val="24"/>
          <w:highlight w:val="none"/>
          <w:lang w:val="en-US" w:eastAsia="zh-CN"/>
        </w:rPr>
        <w:t>商务</w:t>
      </w:r>
      <w:r>
        <w:rPr>
          <w:rFonts w:hint="eastAsia" w:eastAsia="宋体"/>
          <w:spacing w:val="-3"/>
          <w:sz w:val="24"/>
          <w:szCs w:val="24"/>
          <w:highlight w:val="none"/>
        </w:rPr>
        <w:t>要求》</w:t>
      </w:r>
    </w:p>
    <w:p w14:paraId="056BA5FB">
      <w:pPr>
        <w:tabs>
          <w:tab w:val="left" w:pos="1446"/>
        </w:tabs>
        <w:spacing w:line="360" w:lineRule="auto"/>
        <w:ind w:left="112" w:right="26" w:firstLine="490"/>
        <w:jc w:val="right"/>
        <w:rPr>
          <w:rFonts w:ascii="宋体" w:hAnsi="宋体" w:eastAsia="宋体" w:cs="宋体"/>
          <w:sz w:val="24"/>
          <w:szCs w:val="24"/>
          <w:highlight w:val="none"/>
        </w:rPr>
      </w:pPr>
    </w:p>
    <w:p w14:paraId="177B4FF6">
      <w:pPr>
        <w:tabs>
          <w:tab w:val="left" w:pos="1446"/>
        </w:tabs>
        <w:spacing w:line="360" w:lineRule="auto"/>
        <w:ind w:left="112" w:right="26" w:firstLine="490"/>
        <w:jc w:val="righ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中国机械总院集团海西（福建）分院有限公司</w:t>
      </w:r>
    </w:p>
    <w:p w14:paraId="1FE498DA">
      <w:pPr>
        <w:tabs>
          <w:tab w:val="left" w:pos="1446"/>
        </w:tabs>
        <w:spacing w:line="360" w:lineRule="auto"/>
        <w:ind w:left="112" w:right="26" w:firstLine="5349" w:firstLineChars="2229"/>
        <w:rPr>
          <w:rFonts w:ascii="宋体" w:hAnsi="宋体" w:eastAsia="宋体" w:cs="宋体"/>
          <w:sz w:val="24"/>
          <w:szCs w:val="24"/>
          <w:highlight w:val="none"/>
        </w:rPr>
      </w:pPr>
      <w:r>
        <w:rPr>
          <w:rFonts w:hint="eastAsia" w:ascii="宋体" w:hAnsi="宋体" w:eastAsia="宋体" w:cs="宋体"/>
          <w:sz w:val="24"/>
          <w:szCs w:val="24"/>
          <w:highlight w:val="none"/>
        </w:rPr>
        <w:t>招标委员会办公室</w:t>
      </w:r>
    </w:p>
    <w:p w14:paraId="4E28989B">
      <w:pPr>
        <w:tabs>
          <w:tab w:val="left" w:pos="1446"/>
        </w:tabs>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日</w:t>
      </w:r>
    </w:p>
    <w:p w14:paraId="4673A3CE">
      <w:pPr>
        <w:spacing w:before="79" w:line="360" w:lineRule="auto"/>
        <w:jc w:val="center"/>
        <w:rPr>
          <w:b/>
          <w:kern w:val="24"/>
          <w:sz w:val="24"/>
          <w:szCs w:val="24"/>
          <w:highlight w:val="none"/>
        </w:rPr>
      </w:pPr>
    </w:p>
    <w:p w14:paraId="1B390E28">
      <w:pPr>
        <w:spacing w:before="79" w:line="360" w:lineRule="auto"/>
        <w:jc w:val="center"/>
        <w:rPr>
          <w:b/>
          <w:kern w:val="24"/>
          <w:sz w:val="24"/>
          <w:szCs w:val="24"/>
          <w:highlight w:val="none"/>
        </w:rPr>
      </w:pPr>
    </w:p>
    <w:p w14:paraId="77EB6FC7">
      <w:pPr>
        <w:spacing w:line="360" w:lineRule="auto"/>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24"/>
          <w:szCs w:val="24"/>
          <w:highlight w:val="none"/>
          <w14:textOutline w14:w="6527" w14:cap="flat" w14:cmpd="sng" w14:algn="ctr">
            <w14:solidFill>
              <w14:srgbClr w14:val="000000"/>
            </w14:solidFill>
            <w14:prstDash w14:val="solid"/>
            <w14:miter w14:val="0"/>
          </w14:textOutline>
        </w:rPr>
        <w:br w:type="page"/>
      </w:r>
    </w:p>
    <w:tbl>
      <w:tblPr>
        <w:tblStyle w:val="13"/>
        <w:tblpPr w:leftFromText="180" w:rightFromText="180" w:vertAnchor="page" w:horzAnchor="page" w:tblpX="1459" w:tblpY="3694"/>
        <w:tblOverlap w:val="never"/>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317"/>
        <w:gridCol w:w="1816"/>
        <w:gridCol w:w="2165"/>
        <w:gridCol w:w="1421"/>
      </w:tblGrid>
      <w:tr w14:paraId="66C3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4094" w:type="dxa"/>
            <w:gridSpan w:val="2"/>
            <w:noWrap w:val="0"/>
            <w:vAlign w:val="center"/>
          </w:tcPr>
          <w:p w14:paraId="3230196C">
            <w:pPr>
              <w:pStyle w:val="6"/>
              <w:ind w:firstLine="0" w:firstLineChars="0"/>
              <w:jc w:val="center"/>
              <w:rPr>
                <w:rFonts w:ascii="Arial" w:hAnsi="Arial" w:cs="Arial"/>
                <w:color w:val="000000"/>
              </w:rPr>
            </w:pPr>
            <w:r>
              <w:rPr>
                <w:rFonts w:ascii="Arial" w:hAnsi="Arial" w:cs="Arial"/>
                <w:color w:val="000000"/>
              </w:rPr>
              <w:t>名      称</w:t>
            </w:r>
          </w:p>
        </w:tc>
        <w:tc>
          <w:tcPr>
            <w:tcW w:w="1816" w:type="dxa"/>
            <w:noWrap w:val="0"/>
            <w:vAlign w:val="center"/>
          </w:tcPr>
          <w:p w14:paraId="6A18F2C3">
            <w:pPr>
              <w:pStyle w:val="6"/>
              <w:ind w:firstLine="0" w:firstLineChars="0"/>
              <w:jc w:val="center"/>
              <w:rPr>
                <w:rFonts w:ascii="Arial" w:hAnsi="Arial" w:cs="Arial"/>
                <w:color w:val="000000"/>
              </w:rPr>
            </w:pPr>
            <w:r>
              <w:rPr>
                <w:rFonts w:ascii="Arial" w:hAnsi="Arial" w:cs="Arial"/>
                <w:color w:val="000000"/>
              </w:rPr>
              <w:t>单    位</w:t>
            </w:r>
          </w:p>
        </w:tc>
        <w:tc>
          <w:tcPr>
            <w:tcW w:w="2165" w:type="dxa"/>
            <w:noWrap w:val="0"/>
            <w:vAlign w:val="center"/>
          </w:tcPr>
          <w:p w14:paraId="2533BD47">
            <w:pPr>
              <w:pStyle w:val="6"/>
              <w:ind w:firstLine="0" w:firstLineChars="0"/>
              <w:jc w:val="center"/>
              <w:rPr>
                <w:rFonts w:ascii="Arial" w:hAnsi="Arial" w:cs="Arial"/>
                <w:color w:val="000000"/>
              </w:rPr>
            </w:pPr>
            <w:r>
              <w:rPr>
                <w:rFonts w:ascii="Arial" w:hAnsi="Arial" w:cs="Arial"/>
                <w:color w:val="000000"/>
              </w:rPr>
              <w:t>参     数</w:t>
            </w:r>
          </w:p>
        </w:tc>
        <w:tc>
          <w:tcPr>
            <w:tcW w:w="1421" w:type="dxa"/>
            <w:noWrap w:val="0"/>
            <w:vAlign w:val="center"/>
          </w:tcPr>
          <w:p w14:paraId="369786A4">
            <w:pPr>
              <w:pStyle w:val="6"/>
              <w:ind w:firstLine="0" w:firstLineChars="0"/>
              <w:jc w:val="center"/>
              <w:rPr>
                <w:rFonts w:ascii="Arial" w:hAnsi="Arial" w:cs="Arial"/>
                <w:color w:val="000000"/>
              </w:rPr>
            </w:pPr>
            <w:r>
              <w:rPr>
                <w:rFonts w:ascii="Arial" w:hAnsi="Arial" w:cs="Arial"/>
                <w:color w:val="000000"/>
              </w:rPr>
              <w:t>备    注</w:t>
            </w:r>
          </w:p>
        </w:tc>
      </w:tr>
      <w:tr w14:paraId="38A7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77" w:type="dxa"/>
            <w:vMerge w:val="restart"/>
            <w:noWrap w:val="0"/>
            <w:vAlign w:val="center"/>
          </w:tcPr>
          <w:p w14:paraId="2FC9D0BC">
            <w:pPr>
              <w:pStyle w:val="6"/>
              <w:ind w:firstLine="0" w:firstLineChars="0"/>
              <w:jc w:val="center"/>
              <w:rPr>
                <w:rFonts w:ascii="Arial" w:hAnsi="Arial" w:cs="Arial"/>
                <w:color w:val="000000"/>
              </w:rPr>
            </w:pPr>
            <w:r>
              <w:rPr>
                <w:rFonts w:ascii="Arial" w:hAnsi="Arial" w:cs="Arial"/>
                <w:color w:val="000000"/>
              </w:rPr>
              <w:t>加</w:t>
            </w:r>
          </w:p>
          <w:p w14:paraId="79A16B92">
            <w:pPr>
              <w:pStyle w:val="6"/>
              <w:ind w:firstLine="0" w:firstLineChars="0"/>
              <w:jc w:val="center"/>
              <w:rPr>
                <w:rFonts w:ascii="Arial" w:hAnsi="Arial" w:cs="Arial"/>
                <w:color w:val="000000"/>
              </w:rPr>
            </w:pPr>
            <w:r>
              <w:rPr>
                <w:rFonts w:ascii="Arial" w:hAnsi="Arial" w:cs="Arial"/>
                <w:color w:val="000000"/>
              </w:rPr>
              <w:t>工</w:t>
            </w:r>
          </w:p>
          <w:p w14:paraId="5CDAFA9D">
            <w:pPr>
              <w:pStyle w:val="6"/>
              <w:ind w:firstLine="0" w:firstLineChars="0"/>
              <w:jc w:val="center"/>
              <w:rPr>
                <w:rFonts w:ascii="Arial" w:hAnsi="Arial" w:cs="Arial"/>
                <w:color w:val="000000"/>
              </w:rPr>
            </w:pPr>
            <w:r>
              <w:rPr>
                <w:rFonts w:ascii="Arial" w:hAnsi="Arial" w:cs="Arial"/>
                <w:color w:val="000000"/>
              </w:rPr>
              <w:t>范</w:t>
            </w:r>
          </w:p>
          <w:p w14:paraId="4B4F987D">
            <w:pPr>
              <w:pStyle w:val="6"/>
              <w:ind w:firstLine="0" w:firstLineChars="0"/>
              <w:jc w:val="center"/>
              <w:rPr>
                <w:rFonts w:ascii="Arial" w:hAnsi="Arial" w:cs="Arial"/>
                <w:color w:val="000000"/>
              </w:rPr>
            </w:pPr>
            <w:r>
              <w:rPr>
                <w:rFonts w:ascii="Arial" w:hAnsi="Arial" w:cs="Arial"/>
                <w:color w:val="000000"/>
              </w:rPr>
              <w:t>围</w:t>
            </w:r>
          </w:p>
        </w:tc>
        <w:tc>
          <w:tcPr>
            <w:tcW w:w="3317" w:type="dxa"/>
            <w:noWrap w:val="0"/>
            <w:vAlign w:val="center"/>
          </w:tcPr>
          <w:p w14:paraId="2F9D1B52">
            <w:pPr>
              <w:pStyle w:val="6"/>
              <w:ind w:firstLine="0" w:firstLineChars="0"/>
              <w:rPr>
                <w:rFonts w:ascii="Arial" w:hAnsi="Arial" w:cs="Arial"/>
                <w:color w:val="000000"/>
              </w:rPr>
            </w:pPr>
            <w:r>
              <w:rPr>
                <w:rFonts w:ascii="Arial" w:hAnsi="Arial" w:cs="Arial"/>
                <w:color w:val="000000"/>
              </w:rPr>
              <w:t>工作台行程(X轴)</w:t>
            </w:r>
          </w:p>
        </w:tc>
        <w:tc>
          <w:tcPr>
            <w:tcW w:w="1816" w:type="dxa"/>
            <w:noWrap w:val="0"/>
            <w:vAlign w:val="center"/>
          </w:tcPr>
          <w:p w14:paraId="4E0F3AF6">
            <w:pPr>
              <w:pStyle w:val="6"/>
              <w:ind w:firstLine="0" w:firstLineChars="0"/>
              <w:jc w:val="center"/>
              <w:rPr>
                <w:rFonts w:ascii="Arial" w:hAnsi="Arial" w:cs="Arial"/>
                <w:color w:val="000000"/>
              </w:rPr>
            </w:pPr>
            <w:r>
              <w:rPr>
                <w:rFonts w:ascii="Arial" w:hAnsi="Arial" w:cs="Arial"/>
                <w:color w:val="000000"/>
              </w:rPr>
              <w:t>mm</w:t>
            </w:r>
          </w:p>
        </w:tc>
        <w:tc>
          <w:tcPr>
            <w:tcW w:w="2165" w:type="dxa"/>
            <w:noWrap w:val="0"/>
            <w:vAlign w:val="center"/>
          </w:tcPr>
          <w:p w14:paraId="5A085157">
            <w:pPr>
              <w:pStyle w:val="6"/>
              <w:ind w:firstLine="0" w:firstLineChars="0"/>
              <w:jc w:val="center"/>
              <w:rPr>
                <w:rFonts w:ascii="Arial" w:hAnsi="Arial" w:cs="Arial"/>
                <w:color w:val="000000"/>
              </w:rPr>
            </w:pPr>
            <w:r>
              <w:rPr>
                <w:rFonts w:ascii="Arial" w:hAnsi="Arial" w:cs="Arial"/>
                <w:color w:val="000000"/>
              </w:rPr>
              <w:t>4200</w:t>
            </w:r>
          </w:p>
        </w:tc>
        <w:tc>
          <w:tcPr>
            <w:tcW w:w="1421" w:type="dxa"/>
            <w:noWrap w:val="0"/>
            <w:vAlign w:val="center"/>
          </w:tcPr>
          <w:p w14:paraId="3DC0A5A2">
            <w:pPr>
              <w:pStyle w:val="6"/>
              <w:ind w:firstLine="0" w:firstLineChars="0"/>
              <w:rPr>
                <w:rFonts w:ascii="Arial" w:hAnsi="Arial" w:cs="Arial"/>
                <w:color w:val="000000"/>
              </w:rPr>
            </w:pPr>
          </w:p>
        </w:tc>
      </w:tr>
      <w:tr w14:paraId="0AD8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77" w:type="dxa"/>
            <w:vMerge w:val="continue"/>
            <w:noWrap w:val="0"/>
            <w:vAlign w:val="center"/>
          </w:tcPr>
          <w:p w14:paraId="4A657E59">
            <w:pPr>
              <w:pStyle w:val="6"/>
              <w:ind w:firstLine="100" w:firstLineChars="50"/>
              <w:rPr>
                <w:rFonts w:ascii="Arial" w:hAnsi="Arial" w:cs="Arial"/>
                <w:color w:val="000000"/>
              </w:rPr>
            </w:pPr>
          </w:p>
        </w:tc>
        <w:tc>
          <w:tcPr>
            <w:tcW w:w="3317" w:type="dxa"/>
            <w:noWrap w:val="0"/>
            <w:vAlign w:val="center"/>
          </w:tcPr>
          <w:p w14:paraId="2BE5B30E">
            <w:pPr>
              <w:pStyle w:val="6"/>
              <w:ind w:firstLine="0" w:firstLineChars="0"/>
              <w:rPr>
                <w:rFonts w:ascii="Arial" w:hAnsi="Arial" w:cs="Arial"/>
                <w:color w:val="000000"/>
              </w:rPr>
            </w:pPr>
            <w:r>
              <w:rPr>
                <w:rFonts w:ascii="Arial" w:hAnsi="Arial" w:cs="Arial"/>
                <w:color w:val="000000"/>
              </w:rPr>
              <w:t>滑鞍行程(Y轴)</w:t>
            </w:r>
          </w:p>
        </w:tc>
        <w:tc>
          <w:tcPr>
            <w:tcW w:w="1816" w:type="dxa"/>
            <w:noWrap w:val="0"/>
            <w:vAlign w:val="center"/>
          </w:tcPr>
          <w:p w14:paraId="7C8179B5">
            <w:pPr>
              <w:pStyle w:val="6"/>
              <w:ind w:firstLine="0" w:firstLineChars="0"/>
              <w:jc w:val="center"/>
              <w:rPr>
                <w:rFonts w:ascii="Arial" w:hAnsi="Arial" w:cs="Arial"/>
                <w:color w:val="000000"/>
              </w:rPr>
            </w:pPr>
            <w:r>
              <w:rPr>
                <w:rFonts w:ascii="Arial" w:hAnsi="Arial" w:cs="Arial"/>
                <w:color w:val="000000"/>
              </w:rPr>
              <w:t>mm</w:t>
            </w:r>
          </w:p>
        </w:tc>
        <w:tc>
          <w:tcPr>
            <w:tcW w:w="2165" w:type="dxa"/>
            <w:noWrap w:val="0"/>
            <w:vAlign w:val="center"/>
          </w:tcPr>
          <w:p w14:paraId="572CF82C">
            <w:pPr>
              <w:pStyle w:val="6"/>
              <w:ind w:firstLine="0" w:firstLineChars="0"/>
              <w:jc w:val="center"/>
              <w:rPr>
                <w:rFonts w:ascii="Arial" w:hAnsi="Arial" w:cs="Arial"/>
                <w:color w:val="000000"/>
              </w:rPr>
            </w:pPr>
            <w:r>
              <w:rPr>
                <w:rFonts w:ascii="Arial" w:hAnsi="Arial" w:cs="Arial"/>
                <w:color w:val="000000"/>
              </w:rPr>
              <w:t>3200</w:t>
            </w:r>
          </w:p>
        </w:tc>
        <w:tc>
          <w:tcPr>
            <w:tcW w:w="1421" w:type="dxa"/>
            <w:noWrap w:val="0"/>
            <w:vAlign w:val="center"/>
          </w:tcPr>
          <w:p w14:paraId="3DA50083">
            <w:pPr>
              <w:pStyle w:val="6"/>
              <w:ind w:firstLine="0" w:firstLineChars="0"/>
              <w:rPr>
                <w:rFonts w:ascii="Arial" w:hAnsi="Arial" w:cs="Arial"/>
                <w:color w:val="000000"/>
              </w:rPr>
            </w:pPr>
          </w:p>
        </w:tc>
      </w:tr>
      <w:tr w14:paraId="6D1F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77" w:type="dxa"/>
            <w:vMerge w:val="continue"/>
            <w:noWrap w:val="0"/>
            <w:vAlign w:val="center"/>
          </w:tcPr>
          <w:p w14:paraId="46C8B9F7">
            <w:pPr>
              <w:pStyle w:val="6"/>
              <w:ind w:firstLine="480"/>
              <w:rPr>
                <w:rFonts w:ascii="Arial" w:hAnsi="Arial" w:cs="Arial"/>
                <w:color w:val="000000"/>
              </w:rPr>
            </w:pPr>
          </w:p>
        </w:tc>
        <w:tc>
          <w:tcPr>
            <w:tcW w:w="3317" w:type="dxa"/>
            <w:noWrap w:val="0"/>
            <w:vAlign w:val="center"/>
          </w:tcPr>
          <w:p w14:paraId="55C205D1">
            <w:pPr>
              <w:pStyle w:val="6"/>
              <w:ind w:firstLine="0" w:firstLineChars="0"/>
              <w:rPr>
                <w:rFonts w:ascii="Arial" w:hAnsi="Arial" w:cs="Arial"/>
                <w:color w:val="000000"/>
              </w:rPr>
            </w:pPr>
            <w:r>
              <w:rPr>
                <w:rFonts w:ascii="Arial" w:hAnsi="Arial" w:cs="Arial"/>
                <w:color w:val="000000"/>
              </w:rPr>
              <w:t>主轴箱行程(Z轴)</w:t>
            </w:r>
          </w:p>
        </w:tc>
        <w:tc>
          <w:tcPr>
            <w:tcW w:w="1816" w:type="dxa"/>
            <w:noWrap w:val="0"/>
            <w:vAlign w:val="center"/>
          </w:tcPr>
          <w:p w14:paraId="296881D5">
            <w:pPr>
              <w:pStyle w:val="6"/>
              <w:ind w:firstLine="0" w:firstLineChars="0"/>
              <w:jc w:val="center"/>
              <w:rPr>
                <w:rFonts w:ascii="Arial" w:hAnsi="Arial" w:cs="Arial"/>
                <w:color w:val="000000"/>
              </w:rPr>
            </w:pPr>
            <w:r>
              <w:rPr>
                <w:rFonts w:ascii="Arial" w:hAnsi="Arial" w:cs="Arial"/>
                <w:color w:val="000000"/>
              </w:rPr>
              <w:t>mm</w:t>
            </w:r>
          </w:p>
        </w:tc>
        <w:tc>
          <w:tcPr>
            <w:tcW w:w="2165" w:type="dxa"/>
            <w:noWrap w:val="0"/>
            <w:vAlign w:val="center"/>
          </w:tcPr>
          <w:p w14:paraId="575FEFBF">
            <w:pPr>
              <w:pStyle w:val="6"/>
              <w:ind w:firstLine="0" w:firstLineChars="0"/>
              <w:jc w:val="center"/>
              <w:rPr>
                <w:rFonts w:ascii="Arial" w:hAnsi="Arial" w:cs="Arial"/>
                <w:color w:val="000000"/>
              </w:rPr>
            </w:pPr>
            <w:r>
              <w:rPr>
                <w:rFonts w:ascii="Arial" w:hAnsi="Arial" w:cs="Arial"/>
                <w:color w:val="000000"/>
              </w:rPr>
              <w:t>1000</w:t>
            </w:r>
          </w:p>
        </w:tc>
        <w:tc>
          <w:tcPr>
            <w:tcW w:w="1421" w:type="dxa"/>
            <w:noWrap w:val="0"/>
            <w:vAlign w:val="center"/>
          </w:tcPr>
          <w:p w14:paraId="5B3A1194">
            <w:pPr>
              <w:pStyle w:val="6"/>
              <w:ind w:firstLine="0" w:firstLineChars="0"/>
              <w:rPr>
                <w:rFonts w:ascii="Arial" w:hAnsi="Arial" w:cs="Arial"/>
                <w:color w:val="000000"/>
              </w:rPr>
            </w:pPr>
          </w:p>
        </w:tc>
      </w:tr>
      <w:tr w14:paraId="2FCF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77" w:type="dxa"/>
            <w:vMerge w:val="continue"/>
            <w:noWrap w:val="0"/>
            <w:vAlign w:val="center"/>
          </w:tcPr>
          <w:p w14:paraId="33E3116D">
            <w:pPr>
              <w:pStyle w:val="6"/>
              <w:ind w:firstLine="480"/>
              <w:rPr>
                <w:rFonts w:ascii="Arial" w:hAnsi="Arial" w:cs="Arial"/>
                <w:color w:val="000000"/>
              </w:rPr>
            </w:pPr>
          </w:p>
        </w:tc>
        <w:tc>
          <w:tcPr>
            <w:tcW w:w="3317" w:type="dxa"/>
            <w:noWrap w:val="0"/>
            <w:vAlign w:val="center"/>
          </w:tcPr>
          <w:p w14:paraId="6204EB21">
            <w:pPr>
              <w:pStyle w:val="6"/>
              <w:ind w:firstLine="0" w:firstLineChars="0"/>
              <w:rPr>
                <w:rFonts w:ascii="Arial" w:hAnsi="Arial" w:cs="Arial"/>
                <w:color w:val="000000"/>
              </w:rPr>
            </w:pPr>
            <w:r>
              <w:rPr>
                <w:rFonts w:ascii="Arial" w:hAnsi="Arial" w:cs="Arial"/>
                <w:color w:val="000000"/>
              </w:rPr>
              <w:t>主轴端面到工作台面距离</w:t>
            </w:r>
          </w:p>
        </w:tc>
        <w:tc>
          <w:tcPr>
            <w:tcW w:w="1816" w:type="dxa"/>
            <w:noWrap w:val="0"/>
            <w:vAlign w:val="center"/>
          </w:tcPr>
          <w:p w14:paraId="5446548C">
            <w:pPr>
              <w:pStyle w:val="6"/>
              <w:ind w:firstLine="0" w:firstLineChars="0"/>
              <w:jc w:val="center"/>
              <w:rPr>
                <w:rFonts w:ascii="Arial" w:hAnsi="Arial" w:cs="Arial"/>
                <w:color w:val="000000"/>
              </w:rPr>
            </w:pPr>
            <w:r>
              <w:rPr>
                <w:rFonts w:ascii="Arial" w:hAnsi="Arial" w:cs="Arial"/>
                <w:color w:val="000000"/>
              </w:rPr>
              <w:t>mm</w:t>
            </w:r>
          </w:p>
        </w:tc>
        <w:tc>
          <w:tcPr>
            <w:tcW w:w="2165" w:type="dxa"/>
            <w:noWrap w:val="0"/>
            <w:vAlign w:val="center"/>
          </w:tcPr>
          <w:p w14:paraId="308B04A8">
            <w:pPr>
              <w:pStyle w:val="6"/>
              <w:ind w:firstLine="0" w:firstLineChars="0"/>
              <w:jc w:val="center"/>
              <w:rPr>
                <w:rFonts w:ascii="Arial" w:hAnsi="Arial" w:cs="Arial"/>
                <w:color w:val="000000"/>
              </w:rPr>
            </w:pPr>
            <w:r>
              <w:rPr>
                <w:rFonts w:ascii="Arial" w:hAnsi="Arial" w:cs="Arial"/>
                <w:color w:val="000000"/>
              </w:rPr>
              <w:t>200～1200</w:t>
            </w:r>
          </w:p>
        </w:tc>
        <w:tc>
          <w:tcPr>
            <w:tcW w:w="1421" w:type="dxa"/>
            <w:noWrap w:val="0"/>
            <w:vAlign w:val="center"/>
          </w:tcPr>
          <w:p w14:paraId="602CA2FF">
            <w:pPr>
              <w:pStyle w:val="6"/>
              <w:ind w:firstLine="0" w:firstLineChars="0"/>
              <w:rPr>
                <w:rFonts w:hint="default" w:ascii="Arial" w:hAnsi="Arial" w:eastAsia="宋体" w:cs="Arial"/>
                <w:color w:val="000000"/>
                <w:lang w:val="en-US" w:eastAsia="zh-CN"/>
              </w:rPr>
            </w:pPr>
            <w:r>
              <w:rPr>
                <w:rFonts w:hint="eastAsia" w:ascii="Arial" w:hAnsi="Arial" w:cs="Arial"/>
                <w:color w:val="000000"/>
                <w:lang w:val="en-US" w:eastAsia="zh-CN"/>
              </w:rPr>
              <w:t>可加高z轴到1.6米</w:t>
            </w:r>
          </w:p>
        </w:tc>
      </w:tr>
      <w:tr w14:paraId="0ED2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77" w:type="dxa"/>
            <w:vMerge w:val="continue"/>
            <w:noWrap w:val="0"/>
            <w:vAlign w:val="center"/>
          </w:tcPr>
          <w:p w14:paraId="4B637D3F">
            <w:pPr>
              <w:pStyle w:val="6"/>
              <w:ind w:firstLine="480"/>
              <w:rPr>
                <w:rFonts w:ascii="Arial" w:hAnsi="Arial" w:cs="Arial"/>
                <w:color w:val="000000"/>
              </w:rPr>
            </w:pPr>
          </w:p>
        </w:tc>
        <w:tc>
          <w:tcPr>
            <w:tcW w:w="3317" w:type="dxa"/>
            <w:noWrap w:val="0"/>
            <w:vAlign w:val="center"/>
          </w:tcPr>
          <w:p w14:paraId="620314AD">
            <w:pPr>
              <w:pStyle w:val="6"/>
              <w:ind w:firstLine="0" w:firstLineChars="0"/>
              <w:rPr>
                <w:rFonts w:ascii="Arial" w:hAnsi="Arial" w:cs="Arial"/>
                <w:color w:val="000000"/>
              </w:rPr>
            </w:pPr>
            <w:r>
              <w:rPr>
                <w:rFonts w:ascii="Arial" w:hAnsi="Arial" w:cs="Arial"/>
                <w:color w:val="000000"/>
              </w:rPr>
              <w:t>两立柱之间距离</w:t>
            </w:r>
          </w:p>
        </w:tc>
        <w:tc>
          <w:tcPr>
            <w:tcW w:w="1816" w:type="dxa"/>
            <w:noWrap w:val="0"/>
            <w:vAlign w:val="center"/>
          </w:tcPr>
          <w:p w14:paraId="62BA7210">
            <w:pPr>
              <w:pStyle w:val="6"/>
              <w:ind w:firstLine="0" w:firstLineChars="0"/>
              <w:jc w:val="center"/>
              <w:rPr>
                <w:rFonts w:ascii="Arial" w:hAnsi="Arial" w:cs="Arial"/>
                <w:color w:val="000000"/>
              </w:rPr>
            </w:pPr>
            <w:r>
              <w:rPr>
                <w:rFonts w:ascii="Arial" w:hAnsi="Arial" w:cs="Arial"/>
                <w:color w:val="000000"/>
              </w:rPr>
              <w:t>mm</w:t>
            </w:r>
          </w:p>
        </w:tc>
        <w:tc>
          <w:tcPr>
            <w:tcW w:w="2165" w:type="dxa"/>
            <w:noWrap w:val="0"/>
            <w:vAlign w:val="center"/>
          </w:tcPr>
          <w:p w14:paraId="01F742A1">
            <w:pPr>
              <w:pStyle w:val="6"/>
              <w:ind w:firstLine="0" w:firstLineChars="0"/>
              <w:jc w:val="center"/>
              <w:rPr>
                <w:rFonts w:ascii="Arial" w:hAnsi="Arial" w:cs="Arial"/>
                <w:color w:val="000000"/>
              </w:rPr>
            </w:pPr>
            <w:r>
              <w:rPr>
                <w:rFonts w:ascii="Arial" w:hAnsi="Arial" w:cs="Arial"/>
                <w:color w:val="000000"/>
              </w:rPr>
              <w:t>2800</w:t>
            </w:r>
          </w:p>
        </w:tc>
        <w:tc>
          <w:tcPr>
            <w:tcW w:w="1421" w:type="dxa"/>
            <w:noWrap w:val="0"/>
            <w:vAlign w:val="center"/>
          </w:tcPr>
          <w:p w14:paraId="56755A11">
            <w:pPr>
              <w:pStyle w:val="6"/>
              <w:ind w:firstLine="0" w:firstLineChars="0"/>
              <w:rPr>
                <w:rFonts w:ascii="Arial" w:hAnsi="Arial" w:cs="Arial"/>
                <w:color w:val="000000"/>
              </w:rPr>
            </w:pPr>
          </w:p>
        </w:tc>
      </w:tr>
      <w:tr w14:paraId="584E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77" w:type="dxa"/>
            <w:vMerge w:val="restart"/>
            <w:noWrap w:val="0"/>
            <w:vAlign w:val="center"/>
          </w:tcPr>
          <w:p w14:paraId="49A3F80F">
            <w:pPr>
              <w:pStyle w:val="6"/>
              <w:ind w:firstLine="0" w:firstLineChars="0"/>
              <w:jc w:val="center"/>
              <w:rPr>
                <w:rFonts w:ascii="Arial" w:hAnsi="Arial" w:cs="Arial"/>
                <w:color w:val="000000"/>
              </w:rPr>
            </w:pPr>
            <w:r>
              <w:rPr>
                <w:rFonts w:ascii="Arial" w:hAnsi="Arial" w:cs="Arial"/>
                <w:color w:val="000000"/>
              </w:rPr>
              <w:t>工</w:t>
            </w:r>
          </w:p>
          <w:p w14:paraId="0D239DEC">
            <w:pPr>
              <w:pStyle w:val="6"/>
              <w:ind w:firstLine="0" w:firstLineChars="0"/>
              <w:jc w:val="center"/>
              <w:rPr>
                <w:rFonts w:ascii="Arial" w:hAnsi="Arial" w:cs="Arial"/>
                <w:color w:val="000000"/>
              </w:rPr>
            </w:pPr>
            <w:r>
              <w:rPr>
                <w:rFonts w:ascii="Arial" w:hAnsi="Arial" w:cs="Arial"/>
                <w:color w:val="000000"/>
              </w:rPr>
              <w:t>作</w:t>
            </w:r>
          </w:p>
          <w:p w14:paraId="1092D228">
            <w:pPr>
              <w:pStyle w:val="6"/>
              <w:ind w:firstLine="0" w:firstLineChars="0"/>
              <w:jc w:val="center"/>
              <w:rPr>
                <w:rFonts w:ascii="Arial" w:hAnsi="Arial" w:cs="Arial"/>
                <w:color w:val="000000"/>
              </w:rPr>
            </w:pPr>
            <w:r>
              <w:rPr>
                <w:rFonts w:ascii="Arial" w:hAnsi="Arial" w:cs="Arial"/>
                <w:color w:val="000000"/>
              </w:rPr>
              <w:t>台</w:t>
            </w:r>
          </w:p>
        </w:tc>
        <w:tc>
          <w:tcPr>
            <w:tcW w:w="3317" w:type="dxa"/>
            <w:noWrap w:val="0"/>
            <w:vAlign w:val="center"/>
          </w:tcPr>
          <w:p w14:paraId="14DF8E76">
            <w:pPr>
              <w:pStyle w:val="6"/>
              <w:ind w:firstLine="0" w:firstLineChars="0"/>
              <w:rPr>
                <w:rFonts w:ascii="Arial" w:hAnsi="Arial" w:cs="Arial"/>
                <w:color w:val="000000"/>
              </w:rPr>
            </w:pPr>
            <w:r>
              <w:rPr>
                <w:rFonts w:ascii="Arial" w:hAnsi="Arial" w:cs="Arial"/>
                <w:color w:val="000000"/>
              </w:rPr>
              <w:t>工作台尺寸（宽×长）</w:t>
            </w:r>
          </w:p>
        </w:tc>
        <w:tc>
          <w:tcPr>
            <w:tcW w:w="1816" w:type="dxa"/>
            <w:noWrap w:val="0"/>
            <w:vAlign w:val="center"/>
          </w:tcPr>
          <w:p w14:paraId="1FBB7B91">
            <w:pPr>
              <w:pStyle w:val="6"/>
              <w:ind w:firstLine="0" w:firstLineChars="0"/>
              <w:jc w:val="center"/>
              <w:rPr>
                <w:rFonts w:ascii="Arial" w:hAnsi="Arial" w:cs="Arial"/>
                <w:color w:val="000000"/>
              </w:rPr>
            </w:pPr>
            <w:r>
              <w:rPr>
                <w:rFonts w:ascii="Arial" w:hAnsi="Arial" w:cs="Arial"/>
                <w:color w:val="000000"/>
              </w:rPr>
              <w:t>mm</w:t>
            </w:r>
          </w:p>
        </w:tc>
        <w:tc>
          <w:tcPr>
            <w:tcW w:w="2165" w:type="dxa"/>
            <w:noWrap w:val="0"/>
            <w:vAlign w:val="center"/>
          </w:tcPr>
          <w:p w14:paraId="1B1E3A7D">
            <w:pPr>
              <w:pStyle w:val="6"/>
              <w:ind w:firstLine="0" w:firstLineChars="0"/>
              <w:jc w:val="center"/>
              <w:rPr>
                <w:rFonts w:ascii="Arial" w:hAnsi="Arial" w:cs="Arial"/>
                <w:color w:val="000000"/>
              </w:rPr>
            </w:pPr>
            <w:r>
              <w:rPr>
                <w:rFonts w:ascii="Arial" w:hAnsi="Arial" w:cs="Arial"/>
                <w:color w:val="000000"/>
              </w:rPr>
              <w:t>2000×4000</w:t>
            </w:r>
          </w:p>
        </w:tc>
        <w:tc>
          <w:tcPr>
            <w:tcW w:w="1421" w:type="dxa"/>
            <w:noWrap w:val="0"/>
            <w:vAlign w:val="center"/>
          </w:tcPr>
          <w:p w14:paraId="0A5DADAC">
            <w:pPr>
              <w:pStyle w:val="6"/>
              <w:ind w:firstLine="0" w:firstLineChars="0"/>
              <w:rPr>
                <w:rFonts w:ascii="Arial" w:hAnsi="Arial" w:cs="Arial"/>
                <w:color w:val="000000"/>
              </w:rPr>
            </w:pPr>
          </w:p>
        </w:tc>
      </w:tr>
      <w:tr w14:paraId="2397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77" w:type="dxa"/>
            <w:vMerge w:val="continue"/>
            <w:noWrap w:val="0"/>
            <w:vAlign w:val="center"/>
          </w:tcPr>
          <w:p w14:paraId="3F21098C">
            <w:pPr>
              <w:pStyle w:val="6"/>
              <w:ind w:firstLine="0" w:firstLineChars="0"/>
              <w:rPr>
                <w:rFonts w:ascii="Arial" w:hAnsi="Arial" w:cs="Arial"/>
                <w:color w:val="000000"/>
              </w:rPr>
            </w:pPr>
          </w:p>
        </w:tc>
        <w:tc>
          <w:tcPr>
            <w:tcW w:w="3317" w:type="dxa"/>
            <w:noWrap w:val="0"/>
            <w:vAlign w:val="center"/>
          </w:tcPr>
          <w:p w14:paraId="56D000D3">
            <w:pPr>
              <w:pStyle w:val="6"/>
              <w:ind w:firstLine="0" w:firstLineChars="0"/>
              <w:rPr>
                <w:rFonts w:ascii="Arial" w:hAnsi="Arial" w:cs="Arial"/>
                <w:color w:val="000000"/>
              </w:rPr>
            </w:pPr>
            <w:r>
              <w:rPr>
                <w:rFonts w:ascii="Arial" w:hAnsi="Arial" w:cs="Arial"/>
                <w:color w:val="000000"/>
              </w:rPr>
              <w:t>工作台最大承载</w:t>
            </w:r>
          </w:p>
        </w:tc>
        <w:tc>
          <w:tcPr>
            <w:tcW w:w="1816" w:type="dxa"/>
            <w:noWrap w:val="0"/>
            <w:vAlign w:val="center"/>
          </w:tcPr>
          <w:p w14:paraId="2669DBCB">
            <w:pPr>
              <w:pStyle w:val="6"/>
              <w:ind w:firstLine="0" w:firstLineChars="0"/>
              <w:jc w:val="center"/>
              <w:rPr>
                <w:rFonts w:ascii="Arial" w:hAnsi="Arial" w:cs="Arial"/>
                <w:color w:val="000000"/>
              </w:rPr>
            </w:pPr>
            <w:r>
              <w:rPr>
                <w:rFonts w:ascii="Arial" w:hAnsi="Arial" w:cs="Arial"/>
                <w:color w:val="000000"/>
              </w:rPr>
              <w:t>kg</w:t>
            </w:r>
          </w:p>
        </w:tc>
        <w:tc>
          <w:tcPr>
            <w:tcW w:w="2165" w:type="dxa"/>
            <w:noWrap w:val="0"/>
            <w:vAlign w:val="center"/>
          </w:tcPr>
          <w:p w14:paraId="015A4F6A">
            <w:pPr>
              <w:pStyle w:val="6"/>
              <w:ind w:firstLine="0" w:firstLineChars="0"/>
              <w:jc w:val="center"/>
              <w:rPr>
                <w:rFonts w:ascii="Arial" w:hAnsi="Arial" w:cs="Arial"/>
                <w:color w:val="000000"/>
              </w:rPr>
            </w:pPr>
            <w:r>
              <w:rPr>
                <w:rFonts w:ascii="Arial" w:hAnsi="Arial" w:cs="Arial"/>
                <w:color w:val="000000"/>
              </w:rPr>
              <w:t>20000</w:t>
            </w:r>
          </w:p>
        </w:tc>
        <w:tc>
          <w:tcPr>
            <w:tcW w:w="1421" w:type="dxa"/>
            <w:noWrap w:val="0"/>
            <w:vAlign w:val="center"/>
          </w:tcPr>
          <w:p w14:paraId="17863C48">
            <w:pPr>
              <w:pStyle w:val="6"/>
              <w:ind w:firstLine="0" w:firstLineChars="0"/>
              <w:rPr>
                <w:rFonts w:ascii="Arial" w:hAnsi="Arial" w:cs="Arial"/>
                <w:color w:val="000000"/>
              </w:rPr>
            </w:pPr>
          </w:p>
        </w:tc>
      </w:tr>
      <w:tr w14:paraId="5AB9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77" w:type="dxa"/>
            <w:vMerge w:val="continue"/>
            <w:noWrap w:val="0"/>
            <w:vAlign w:val="center"/>
          </w:tcPr>
          <w:p w14:paraId="4A1ED052">
            <w:pPr>
              <w:pStyle w:val="6"/>
              <w:ind w:firstLine="0" w:firstLineChars="0"/>
              <w:rPr>
                <w:rFonts w:ascii="Arial" w:hAnsi="Arial" w:cs="Arial"/>
                <w:color w:val="000000"/>
              </w:rPr>
            </w:pPr>
          </w:p>
        </w:tc>
        <w:tc>
          <w:tcPr>
            <w:tcW w:w="3317" w:type="dxa"/>
            <w:noWrap w:val="0"/>
            <w:vAlign w:val="center"/>
          </w:tcPr>
          <w:p w14:paraId="6E115F3F">
            <w:pPr>
              <w:pStyle w:val="6"/>
              <w:ind w:firstLine="0" w:firstLineChars="0"/>
              <w:rPr>
                <w:rFonts w:ascii="Arial" w:hAnsi="Arial" w:cs="Arial"/>
                <w:color w:val="000000"/>
              </w:rPr>
            </w:pPr>
            <w:r>
              <w:rPr>
                <w:rFonts w:ascii="Arial" w:hAnsi="Arial" w:cs="Arial"/>
                <w:color w:val="000000"/>
              </w:rPr>
              <w:t>T型槽尺寸</w:t>
            </w:r>
          </w:p>
        </w:tc>
        <w:tc>
          <w:tcPr>
            <w:tcW w:w="1816" w:type="dxa"/>
            <w:noWrap w:val="0"/>
            <w:vAlign w:val="center"/>
          </w:tcPr>
          <w:p w14:paraId="6A7139C5">
            <w:pPr>
              <w:pStyle w:val="6"/>
              <w:ind w:firstLine="0" w:firstLineChars="0"/>
              <w:jc w:val="center"/>
              <w:rPr>
                <w:rFonts w:ascii="Arial" w:hAnsi="Arial" w:cs="Arial"/>
                <w:color w:val="000000"/>
              </w:rPr>
            </w:pPr>
            <w:r>
              <w:rPr>
                <w:rFonts w:ascii="Arial" w:hAnsi="Arial" w:cs="Arial"/>
                <w:color w:val="000000"/>
              </w:rPr>
              <w:t>宽×个数</w:t>
            </w:r>
          </w:p>
        </w:tc>
        <w:tc>
          <w:tcPr>
            <w:tcW w:w="2165" w:type="dxa"/>
            <w:noWrap w:val="0"/>
            <w:vAlign w:val="center"/>
          </w:tcPr>
          <w:p w14:paraId="17177BCD">
            <w:pPr>
              <w:pStyle w:val="6"/>
              <w:ind w:firstLine="0" w:firstLineChars="0"/>
              <w:jc w:val="center"/>
              <w:rPr>
                <w:rFonts w:ascii="Arial" w:hAnsi="Arial" w:cs="Arial"/>
                <w:color w:val="000000"/>
              </w:rPr>
            </w:pPr>
            <w:r>
              <w:rPr>
                <w:rFonts w:ascii="Arial" w:hAnsi="Arial" w:cs="Arial"/>
                <w:color w:val="000000"/>
              </w:rPr>
              <w:t>28×11</w:t>
            </w:r>
          </w:p>
        </w:tc>
        <w:tc>
          <w:tcPr>
            <w:tcW w:w="1421" w:type="dxa"/>
            <w:noWrap w:val="0"/>
            <w:vAlign w:val="center"/>
          </w:tcPr>
          <w:p w14:paraId="61DC4916">
            <w:pPr>
              <w:pStyle w:val="6"/>
              <w:ind w:firstLine="0" w:firstLineChars="0"/>
              <w:rPr>
                <w:rFonts w:ascii="Arial" w:hAnsi="Arial" w:cs="Arial"/>
                <w:color w:val="000000"/>
              </w:rPr>
            </w:pPr>
          </w:p>
        </w:tc>
      </w:tr>
      <w:tr w14:paraId="5DB6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77" w:type="dxa"/>
            <w:vMerge w:val="restart"/>
            <w:noWrap w:val="0"/>
            <w:vAlign w:val="center"/>
          </w:tcPr>
          <w:p w14:paraId="0E8BA519">
            <w:pPr>
              <w:pStyle w:val="6"/>
              <w:ind w:firstLine="0" w:firstLineChars="0"/>
              <w:jc w:val="center"/>
              <w:rPr>
                <w:rFonts w:ascii="Arial" w:hAnsi="Arial" w:cs="Arial"/>
                <w:color w:val="000000"/>
              </w:rPr>
            </w:pPr>
            <w:r>
              <w:rPr>
                <w:rFonts w:ascii="Arial" w:hAnsi="Arial" w:cs="Arial"/>
                <w:color w:val="000000"/>
              </w:rPr>
              <w:t>主</w:t>
            </w:r>
          </w:p>
          <w:p w14:paraId="204445CB">
            <w:pPr>
              <w:pStyle w:val="6"/>
              <w:ind w:firstLine="0" w:firstLineChars="0"/>
              <w:jc w:val="center"/>
              <w:rPr>
                <w:rFonts w:ascii="Arial" w:hAnsi="Arial" w:cs="Arial"/>
                <w:color w:val="000000"/>
              </w:rPr>
            </w:pPr>
            <w:r>
              <w:rPr>
                <w:rFonts w:ascii="Arial" w:hAnsi="Arial" w:cs="Arial"/>
                <w:color w:val="000000"/>
              </w:rPr>
              <w:t>轴</w:t>
            </w:r>
          </w:p>
        </w:tc>
        <w:tc>
          <w:tcPr>
            <w:tcW w:w="3317" w:type="dxa"/>
            <w:noWrap w:val="0"/>
            <w:vAlign w:val="center"/>
          </w:tcPr>
          <w:p w14:paraId="3DF1FE5C">
            <w:pPr>
              <w:pStyle w:val="6"/>
              <w:ind w:firstLine="0" w:firstLineChars="0"/>
              <w:rPr>
                <w:rFonts w:ascii="Arial" w:hAnsi="Arial" w:cs="Arial"/>
                <w:color w:val="000000"/>
              </w:rPr>
            </w:pPr>
            <w:r>
              <w:rPr>
                <w:rFonts w:ascii="Arial" w:hAnsi="Arial" w:cs="Arial"/>
                <w:color w:val="000000"/>
              </w:rPr>
              <w:t>刀柄规格</w:t>
            </w:r>
          </w:p>
        </w:tc>
        <w:tc>
          <w:tcPr>
            <w:tcW w:w="1816" w:type="dxa"/>
            <w:noWrap w:val="0"/>
            <w:vAlign w:val="center"/>
          </w:tcPr>
          <w:p w14:paraId="5AB4F013">
            <w:pPr>
              <w:pStyle w:val="6"/>
              <w:ind w:firstLine="0" w:firstLineChars="0"/>
              <w:jc w:val="center"/>
              <w:rPr>
                <w:rFonts w:ascii="Arial" w:hAnsi="Arial" w:cs="Arial"/>
                <w:color w:val="000000"/>
              </w:rPr>
            </w:pPr>
          </w:p>
        </w:tc>
        <w:tc>
          <w:tcPr>
            <w:tcW w:w="2165" w:type="dxa"/>
            <w:noWrap w:val="0"/>
            <w:vAlign w:val="center"/>
          </w:tcPr>
          <w:p w14:paraId="201D3BF9">
            <w:pPr>
              <w:pStyle w:val="6"/>
              <w:ind w:firstLine="0" w:firstLineChars="0"/>
              <w:jc w:val="center"/>
              <w:rPr>
                <w:rFonts w:ascii="Arial" w:hAnsi="Arial" w:cs="Arial"/>
                <w:color w:val="000000"/>
              </w:rPr>
            </w:pPr>
            <w:r>
              <w:rPr>
                <w:rFonts w:ascii="Arial" w:hAnsi="Arial" w:cs="Arial"/>
                <w:color w:val="000000"/>
              </w:rPr>
              <w:t>BT50</w:t>
            </w:r>
          </w:p>
        </w:tc>
        <w:tc>
          <w:tcPr>
            <w:tcW w:w="1421" w:type="dxa"/>
            <w:noWrap w:val="0"/>
            <w:vAlign w:val="center"/>
          </w:tcPr>
          <w:p w14:paraId="3BDE0714">
            <w:pPr>
              <w:pStyle w:val="6"/>
              <w:ind w:firstLine="0" w:firstLineChars="0"/>
              <w:rPr>
                <w:rFonts w:ascii="Arial" w:hAnsi="Arial" w:cs="Arial"/>
                <w:color w:val="000000"/>
              </w:rPr>
            </w:pPr>
          </w:p>
        </w:tc>
      </w:tr>
      <w:tr w14:paraId="3943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77" w:type="dxa"/>
            <w:vMerge w:val="continue"/>
            <w:noWrap w:val="0"/>
            <w:vAlign w:val="center"/>
          </w:tcPr>
          <w:p w14:paraId="0B3ED2DF">
            <w:pPr>
              <w:pStyle w:val="6"/>
              <w:ind w:firstLine="0" w:firstLineChars="0"/>
              <w:jc w:val="center"/>
              <w:rPr>
                <w:rFonts w:ascii="Arial" w:hAnsi="Arial" w:cs="Arial"/>
                <w:color w:val="000000"/>
              </w:rPr>
            </w:pPr>
          </w:p>
        </w:tc>
        <w:tc>
          <w:tcPr>
            <w:tcW w:w="3317" w:type="dxa"/>
            <w:noWrap w:val="0"/>
            <w:vAlign w:val="center"/>
          </w:tcPr>
          <w:p w14:paraId="7767BADD">
            <w:pPr>
              <w:pStyle w:val="6"/>
              <w:ind w:firstLine="0" w:firstLineChars="0"/>
              <w:rPr>
                <w:rFonts w:ascii="Arial" w:hAnsi="Arial" w:cs="Arial"/>
                <w:color w:val="000000"/>
              </w:rPr>
            </w:pPr>
            <w:r>
              <w:rPr>
                <w:rFonts w:ascii="Arial" w:hAnsi="Arial" w:cs="Arial"/>
                <w:color w:val="000000"/>
              </w:rPr>
              <w:t>转速范围</w:t>
            </w:r>
          </w:p>
        </w:tc>
        <w:tc>
          <w:tcPr>
            <w:tcW w:w="1816" w:type="dxa"/>
            <w:noWrap w:val="0"/>
            <w:vAlign w:val="center"/>
          </w:tcPr>
          <w:p w14:paraId="344447B4">
            <w:pPr>
              <w:pStyle w:val="6"/>
              <w:ind w:firstLine="0" w:firstLineChars="0"/>
              <w:jc w:val="center"/>
              <w:rPr>
                <w:rFonts w:ascii="Arial" w:hAnsi="Arial" w:cs="Arial"/>
                <w:color w:val="000000"/>
              </w:rPr>
            </w:pPr>
            <w:r>
              <w:rPr>
                <w:rFonts w:ascii="Arial" w:hAnsi="Arial" w:cs="Arial"/>
                <w:color w:val="000000"/>
              </w:rPr>
              <w:t>r/min</w:t>
            </w:r>
          </w:p>
        </w:tc>
        <w:tc>
          <w:tcPr>
            <w:tcW w:w="2165" w:type="dxa"/>
            <w:noWrap w:val="0"/>
            <w:vAlign w:val="center"/>
          </w:tcPr>
          <w:p w14:paraId="2C59652B">
            <w:pPr>
              <w:pStyle w:val="6"/>
              <w:ind w:firstLine="0" w:firstLineChars="0"/>
              <w:jc w:val="center"/>
              <w:rPr>
                <w:rFonts w:ascii="Arial" w:hAnsi="Arial" w:cs="Arial"/>
                <w:color w:val="000000"/>
              </w:rPr>
            </w:pPr>
            <w:r>
              <w:rPr>
                <w:rFonts w:ascii="Arial" w:hAnsi="Arial" w:cs="Arial"/>
                <w:color w:val="000000"/>
              </w:rPr>
              <w:t>40～3500</w:t>
            </w:r>
          </w:p>
        </w:tc>
        <w:tc>
          <w:tcPr>
            <w:tcW w:w="1421" w:type="dxa"/>
            <w:noWrap w:val="0"/>
            <w:vAlign w:val="center"/>
          </w:tcPr>
          <w:p w14:paraId="75043FA5">
            <w:pPr>
              <w:pStyle w:val="6"/>
              <w:ind w:firstLine="0" w:firstLineChars="0"/>
              <w:rPr>
                <w:rFonts w:ascii="Arial" w:hAnsi="Arial" w:cs="Arial"/>
                <w:color w:val="000000"/>
              </w:rPr>
            </w:pPr>
          </w:p>
        </w:tc>
      </w:tr>
      <w:tr w14:paraId="5B04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77" w:type="dxa"/>
            <w:vMerge w:val="continue"/>
            <w:noWrap w:val="0"/>
            <w:vAlign w:val="center"/>
          </w:tcPr>
          <w:p w14:paraId="3231543F">
            <w:pPr>
              <w:pStyle w:val="6"/>
              <w:ind w:firstLine="0" w:firstLineChars="0"/>
              <w:jc w:val="center"/>
              <w:rPr>
                <w:rFonts w:ascii="Arial" w:hAnsi="Arial" w:cs="Arial"/>
                <w:color w:val="000000"/>
              </w:rPr>
            </w:pPr>
          </w:p>
        </w:tc>
        <w:tc>
          <w:tcPr>
            <w:tcW w:w="3317" w:type="dxa"/>
            <w:noWrap w:val="0"/>
            <w:vAlign w:val="center"/>
          </w:tcPr>
          <w:p w14:paraId="4041841E">
            <w:pPr>
              <w:pStyle w:val="6"/>
              <w:ind w:firstLine="0" w:firstLineChars="0"/>
              <w:rPr>
                <w:rFonts w:ascii="Arial" w:hAnsi="Arial" w:cs="Arial"/>
                <w:color w:val="000000"/>
              </w:rPr>
            </w:pPr>
            <w:r>
              <w:rPr>
                <w:rFonts w:ascii="Arial" w:hAnsi="Arial" w:cs="Arial"/>
                <w:color w:val="000000"/>
              </w:rPr>
              <w:t>最大输出扭矩</w:t>
            </w:r>
          </w:p>
        </w:tc>
        <w:tc>
          <w:tcPr>
            <w:tcW w:w="1816" w:type="dxa"/>
            <w:noWrap w:val="0"/>
            <w:vAlign w:val="center"/>
          </w:tcPr>
          <w:p w14:paraId="4C093186">
            <w:pPr>
              <w:pStyle w:val="6"/>
              <w:ind w:firstLine="0" w:firstLineChars="0"/>
              <w:jc w:val="center"/>
              <w:rPr>
                <w:rFonts w:ascii="Arial" w:hAnsi="Arial" w:cs="Arial"/>
                <w:color w:val="000000"/>
              </w:rPr>
            </w:pPr>
            <w:r>
              <w:rPr>
                <w:rFonts w:ascii="Arial" w:hAnsi="Arial" w:cs="Arial"/>
                <w:color w:val="000000"/>
              </w:rPr>
              <w:t>N.m</w:t>
            </w:r>
          </w:p>
        </w:tc>
        <w:tc>
          <w:tcPr>
            <w:tcW w:w="2165" w:type="dxa"/>
            <w:noWrap w:val="0"/>
            <w:vAlign w:val="center"/>
          </w:tcPr>
          <w:p w14:paraId="30A3CE7F">
            <w:pPr>
              <w:pStyle w:val="6"/>
              <w:ind w:firstLine="0" w:firstLineChars="0"/>
              <w:jc w:val="center"/>
              <w:rPr>
                <w:rFonts w:ascii="Arial" w:hAnsi="Arial" w:cs="Arial"/>
                <w:color w:val="000000"/>
              </w:rPr>
            </w:pPr>
            <w:r>
              <w:rPr>
                <w:rFonts w:ascii="Arial" w:hAnsi="Arial" w:cs="Arial"/>
                <w:color w:val="000000"/>
              </w:rPr>
              <w:t>1120/1320</w:t>
            </w:r>
          </w:p>
        </w:tc>
        <w:tc>
          <w:tcPr>
            <w:tcW w:w="1421" w:type="dxa"/>
            <w:noWrap w:val="0"/>
            <w:vAlign w:val="center"/>
          </w:tcPr>
          <w:p w14:paraId="1366766F">
            <w:pPr>
              <w:pStyle w:val="6"/>
              <w:ind w:firstLine="0" w:firstLineChars="0"/>
              <w:rPr>
                <w:rFonts w:ascii="Arial" w:hAnsi="Arial" w:cs="Arial"/>
                <w:color w:val="000000"/>
              </w:rPr>
            </w:pPr>
          </w:p>
        </w:tc>
      </w:tr>
      <w:tr w14:paraId="626C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77" w:type="dxa"/>
            <w:vMerge w:val="continue"/>
            <w:noWrap w:val="0"/>
            <w:vAlign w:val="center"/>
          </w:tcPr>
          <w:p w14:paraId="127B355B">
            <w:pPr>
              <w:pStyle w:val="6"/>
              <w:ind w:firstLine="0" w:firstLineChars="0"/>
              <w:jc w:val="center"/>
              <w:rPr>
                <w:rFonts w:ascii="Arial" w:hAnsi="Arial" w:cs="Arial"/>
                <w:color w:val="000000"/>
              </w:rPr>
            </w:pPr>
          </w:p>
        </w:tc>
        <w:tc>
          <w:tcPr>
            <w:tcW w:w="3317" w:type="dxa"/>
            <w:noWrap w:val="0"/>
            <w:vAlign w:val="center"/>
          </w:tcPr>
          <w:p w14:paraId="29889B8A">
            <w:pPr>
              <w:pStyle w:val="6"/>
              <w:ind w:firstLine="0" w:firstLineChars="0"/>
              <w:rPr>
                <w:rFonts w:ascii="Arial" w:hAnsi="Arial" w:cs="Arial"/>
                <w:color w:val="000000"/>
              </w:rPr>
            </w:pPr>
            <w:r>
              <w:rPr>
                <w:rFonts w:ascii="Arial" w:hAnsi="Arial" w:cs="Arial"/>
                <w:color w:val="000000"/>
              </w:rPr>
              <w:t>主轴电机功率</w:t>
            </w:r>
          </w:p>
        </w:tc>
        <w:tc>
          <w:tcPr>
            <w:tcW w:w="1816" w:type="dxa"/>
            <w:noWrap w:val="0"/>
            <w:vAlign w:val="center"/>
          </w:tcPr>
          <w:p w14:paraId="59127203">
            <w:pPr>
              <w:pStyle w:val="6"/>
              <w:ind w:firstLine="0" w:firstLineChars="0"/>
              <w:jc w:val="center"/>
              <w:rPr>
                <w:rFonts w:ascii="Arial" w:hAnsi="Arial" w:cs="Arial"/>
                <w:color w:val="000000"/>
              </w:rPr>
            </w:pPr>
            <w:r>
              <w:rPr>
                <w:rFonts w:ascii="Arial" w:hAnsi="Arial" w:cs="Arial"/>
                <w:color w:val="000000"/>
              </w:rPr>
              <w:t>kW</w:t>
            </w:r>
          </w:p>
        </w:tc>
        <w:tc>
          <w:tcPr>
            <w:tcW w:w="2165" w:type="dxa"/>
            <w:noWrap w:val="0"/>
            <w:vAlign w:val="center"/>
          </w:tcPr>
          <w:p w14:paraId="6DCF7257">
            <w:pPr>
              <w:pStyle w:val="6"/>
              <w:ind w:firstLine="0" w:firstLineChars="0"/>
              <w:jc w:val="center"/>
              <w:rPr>
                <w:rFonts w:ascii="Arial" w:hAnsi="Arial" w:cs="Arial"/>
                <w:color w:val="000000"/>
              </w:rPr>
            </w:pPr>
            <w:r>
              <w:rPr>
                <w:rFonts w:ascii="Arial" w:hAnsi="Arial" w:cs="Arial"/>
                <w:color w:val="000000"/>
              </w:rPr>
              <w:t>22/26</w:t>
            </w:r>
          </w:p>
        </w:tc>
        <w:tc>
          <w:tcPr>
            <w:tcW w:w="1421" w:type="dxa"/>
            <w:noWrap w:val="0"/>
            <w:vAlign w:val="center"/>
          </w:tcPr>
          <w:p w14:paraId="2A713F52">
            <w:pPr>
              <w:pStyle w:val="6"/>
              <w:ind w:firstLine="0" w:firstLineChars="0"/>
              <w:rPr>
                <w:rFonts w:ascii="Arial" w:hAnsi="Arial" w:cs="Arial"/>
                <w:color w:val="000000"/>
              </w:rPr>
            </w:pPr>
          </w:p>
        </w:tc>
      </w:tr>
      <w:tr w14:paraId="53B4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77" w:type="dxa"/>
            <w:vMerge w:val="restart"/>
            <w:noWrap w:val="0"/>
            <w:vAlign w:val="center"/>
          </w:tcPr>
          <w:p w14:paraId="21FA15D5">
            <w:pPr>
              <w:pStyle w:val="6"/>
              <w:ind w:firstLine="0" w:firstLineChars="0"/>
              <w:jc w:val="center"/>
              <w:rPr>
                <w:rFonts w:ascii="Arial" w:hAnsi="Arial" w:cs="Arial"/>
                <w:color w:val="000000"/>
              </w:rPr>
            </w:pPr>
            <w:r>
              <w:rPr>
                <w:rFonts w:ascii="Arial" w:hAnsi="Arial" w:cs="Arial"/>
                <w:color w:val="000000"/>
              </w:rPr>
              <w:t>速</w:t>
            </w:r>
          </w:p>
          <w:p w14:paraId="572047A2">
            <w:pPr>
              <w:pStyle w:val="6"/>
              <w:ind w:firstLine="0" w:firstLineChars="0"/>
              <w:jc w:val="center"/>
              <w:rPr>
                <w:rFonts w:ascii="Arial" w:hAnsi="Arial" w:cs="Arial"/>
                <w:color w:val="000000"/>
              </w:rPr>
            </w:pPr>
            <w:r>
              <w:rPr>
                <w:rFonts w:ascii="Arial" w:hAnsi="Arial" w:cs="Arial"/>
                <w:color w:val="000000"/>
              </w:rPr>
              <w:t>度</w:t>
            </w:r>
          </w:p>
        </w:tc>
        <w:tc>
          <w:tcPr>
            <w:tcW w:w="3317" w:type="dxa"/>
            <w:noWrap w:val="0"/>
            <w:vAlign w:val="center"/>
          </w:tcPr>
          <w:p w14:paraId="7C2B8134">
            <w:pPr>
              <w:pStyle w:val="6"/>
              <w:ind w:firstLine="0" w:firstLineChars="0"/>
              <w:rPr>
                <w:rFonts w:ascii="Arial" w:hAnsi="Arial" w:cs="Arial"/>
                <w:color w:val="000000"/>
              </w:rPr>
            </w:pPr>
            <w:r>
              <w:rPr>
                <w:rFonts w:ascii="Arial" w:hAnsi="Arial" w:cs="Arial"/>
                <w:color w:val="000000"/>
              </w:rPr>
              <w:t>切削进给速度范围</w:t>
            </w:r>
          </w:p>
        </w:tc>
        <w:tc>
          <w:tcPr>
            <w:tcW w:w="1816" w:type="dxa"/>
            <w:noWrap w:val="0"/>
            <w:vAlign w:val="center"/>
          </w:tcPr>
          <w:p w14:paraId="6B5470FE">
            <w:pPr>
              <w:pStyle w:val="6"/>
              <w:ind w:firstLine="0" w:firstLineChars="0"/>
              <w:jc w:val="center"/>
              <w:rPr>
                <w:rFonts w:ascii="Arial" w:hAnsi="Arial" w:cs="Arial"/>
                <w:color w:val="000000"/>
              </w:rPr>
            </w:pPr>
            <w:r>
              <w:rPr>
                <w:rFonts w:ascii="Arial" w:hAnsi="Arial" w:cs="Arial"/>
                <w:color w:val="000000"/>
              </w:rPr>
              <w:t>m/min</w:t>
            </w:r>
          </w:p>
        </w:tc>
        <w:tc>
          <w:tcPr>
            <w:tcW w:w="2165" w:type="dxa"/>
            <w:noWrap w:val="0"/>
            <w:vAlign w:val="center"/>
          </w:tcPr>
          <w:p w14:paraId="17FAF206">
            <w:pPr>
              <w:pStyle w:val="6"/>
              <w:ind w:firstLine="0" w:firstLineChars="0"/>
              <w:jc w:val="center"/>
              <w:rPr>
                <w:rFonts w:ascii="Arial" w:hAnsi="Arial" w:cs="Arial"/>
                <w:color w:val="000000"/>
              </w:rPr>
            </w:pPr>
            <w:r>
              <w:rPr>
                <w:rFonts w:ascii="Arial" w:hAnsi="Arial" w:cs="Arial"/>
                <w:color w:val="000000"/>
              </w:rPr>
              <w:t>6/6/6</w:t>
            </w:r>
          </w:p>
        </w:tc>
        <w:tc>
          <w:tcPr>
            <w:tcW w:w="1421" w:type="dxa"/>
            <w:noWrap w:val="0"/>
            <w:vAlign w:val="center"/>
          </w:tcPr>
          <w:p w14:paraId="6C1D4EFE">
            <w:pPr>
              <w:pStyle w:val="6"/>
              <w:ind w:firstLine="0" w:firstLineChars="0"/>
              <w:rPr>
                <w:rFonts w:ascii="Arial" w:hAnsi="Arial" w:cs="Arial"/>
                <w:color w:val="000000"/>
              </w:rPr>
            </w:pPr>
          </w:p>
        </w:tc>
      </w:tr>
      <w:tr w14:paraId="679DC735">
        <w:tblPrEx>
          <w:tblCellMar>
            <w:top w:w="0" w:type="dxa"/>
            <w:left w:w="108" w:type="dxa"/>
            <w:bottom w:w="0" w:type="dxa"/>
            <w:right w:w="108" w:type="dxa"/>
          </w:tblCellMar>
        </w:tblPrEx>
        <w:trPr>
          <w:cantSplit/>
          <w:trHeight w:val="511" w:hRule="atLeast"/>
        </w:trPr>
        <w:tc>
          <w:tcPr>
            <w:tcW w:w="777" w:type="dxa"/>
            <w:vMerge w:val="continue"/>
            <w:noWrap w:val="0"/>
            <w:vAlign w:val="center"/>
          </w:tcPr>
          <w:p w14:paraId="6C367012">
            <w:pPr>
              <w:pStyle w:val="6"/>
              <w:ind w:firstLine="0" w:firstLineChars="0"/>
              <w:jc w:val="center"/>
              <w:rPr>
                <w:rFonts w:ascii="Arial" w:hAnsi="Arial" w:cs="Arial"/>
                <w:color w:val="000000"/>
              </w:rPr>
            </w:pPr>
          </w:p>
        </w:tc>
        <w:tc>
          <w:tcPr>
            <w:tcW w:w="3317" w:type="dxa"/>
            <w:noWrap w:val="0"/>
            <w:vAlign w:val="center"/>
          </w:tcPr>
          <w:p w14:paraId="2FCB7D1F">
            <w:pPr>
              <w:pStyle w:val="6"/>
              <w:ind w:firstLine="0" w:firstLineChars="0"/>
              <w:rPr>
                <w:rFonts w:ascii="Arial" w:hAnsi="Arial" w:cs="Arial"/>
                <w:color w:val="000000"/>
              </w:rPr>
            </w:pPr>
            <w:r>
              <w:rPr>
                <w:rFonts w:ascii="Arial" w:hAnsi="Arial" w:cs="Arial"/>
                <w:color w:val="000000"/>
              </w:rPr>
              <w:t>X、Y、Z轴快移速度</w:t>
            </w:r>
          </w:p>
        </w:tc>
        <w:tc>
          <w:tcPr>
            <w:tcW w:w="1816" w:type="dxa"/>
            <w:noWrap w:val="0"/>
            <w:vAlign w:val="center"/>
          </w:tcPr>
          <w:p w14:paraId="63DF427B">
            <w:pPr>
              <w:pStyle w:val="6"/>
              <w:ind w:firstLine="0" w:firstLineChars="0"/>
              <w:jc w:val="center"/>
              <w:rPr>
                <w:rFonts w:ascii="Arial" w:hAnsi="Arial" w:cs="Arial"/>
                <w:color w:val="000000"/>
              </w:rPr>
            </w:pPr>
            <w:r>
              <w:rPr>
                <w:rFonts w:ascii="Arial" w:hAnsi="Arial" w:cs="Arial"/>
                <w:color w:val="000000"/>
              </w:rPr>
              <w:t>m/min</w:t>
            </w:r>
          </w:p>
        </w:tc>
        <w:tc>
          <w:tcPr>
            <w:tcW w:w="2165" w:type="dxa"/>
            <w:noWrap w:val="0"/>
            <w:vAlign w:val="center"/>
          </w:tcPr>
          <w:p w14:paraId="5B4E732E">
            <w:pPr>
              <w:pStyle w:val="6"/>
              <w:ind w:firstLine="0" w:firstLineChars="0"/>
              <w:jc w:val="center"/>
              <w:rPr>
                <w:rFonts w:ascii="Arial" w:hAnsi="Arial" w:cs="Arial"/>
                <w:color w:val="000000"/>
              </w:rPr>
            </w:pPr>
            <w:r>
              <w:rPr>
                <w:rFonts w:ascii="Arial" w:hAnsi="Arial" w:cs="Arial"/>
                <w:color w:val="000000"/>
              </w:rPr>
              <w:t>15/15/10</w:t>
            </w:r>
          </w:p>
        </w:tc>
        <w:tc>
          <w:tcPr>
            <w:tcW w:w="1421" w:type="dxa"/>
            <w:noWrap w:val="0"/>
            <w:vAlign w:val="center"/>
          </w:tcPr>
          <w:p w14:paraId="21D88F0B">
            <w:pPr>
              <w:pStyle w:val="6"/>
              <w:ind w:firstLine="0" w:firstLineChars="0"/>
              <w:rPr>
                <w:rFonts w:ascii="Arial" w:hAnsi="Arial" w:cs="Arial"/>
                <w:color w:val="000000"/>
              </w:rPr>
            </w:pPr>
          </w:p>
        </w:tc>
      </w:tr>
      <w:tr w14:paraId="4C55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77" w:type="dxa"/>
            <w:vMerge w:val="restart"/>
            <w:noWrap w:val="0"/>
            <w:vAlign w:val="center"/>
          </w:tcPr>
          <w:p w14:paraId="06A3AC61">
            <w:pPr>
              <w:pStyle w:val="6"/>
              <w:ind w:firstLine="0" w:firstLineChars="0"/>
              <w:jc w:val="center"/>
              <w:rPr>
                <w:rFonts w:ascii="Arial" w:hAnsi="Arial" w:cs="Arial"/>
                <w:color w:val="000000"/>
              </w:rPr>
            </w:pPr>
            <w:r>
              <w:rPr>
                <w:rFonts w:ascii="Arial" w:hAnsi="Arial" w:cs="Arial"/>
                <w:color w:val="000000"/>
              </w:rPr>
              <w:t>机床</w:t>
            </w:r>
          </w:p>
          <w:p w14:paraId="634574B3">
            <w:pPr>
              <w:pStyle w:val="6"/>
              <w:ind w:firstLine="0" w:firstLineChars="0"/>
              <w:jc w:val="center"/>
              <w:rPr>
                <w:rFonts w:ascii="Arial" w:hAnsi="Arial" w:cs="Arial"/>
                <w:color w:val="000000"/>
              </w:rPr>
            </w:pPr>
            <w:r>
              <w:rPr>
                <w:rFonts w:ascii="Arial" w:hAnsi="Arial" w:cs="Arial"/>
                <w:color w:val="000000"/>
              </w:rPr>
              <w:t>精度</w:t>
            </w:r>
          </w:p>
        </w:tc>
        <w:tc>
          <w:tcPr>
            <w:tcW w:w="3317" w:type="dxa"/>
            <w:noWrap w:val="0"/>
            <w:vAlign w:val="center"/>
          </w:tcPr>
          <w:p w14:paraId="3A1D4F1C">
            <w:pPr>
              <w:pStyle w:val="6"/>
              <w:ind w:firstLine="0" w:firstLineChars="0"/>
              <w:rPr>
                <w:rFonts w:ascii="Arial" w:hAnsi="Arial" w:cs="Arial"/>
                <w:color w:val="000000"/>
              </w:rPr>
            </w:pPr>
            <w:r>
              <w:rPr>
                <w:rFonts w:ascii="Arial" w:hAnsi="Arial" w:cs="Arial"/>
                <w:color w:val="000000"/>
              </w:rPr>
              <w:t>定位精度（X/Y/Z）</w:t>
            </w:r>
          </w:p>
        </w:tc>
        <w:tc>
          <w:tcPr>
            <w:tcW w:w="1816" w:type="dxa"/>
            <w:noWrap w:val="0"/>
            <w:vAlign w:val="center"/>
          </w:tcPr>
          <w:p w14:paraId="48CD6891">
            <w:pPr>
              <w:pStyle w:val="6"/>
              <w:ind w:firstLine="0" w:firstLineChars="0"/>
              <w:jc w:val="center"/>
              <w:rPr>
                <w:rFonts w:ascii="Arial" w:hAnsi="Arial" w:cs="Arial"/>
                <w:color w:val="000000"/>
              </w:rPr>
            </w:pPr>
            <w:r>
              <w:rPr>
                <w:rFonts w:ascii="Arial" w:hAnsi="Arial" w:cs="Arial"/>
                <w:color w:val="000000"/>
              </w:rPr>
              <w:t>mm</w:t>
            </w:r>
          </w:p>
        </w:tc>
        <w:tc>
          <w:tcPr>
            <w:tcW w:w="2165" w:type="dxa"/>
            <w:noWrap w:val="0"/>
            <w:vAlign w:val="center"/>
          </w:tcPr>
          <w:p w14:paraId="0E283E78">
            <w:pPr>
              <w:pStyle w:val="6"/>
              <w:ind w:firstLine="0" w:firstLineChars="0"/>
              <w:jc w:val="center"/>
              <w:rPr>
                <w:rFonts w:ascii="Arial" w:hAnsi="Arial" w:cs="Arial"/>
                <w:color w:val="000000"/>
              </w:rPr>
            </w:pPr>
            <w:r>
              <w:rPr>
                <w:rFonts w:ascii="Arial" w:hAnsi="Arial" w:cs="Arial"/>
                <w:color w:val="000000"/>
              </w:rPr>
              <w:t>0.020/0.018/0.015</w:t>
            </w:r>
          </w:p>
        </w:tc>
        <w:tc>
          <w:tcPr>
            <w:tcW w:w="1421" w:type="dxa"/>
            <w:noWrap w:val="0"/>
            <w:vAlign w:val="center"/>
          </w:tcPr>
          <w:p w14:paraId="69CD0FA7">
            <w:pPr>
              <w:pStyle w:val="6"/>
              <w:ind w:firstLine="0" w:firstLineChars="0"/>
              <w:jc w:val="center"/>
              <w:rPr>
                <w:rFonts w:ascii="Arial" w:hAnsi="Arial" w:cs="Arial"/>
                <w:color w:val="000000"/>
              </w:rPr>
            </w:pPr>
            <w:r>
              <w:rPr>
                <w:rFonts w:ascii="Arial" w:hAnsi="Arial" w:cs="Arial"/>
                <w:color w:val="000000"/>
              </w:rPr>
              <w:t>无光栅</w:t>
            </w:r>
          </w:p>
        </w:tc>
      </w:tr>
      <w:tr w14:paraId="0A46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77" w:type="dxa"/>
            <w:vMerge w:val="continue"/>
            <w:noWrap w:val="0"/>
            <w:vAlign w:val="center"/>
          </w:tcPr>
          <w:p w14:paraId="34163152">
            <w:pPr>
              <w:pStyle w:val="6"/>
              <w:ind w:firstLine="0" w:firstLineChars="0"/>
              <w:rPr>
                <w:rFonts w:ascii="Arial" w:hAnsi="Arial" w:cs="Arial"/>
                <w:color w:val="000000"/>
              </w:rPr>
            </w:pPr>
          </w:p>
        </w:tc>
        <w:tc>
          <w:tcPr>
            <w:tcW w:w="3317" w:type="dxa"/>
            <w:noWrap w:val="0"/>
            <w:vAlign w:val="center"/>
          </w:tcPr>
          <w:p w14:paraId="5125D854">
            <w:pPr>
              <w:pStyle w:val="6"/>
              <w:ind w:firstLine="0" w:firstLineChars="0"/>
              <w:rPr>
                <w:rFonts w:ascii="Arial" w:hAnsi="Arial" w:cs="Arial"/>
                <w:color w:val="000000"/>
              </w:rPr>
            </w:pPr>
            <w:r>
              <w:rPr>
                <w:rFonts w:ascii="Arial" w:hAnsi="Arial" w:cs="Arial"/>
                <w:color w:val="000000"/>
              </w:rPr>
              <w:t>重复定位精度（X/Y/Z）</w:t>
            </w:r>
          </w:p>
        </w:tc>
        <w:tc>
          <w:tcPr>
            <w:tcW w:w="1816" w:type="dxa"/>
            <w:noWrap w:val="0"/>
            <w:vAlign w:val="center"/>
          </w:tcPr>
          <w:p w14:paraId="3DEF3403">
            <w:pPr>
              <w:pStyle w:val="6"/>
              <w:ind w:firstLine="0" w:firstLineChars="0"/>
              <w:jc w:val="center"/>
              <w:rPr>
                <w:rFonts w:ascii="Arial" w:hAnsi="Arial" w:cs="Arial"/>
                <w:color w:val="000000"/>
              </w:rPr>
            </w:pPr>
            <w:r>
              <w:rPr>
                <w:rFonts w:ascii="Arial" w:hAnsi="Arial" w:cs="Arial"/>
                <w:color w:val="000000"/>
              </w:rPr>
              <w:t>mm</w:t>
            </w:r>
          </w:p>
        </w:tc>
        <w:tc>
          <w:tcPr>
            <w:tcW w:w="2165" w:type="dxa"/>
            <w:noWrap w:val="0"/>
            <w:vAlign w:val="center"/>
          </w:tcPr>
          <w:p w14:paraId="46DE272A">
            <w:pPr>
              <w:pStyle w:val="6"/>
              <w:ind w:firstLine="0" w:firstLineChars="0"/>
              <w:jc w:val="center"/>
              <w:rPr>
                <w:rFonts w:ascii="Arial" w:hAnsi="Arial" w:cs="Arial"/>
                <w:color w:val="000000"/>
              </w:rPr>
            </w:pPr>
            <w:r>
              <w:rPr>
                <w:rFonts w:ascii="Arial" w:hAnsi="Arial" w:cs="Arial"/>
                <w:color w:val="000000"/>
              </w:rPr>
              <w:t>0.012/0.012/0.010</w:t>
            </w:r>
          </w:p>
        </w:tc>
        <w:tc>
          <w:tcPr>
            <w:tcW w:w="1421" w:type="dxa"/>
            <w:noWrap w:val="0"/>
            <w:vAlign w:val="center"/>
          </w:tcPr>
          <w:p w14:paraId="0E7EF14C">
            <w:pPr>
              <w:pStyle w:val="6"/>
              <w:ind w:firstLine="0" w:firstLineChars="0"/>
              <w:jc w:val="center"/>
              <w:rPr>
                <w:rFonts w:ascii="Arial" w:hAnsi="Arial" w:cs="Arial"/>
                <w:color w:val="000000"/>
              </w:rPr>
            </w:pPr>
            <w:r>
              <w:rPr>
                <w:rFonts w:ascii="Arial" w:hAnsi="Arial" w:cs="Arial"/>
                <w:color w:val="000000"/>
              </w:rPr>
              <w:t>无光栅</w:t>
            </w:r>
          </w:p>
        </w:tc>
      </w:tr>
      <w:tr w14:paraId="369D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77" w:type="dxa"/>
            <w:vMerge w:val="restart"/>
            <w:noWrap w:val="0"/>
            <w:vAlign w:val="center"/>
          </w:tcPr>
          <w:p w14:paraId="346A9CC0">
            <w:pPr>
              <w:pStyle w:val="6"/>
              <w:ind w:left="113" w:right="113" w:firstLine="0" w:firstLineChars="0"/>
              <w:jc w:val="center"/>
              <w:rPr>
                <w:rFonts w:hint="default" w:ascii="Arial" w:hAnsi="Arial" w:eastAsia="宋体" w:cs="Arial"/>
                <w:color w:val="000000"/>
                <w:lang w:val="en-US" w:eastAsia="zh-CN"/>
              </w:rPr>
            </w:pPr>
            <w:r>
              <w:rPr>
                <w:rFonts w:hint="eastAsia" w:ascii="Arial" w:hAnsi="Arial" w:cs="Arial"/>
                <w:color w:val="000000"/>
                <w:lang w:val="en-US" w:eastAsia="zh-CN"/>
              </w:rPr>
              <w:t>选配增加</w:t>
            </w:r>
          </w:p>
        </w:tc>
        <w:tc>
          <w:tcPr>
            <w:tcW w:w="3317" w:type="dxa"/>
            <w:noWrap w:val="0"/>
            <w:vAlign w:val="center"/>
          </w:tcPr>
          <w:p w14:paraId="476E4E80">
            <w:pPr>
              <w:pStyle w:val="6"/>
              <w:ind w:firstLine="0" w:firstLineChars="0"/>
              <w:rPr>
                <w:rFonts w:hint="eastAsia" w:ascii="Arial" w:hAnsi="Arial" w:eastAsia="宋体" w:cs="Arial"/>
                <w:color w:val="000000"/>
                <w:lang w:val="en-US" w:eastAsia="zh-CN"/>
              </w:rPr>
            </w:pPr>
            <w:r>
              <w:rPr>
                <w:rFonts w:hint="eastAsia" w:ascii="Arial" w:hAnsi="Arial" w:cs="Arial"/>
                <w:color w:val="000000"/>
                <w:lang w:val="en-US" w:eastAsia="zh-CN"/>
              </w:rPr>
              <w:t>刀库</w:t>
            </w:r>
          </w:p>
        </w:tc>
        <w:tc>
          <w:tcPr>
            <w:tcW w:w="1816" w:type="dxa"/>
            <w:noWrap w:val="0"/>
            <w:vAlign w:val="center"/>
          </w:tcPr>
          <w:p w14:paraId="1EAF46CA">
            <w:pPr>
              <w:pStyle w:val="6"/>
              <w:ind w:firstLine="0" w:firstLineChars="0"/>
              <w:jc w:val="center"/>
              <w:rPr>
                <w:rFonts w:ascii="Arial" w:hAnsi="Arial" w:cs="Arial"/>
                <w:color w:val="000000"/>
              </w:rPr>
            </w:pPr>
          </w:p>
        </w:tc>
        <w:tc>
          <w:tcPr>
            <w:tcW w:w="2165" w:type="dxa"/>
            <w:noWrap w:val="0"/>
            <w:vAlign w:val="center"/>
          </w:tcPr>
          <w:p w14:paraId="75747C75">
            <w:pPr>
              <w:pStyle w:val="6"/>
              <w:ind w:firstLine="0" w:firstLineChars="0"/>
              <w:jc w:val="center"/>
              <w:rPr>
                <w:rFonts w:hint="default" w:ascii="Arial" w:hAnsi="Arial" w:eastAsia="宋体" w:cs="Arial"/>
                <w:color w:val="000000"/>
                <w:lang w:val="en-US" w:eastAsia="zh-CN"/>
              </w:rPr>
            </w:pPr>
            <w:r>
              <w:rPr>
                <w:rFonts w:hint="eastAsia" w:ascii="Arial" w:hAnsi="Arial" w:cs="Arial"/>
                <w:color w:val="000000"/>
                <w:lang w:val="en-US" w:eastAsia="zh-CN"/>
              </w:rPr>
              <w:t>24把刀</w:t>
            </w:r>
          </w:p>
        </w:tc>
        <w:tc>
          <w:tcPr>
            <w:tcW w:w="1421" w:type="dxa"/>
            <w:noWrap w:val="0"/>
            <w:vAlign w:val="center"/>
          </w:tcPr>
          <w:p w14:paraId="4F104678">
            <w:pPr>
              <w:pStyle w:val="6"/>
              <w:ind w:firstLine="0" w:firstLineChars="0"/>
              <w:rPr>
                <w:rFonts w:ascii="Arial" w:hAnsi="Arial" w:cs="Arial"/>
                <w:color w:val="000000"/>
              </w:rPr>
            </w:pPr>
          </w:p>
        </w:tc>
      </w:tr>
      <w:tr w14:paraId="0CF3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77" w:type="dxa"/>
            <w:vMerge w:val="continue"/>
            <w:noWrap w:val="0"/>
            <w:vAlign w:val="center"/>
          </w:tcPr>
          <w:p w14:paraId="3EE0A51D">
            <w:pPr>
              <w:pStyle w:val="6"/>
              <w:ind w:left="113" w:right="113" w:firstLine="0" w:firstLineChars="0"/>
              <w:jc w:val="center"/>
              <w:rPr>
                <w:rFonts w:ascii="Arial" w:hAnsi="Arial" w:cs="Arial"/>
                <w:color w:val="000000"/>
              </w:rPr>
            </w:pPr>
          </w:p>
        </w:tc>
        <w:tc>
          <w:tcPr>
            <w:tcW w:w="3317" w:type="dxa"/>
            <w:noWrap w:val="0"/>
            <w:vAlign w:val="center"/>
          </w:tcPr>
          <w:p w14:paraId="0D9EBF69">
            <w:pPr>
              <w:pStyle w:val="6"/>
              <w:ind w:firstLine="0" w:firstLineChars="0"/>
              <w:rPr>
                <w:rFonts w:hint="eastAsia" w:ascii="Arial" w:hAnsi="Arial" w:eastAsia="宋体" w:cs="Arial"/>
                <w:color w:val="000000"/>
                <w:lang w:val="en-US" w:eastAsia="zh-CN"/>
              </w:rPr>
            </w:pPr>
            <w:r>
              <w:rPr>
                <w:rFonts w:hint="eastAsia" w:ascii="Arial" w:hAnsi="Arial" w:cs="Arial"/>
                <w:color w:val="000000"/>
                <w:lang w:val="en-US" w:eastAsia="zh-CN"/>
              </w:rPr>
              <w:t>万向头</w:t>
            </w:r>
          </w:p>
        </w:tc>
        <w:tc>
          <w:tcPr>
            <w:tcW w:w="1816" w:type="dxa"/>
            <w:noWrap w:val="0"/>
            <w:vAlign w:val="center"/>
          </w:tcPr>
          <w:p w14:paraId="4429CE69">
            <w:pPr>
              <w:pStyle w:val="6"/>
              <w:ind w:firstLine="0" w:firstLineChars="0"/>
              <w:jc w:val="center"/>
              <w:rPr>
                <w:rFonts w:ascii="Arial" w:hAnsi="Arial" w:cs="Arial"/>
                <w:color w:val="000000"/>
              </w:rPr>
            </w:pPr>
          </w:p>
        </w:tc>
        <w:tc>
          <w:tcPr>
            <w:tcW w:w="2165" w:type="dxa"/>
            <w:noWrap w:val="0"/>
            <w:vAlign w:val="center"/>
          </w:tcPr>
          <w:p w14:paraId="6A38309C">
            <w:pPr>
              <w:pStyle w:val="6"/>
              <w:ind w:firstLine="0" w:firstLineChars="0"/>
              <w:jc w:val="center"/>
              <w:rPr>
                <w:rFonts w:hint="default" w:ascii="Arial" w:hAnsi="Arial" w:eastAsia="宋体" w:cs="Arial"/>
                <w:color w:val="000000"/>
                <w:lang w:val="en-US" w:eastAsia="zh-CN"/>
              </w:rPr>
            </w:pPr>
            <w:r>
              <w:rPr>
                <w:rFonts w:hint="eastAsia" w:ascii="Arial" w:hAnsi="Arial" w:cs="Arial"/>
                <w:color w:val="000000"/>
                <w:lang w:val="en-US" w:eastAsia="zh-CN"/>
              </w:rPr>
              <w:t>自动直角头</w:t>
            </w:r>
          </w:p>
        </w:tc>
        <w:tc>
          <w:tcPr>
            <w:tcW w:w="1421" w:type="dxa"/>
            <w:noWrap w:val="0"/>
            <w:vAlign w:val="center"/>
          </w:tcPr>
          <w:p w14:paraId="55F5CC65">
            <w:pPr>
              <w:pStyle w:val="6"/>
              <w:ind w:firstLine="0" w:firstLineChars="0"/>
              <w:rPr>
                <w:rFonts w:ascii="Arial" w:hAnsi="Arial" w:cs="Arial"/>
                <w:color w:val="000000"/>
              </w:rPr>
            </w:pPr>
          </w:p>
        </w:tc>
      </w:tr>
      <w:tr w14:paraId="146F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77" w:type="dxa"/>
            <w:vMerge w:val="continue"/>
            <w:noWrap w:val="0"/>
            <w:vAlign w:val="center"/>
          </w:tcPr>
          <w:p w14:paraId="5463918E">
            <w:pPr>
              <w:pStyle w:val="6"/>
              <w:ind w:left="113" w:right="113" w:firstLine="0" w:firstLineChars="0"/>
              <w:jc w:val="center"/>
              <w:rPr>
                <w:rFonts w:ascii="Arial" w:hAnsi="Arial" w:cs="Arial"/>
                <w:color w:val="000000"/>
              </w:rPr>
            </w:pPr>
          </w:p>
        </w:tc>
        <w:tc>
          <w:tcPr>
            <w:tcW w:w="3317" w:type="dxa"/>
            <w:noWrap w:val="0"/>
            <w:vAlign w:val="center"/>
          </w:tcPr>
          <w:p w14:paraId="287FE657">
            <w:pPr>
              <w:pStyle w:val="6"/>
              <w:ind w:firstLine="0" w:firstLineChars="0"/>
              <w:rPr>
                <w:rFonts w:ascii="Arial" w:hAnsi="Arial" w:cs="Arial"/>
                <w:color w:val="000000"/>
              </w:rPr>
            </w:pPr>
          </w:p>
        </w:tc>
        <w:tc>
          <w:tcPr>
            <w:tcW w:w="1816" w:type="dxa"/>
            <w:noWrap w:val="0"/>
            <w:vAlign w:val="center"/>
          </w:tcPr>
          <w:p w14:paraId="39DE28FB">
            <w:pPr>
              <w:pStyle w:val="6"/>
              <w:ind w:firstLine="0" w:firstLineChars="0"/>
              <w:jc w:val="center"/>
              <w:rPr>
                <w:rFonts w:ascii="Arial" w:hAnsi="Arial" w:cs="Arial"/>
                <w:color w:val="000000"/>
              </w:rPr>
            </w:pPr>
          </w:p>
        </w:tc>
        <w:tc>
          <w:tcPr>
            <w:tcW w:w="2165" w:type="dxa"/>
            <w:noWrap w:val="0"/>
            <w:vAlign w:val="center"/>
          </w:tcPr>
          <w:p w14:paraId="334994F3">
            <w:pPr>
              <w:pStyle w:val="6"/>
              <w:ind w:firstLine="0" w:firstLineChars="0"/>
              <w:jc w:val="center"/>
              <w:rPr>
                <w:rFonts w:ascii="Arial" w:hAnsi="Arial" w:cs="Arial"/>
                <w:color w:val="000000"/>
              </w:rPr>
            </w:pPr>
          </w:p>
        </w:tc>
        <w:tc>
          <w:tcPr>
            <w:tcW w:w="1421" w:type="dxa"/>
            <w:noWrap w:val="0"/>
            <w:vAlign w:val="center"/>
          </w:tcPr>
          <w:p w14:paraId="3E942C69">
            <w:pPr>
              <w:pStyle w:val="6"/>
              <w:ind w:firstLine="0" w:firstLineChars="0"/>
              <w:rPr>
                <w:rFonts w:ascii="Arial" w:hAnsi="Arial" w:cs="Arial"/>
                <w:color w:val="000000"/>
              </w:rPr>
            </w:pPr>
          </w:p>
        </w:tc>
      </w:tr>
    </w:tbl>
    <w:p w14:paraId="7EFA0BFF">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附件：技术要求</w:t>
      </w:r>
    </w:p>
    <w:p w14:paraId="0214C06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Theme="minorEastAsia" w:hAnsiTheme="minorEastAsia" w:eastAsiaTheme="minorEastAsia"/>
          <w:b/>
          <w:bCs w:val="0"/>
          <w:sz w:val="28"/>
          <w:highlight w:val="none"/>
        </w:rPr>
      </w:pPr>
      <w:r>
        <w:rPr>
          <w:rFonts w:hint="eastAsia" w:asciiTheme="minorEastAsia" w:hAnsiTheme="minorEastAsia" w:eastAsiaTheme="minorEastAsia"/>
          <w:b/>
          <w:bCs w:val="0"/>
          <w:sz w:val="28"/>
          <w:highlight w:val="none"/>
        </w:rPr>
        <w:t>主要技术参数</w:t>
      </w:r>
    </w:p>
    <w:p w14:paraId="77E124F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Theme="minorEastAsia" w:hAnsiTheme="minorEastAsia" w:eastAsiaTheme="minorEastAsia"/>
          <w:b/>
          <w:highlight w:val="none"/>
          <w:lang w:val="en-US" w:eastAsia="zh-CN"/>
        </w:rPr>
      </w:pPr>
      <w:bookmarkStart w:id="4" w:name="_Toc32918531"/>
      <w:bookmarkEnd w:id="4"/>
      <w:bookmarkStart w:id="8" w:name="_GoBack"/>
      <w:bookmarkEnd w:id="8"/>
    </w:p>
    <w:p w14:paraId="3BB2293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Theme="minorEastAsia" w:hAnsiTheme="minorEastAsia" w:eastAsiaTheme="minorEastAsia"/>
          <w:b/>
          <w:highlight w:val="none"/>
          <w:lang w:val="en-US" w:eastAsia="zh-CN"/>
        </w:rPr>
      </w:pPr>
    </w:p>
    <w:p w14:paraId="7D59256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Theme="minorEastAsia" w:hAnsiTheme="minorEastAsia" w:eastAsiaTheme="minorEastAsia"/>
          <w:b/>
          <w:highlight w:val="none"/>
          <w:lang w:val="en-US" w:eastAsia="zh-CN"/>
        </w:rPr>
      </w:pPr>
    </w:p>
    <w:p w14:paraId="38947760">
      <w:pP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5" w:name="_Toc14127"/>
    </w:p>
    <w:p w14:paraId="3B27BACD">
      <w:pPr>
        <w:spacing w:before="240" w:beforeLines="100" w:line="360" w:lineRule="auto"/>
        <w:jc w:val="both"/>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附件：商务要求</w:t>
      </w:r>
      <w:bookmarkEnd w:id="5"/>
    </w:p>
    <w:p w14:paraId="040EF236">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1、设备交付、安装调试与验收</w:t>
      </w:r>
    </w:p>
    <w:p w14:paraId="0C4DB068">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.1</w:t>
      </w:r>
      <w:r>
        <w:rPr>
          <w:rFonts w:hint="eastAsia" w:ascii="宋体" w:hAnsi="宋体" w:eastAsia="宋体" w:cs="宋体"/>
          <w:sz w:val="24"/>
          <w:szCs w:val="24"/>
          <w:highlight w:val="none"/>
        </w:rPr>
        <w:t>交货时间为合同签订后内，交货地点为福建省三明市沙县区创新东路4</w:t>
      </w:r>
      <w:r>
        <w:rPr>
          <w:rFonts w:ascii="宋体" w:hAnsi="宋体" w:eastAsia="宋体" w:cs="宋体"/>
          <w:sz w:val="24"/>
          <w:szCs w:val="24"/>
          <w:highlight w:val="none"/>
        </w:rPr>
        <w:t>13</w:t>
      </w:r>
      <w:r>
        <w:rPr>
          <w:rFonts w:hint="eastAsia" w:ascii="宋体" w:hAnsi="宋体" w:eastAsia="宋体" w:cs="宋体"/>
          <w:sz w:val="24"/>
          <w:szCs w:val="24"/>
          <w:highlight w:val="none"/>
        </w:rPr>
        <w:t>号。</w:t>
      </w:r>
    </w:p>
    <w:p w14:paraId="43316E72">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卖方负责设备在买方工厂安装调试。</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个月安装调试及终验收所用的专用工具、量具由卖方自备。</w:t>
      </w:r>
    </w:p>
    <w:p w14:paraId="4B9B594A">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.3</w:t>
      </w:r>
      <w:r>
        <w:rPr>
          <w:rFonts w:hint="eastAsia" w:ascii="宋体" w:hAnsi="宋体" w:eastAsia="宋体" w:cs="宋体"/>
          <w:sz w:val="24"/>
          <w:szCs w:val="24"/>
          <w:highlight w:val="none"/>
        </w:rPr>
        <w:t>投标文件中要写明供货期及安装、调试直至完成终验收所需用的时间。</w:t>
      </w:r>
    </w:p>
    <w:p w14:paraId="53192BD3">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rPr>
        <w:t>使用现场安装后进行验收，由买方组织进行，卖方代表参加。设备验收时按合同设备技术文件涉及的所有内容逐一检验。重点做好以下检验：</w:t>
      </w:r>
    </w:p>
    <w:p w14:paraId="099F7DD8">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.4.1</w:t>
      </w:r>
      <w:r>
        <w:rPr>
          <w:rFonts w:hint="eastAsia" w:ascii="宋体" w:hAnsi="宋体" w:eastAsia="宋体" w:cs="宋体"/>
          <w:sz w:val="24"/>
          <w:szCs w:val="24"/>
          <w:highlight w:val="none"/>
        </w:rPr>
        <w:t>外观质量、规格型号、附件和工具。</w:t>
      </w:r>
    </w:p>
    <w:p w14:paraId="7769591E">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.4.2</w:t>
      </w:r>
      <w:r>
        <w:rPr>
          <w:rFonts w:hint="eastAsia" w:ascii="宋体" w:hAnsi="宋体" w:eastAsia="宋体" w:cs="宋体"/>
          <w:sz w:val="24"/>
          <w:szCs w:val="24"/>
          <w:highlight w:val="none"/>
        </w:rPr>
        <w:t>关键零部件的检验。</w:t>
      </w:r>
    </w:p>
    <w:p w14:paraId="011F60AD">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.4.3</w:t>
      </w:r>
      <w:r>
        <w:rPr>
          <w:rFonts w:hint="eastAsia" w:ascii="宋体" w:hAnsi="宋体" w:eastAsia="宋体" w:cs="宋体"/>
          <w:sz w:val="24"/>
          <w:szCs w:val="24"/>
          <w:highlight w:val="none"/>
        </w:rPr>
        <w:t>参数检验：对合同设备主要技术参数进行检验。</w:t>
      </w:r>
    </w:p>
    <w:p w14:paraId="4F08C615">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.4.4</w:t>
      </w:r>
      <w:r>
        <w:rPr>
          <w:rFonts w:hint="eastAsia" w:ascii="宋体" w:hAnsi="宋体" w:eastAsia="宋体" w:cs="宋体"/>
          <w:sz w:val="24"/>
          <w:szCs w:val="24"/>
          <w:highlight w:val="none"/>
        </w:rPr>
        <w:t>精度检验：</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w:t>
      </w:r>
    </w:p>
    <w:p w14:paraId="4D81656E">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.4.5</w:t>
      </w:r>
      <w:r>
        <w:rPr>
          <w:rFonts w:hint="eastAsia" w:ascii="宋体" w:hAnsi="宋体" w:eastAsia="宋体" w:cs="宋体"/>
          <w:sz w:val="24"/>
          <w:szCs w:val="24"/>
          <w:highlight w:val="none"/>
        </w:rPr>
        <w:t>技术资料清点。</w:t>
      </w:r>
    </w:p>
    <w:p w14:paraId="3338C335">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.4.6</w:t>
      </w:r>
      <w:r>
        <w:rPr>
          <w:rFonts w:hint="eastAsia" w:ascii="宋体" w:hAnsi="宋体" w:eastAsia="宋体" w:cs="宋体"/>
          <w:sz w:val="24"/>
          <w:szCs w:val="24"/>
          <w:highlight w:val="none"/>
        </w:rPr>
        <w:t>设备验收时若有不满足要求的情况，卖方需负全部责任。</w:t>
      </w:r>
    </w:p>
    <w:p w14:paraId="46139A63">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.5</w:t>
      </w:r>
      <w:r>
        <w:rPr>
          <w:rFonts w:hint="eastAsia" w:ascii="宋体" w:hAnsi="宋体" w:eastAsia="宋体" w:cs="宋体"/>
          <w:sz w:val="24"/>
          <w:szCs w:val="24"/>
          <w:highlight w:val="none"/>
        </w:rPr>
        <w:t>卖方负责买方相关人员的培训，包括并不限于操作、编程、安全、保养、维护等内容。</w:t>
      </w:r>
    </w:p>
    <w:p w14:paraId="2D142617">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1.6付款方式：</w:t>
      </w:r>
    </w:p>
    <w:p w14:paraId="6CFAECAF">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银行转账或者银承电子承兑</w:t>
      </w:r>
      <w:r>
        <w:rPr>
          <w:rFonts w:hint="eastAsia" w:ascii="宋体" w:hAnsi="宋体" w:eastAsia="宋体" w:cs="宋体"/>
          <w:sz w:val="24"/>
          <w:szCs w:val="24"/>
          <w:highlight w:val="none"/>
        </w:rPr>
        <w:t>汇票；</w:t>
      </w:r>
    </w:p>
    <w:p w14:paraId="27913771">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（2）合同签订后付第一笔款30%；</w:t>
      </w:r>
    </w:p>
    <w:p w14:paraId="35B9D48F">
      <w:pPr>
        <w:widowControl w:val="0"/>
        <w:kinsoku/>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）产品按照甲方要求</w:t>
      </w:r>
      <w:r>
        <w:rPr>
          <w:rFonts w:hint="eastAsia" w:ascii="宋体" w:hAnsi="宋体" w:eastAsia="宋体" w:cs="宋体"/>
          <w:sz w:val="24"/>
          <w:szCs w:val="24"/>
          <w:highlight w:val="none"/>
          <w:lang w:val="en-US" w:eastAsia="zh-CN"/>
        </w:rPr>
        <w:t>生产</w:t>
      </w:r>
      <w:r>
        <w:rPr>
          <w:rFonts w:hint="eastAsia" w:ascii="宋体" w:hAnsi="宋体" w:eastAsia="宋体" w:cs="宋体"/>
          <w:sz w:val="24"/>
          <w:szCs w:val="24"/>
          <w:highlight w:val="none"/>
        </w:rPr>
        <w:t>完毕</w:t>
      </w:r>
      <w:r>
        <w:rPr>
          <w:rFonts w:hint="eastAsia" w:ascii="宋体" w:hAnsi="宋体" w:eastAsia="宋体" w:cs="宋体"/>
          <w:sz w:val="24"/>
          <w:szCs w:val="24"/>
          <w:highlight w:val="none"/>
          <w:lang w:val="en-US" w:eastAsia="zh-CN"/>
        </w:rPr>
        <w:t>具备发货条件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通知</w:t>
      </w:r>
      <w:r>
        <w:rPr>
          <w:rFonts w:hint="eastAsia" w:ascii="宋体" w:hAnsi="宋体" w:eastAsia="宋体" w:cs="宋体"/>
          <w:sz w:val="24"/>
          <w:szCs w:val="24"/>
          <w:highlight w:val="none"/>
        </w:rPr>
        <w:t>甲方支付第</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笔款30%；</w:t>
      </w:r>
    </w:p>
    <w:p w14:paraId="7F3A1369">
      <w:pPr>
        <w:pStyle w:val="17"/>
        <w:ind w:left="0" w:leftChars="0" w:firstLine="0" w:firstLineChars="0"/>
        <w:rPr>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产品交付，</w:t>
      </w:r>
      <w:r>
        <w:rPr>
          <w:rFonts w:hint="eastAsia" w:ascii="宋体" w:hAnsi="宋体" w:eastAsia="宋体" w:cs="宋体"/>
          <w:sz w:val="24"/>
          <w:szCs w:val="24"/>
          <w:highlight w:val="none"/>
        </w:rPr>
        <w:t>乙方组织产品性能试验，技术指标达到合同规定要求，且经甲方确认后，甲方付第</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笔款30%；</w:t>
      </w:r>
    </w:p>
    <w:p w14:paraId="7B03DE49">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（5）剩余10%转为质保金，在验收合格后一年后无质量问题一次性支付（无息）。</w:t>
      </w:r>
    </w:p>
    <w:p w14:paraId="1AEDF918">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2、售后服务</w:t>
      </w:r>
    </w:p>
    <w:p w14:paraId="1DEE9D4C">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1</w:t>
      </w:r>
      <w:r>
        <w:rPr>
          <w:rFonts w:hint="eastAsia" w:ascii="宋体" w:hAnsi="宋体" w:eastAsia="宋体" w:cs="宋体"/>
          <w:sz w:val="24"/>
          <w:szCs w:val="24"/>
          <w:highlight w:val="none"/>
        </w:rPr>
        <w:t>质保期为终验收合格之日起一年。</w:t>
      </w:r>
    </w:p>
    <w:p w14:paraId="13E1B857">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2</w:t>
      </w:r>
      <w:r>
        <w:rPr>
          <w:rFonts w:hint="eastAsia" w:ascii="宋体" w:hAnsi="宋体" w:eastAsia="宋体" w:cs="宋体"/>
          <w:sz w:val="24"/>
          <w:szCs w:val="24"/>
          <w:highlight w:val="none"/>
        </w:rPr>
        <w:t>在质保期内，若因故障造成停工，卖方应在</w:t>
      </w:r>
      <w:r>
        <w:rPr>
          <w:rFonts w:ascii="宋体" w:hAnsi="宋体" w:eastAsia="宋体" w:cs="宋体"/>
          <w:sz w:val="24"/>
          <w:szCs w:val="24"/>
          <w:highlight w:val="none"/>
        </w:rPr>
        <w:t>4</w:t>
      </w:r>
      <w:r>
        <w:rPr>
          <w:rFonts w:hint="eastAsia" w:ascii="宋体" w:hAnsi="宋体" w:eastAsia="宋体" w:cs="宋体"/>
          <w:sz w:val="24"/>
          <w:szCs w:val="24"/>
          <w:highlight w:val="none"/>
        </w:rPr>
        <w:t>小时内进行答复，</w:t>
      </w:r>
      <w:r>
        <w:rPr>
          <w:rFonts w:ascii="宋体" w:hAnsi="宋体" w:eastAsia="宋体" w:cs="宋体"/>
          <w:sz w:val="24"/>
          <w:szCs w:val="24"/>
          <w:highlight w:val="none"/>
        </w:rPr>
        <w:t>24</w:t>
      </w:r>
      <w:r>
        <w:rPr>
          <w:rFonts w:hint="eastAsia" w:ascii="宋体" w:hAnsi="宋体" w:eastAsia="宋体" w:cs="宋体"/>
          <w:sz w:val="24"/>
          <w:szCs w:val="24"/>
          <w:highlight w:val="none"/>
        </w:rPr>
        <w:t>小时内到达用户现场。</w:t>
      </w:r>
    </w:p>
    <w:p w14:paraId="17748187">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3</w:t>
      </w:r>
      <w:r>
        <w:rPr>
          <w:rFonts w:hint="eastAsia" w:ascii="宋体" w:hAnsi="宋体" w:eastAsia="宋体" w:cs="宋体"/>
          <w:sz w:val="24"/>
          <w:szCs w:val="24"/>
          <w:highlight w:val="none"/>
        </w:rPr>
        <w:t>卖方应明确提出设备运行所需的配套风、水、气、电等设施及相应条件，如动力电源、空气压力和用量以及供给口等具体要求。</w:t>
      </w:r>
    </w:p>
    <w:p w14:paraId="056A7F95">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4</w:t>
      </w:r>
      <w:r>
        <w:rPr>
          <w:rFonts w:hint="eastAsia" w:ascii="宋体" w:hAnsi="宋体" w:eastAsia="宋体" w:cs="宋体"/>
          <w:sz w:val="24"/>
          <w:szCs w:val="24"/>
          <w:highlight w:val="none"/>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14:paraId="416184F0">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3、其他要求</w:t>
      </w:r>
    </w:p>
    <w:p w14:paraId="7B12FB39">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.1</w:t>
      </w:r>
      <w:r>
        <w:rPr>
          <w:rFonts w:hint="eastAsia" w:ascii="宋体" w:hAnsi="宋体" w:eastAsia="宋体" w:cs="宋体"/>
          <w:sz w:val="24"/>
          <w:szCs w:val="24"/>
          <w:highlight w:val="none"/>
        </w:rPr>
        <w:t>投标方应对以上条款进行逐条响应，完全响应注明“</w:t>
      </w:r>
      <w:r>
        <w:rPr>
          <w:rFonts w:hint="eastAsia" w:ascii="宋体" w:hAnsi="宋体" w:eastAsia="宋体" w:cs="宋体"/>
          <w:b/>
          <w:sz w:val="24"/>
          <w:szCs w:val="24"/>
          <w:highlight w:val="none"/>
        </w:rPr>
        <w:t>符合</w:t>
      </w:r>
      <w:r>
        <w:rPr>
          <w:rFonts w:hint="eastAsia" w:ascii="宋体" w:hAnsi="宋体" w:eastAsia="宋体" w:cs="宋体"/>
          <w:sz w:val="24"/>
          <w:szCs w:val="24"/>
          <w:highlight w:val="none"/>
        </w:rPr>
        <w:t>”，如有偏离须注明“</w:t>
      </w:r>
      <w:r>
        <w:rPr>
          <w:rFonts w:hint="eastAsia" w:ascii="宋体" w:hAnsi="宋体" w:eastAsia="宋体" w:cs="宋体"/>
          <w:b/>
          <w:sz w:val="24"/>
          <w:szCs w:val="24"/>
          <w:highlight w:val="none"/>
        </w:rPr>
        <w:t>偏离</w:t>
      </w:r>
      <w:r>
        <w:rPr>
          <w:rFonts w:hint="eastAsia" w:ascii="宋体" w:hAnsi="宋体" w:eastAsia="宋体" w:cs="宋体"/>
          <w:sz w:val="24"/>
          <w:szCs w:val="24"/>
          <w:highlight w:val="none"/>
        </w:rPr>
        <w:t>”并描述偏离内容，是“</w:t>
      </w:r>
      <w:r>
        <w:rPr>
          <w:rFonts w:hint="eastAsia" w:ascii="宋体" w:hAnsi="宋体" w:eastAsia="宋体" w:cs="宋体"/>
          <w:b/>
          <w:sz w:val="24"/>
          <w:szCs w:val="24"/>
          <w:highlight w:val="none"/>
        </w:rPr>
        <w:t>优于</w:t>
      </w:r>
      <w:r>
        <w:rPr>
          <w:rFonts w:hint="eastAsia" w:ascii="宋体" w:hAnsi="宋体" w:eastAsia="宋体" w:cs="宋体"/>
          <w:sz w:val="24"/>
          <w:szCs w:val="24"/>
          <w:highlight w:val="none"/>
        </w:rPr>
        <w:t>”条款要求还是“</w:t>
      </w:r>
      <w:r>
        <w:rPr>
          <w:rFonts w:hint="eastAsia" w:ascii="宋体" w:hAnsi="宋体" w:eastAsia="宋体" w:cs="宋体"/>
          <w:b/>
          <w:sz w:val="24"/>
          <w:szCs w:val="24"/>
          <w:highlight w:val="none"/>
        </w:rPr>
        <w:t>未达到</w:t>
      </w:r>
      <w:r>
        <w:rPr>
          <w:rFonts w:hint="eastAsia" w:ascii="宋体" w:hAnsi="宋体" w:eastAsia="宋体" w:cs="宋体"/>
          <w:sz w:val="24"/>
          <w:szCs w:val="24"/>
          <w:highlight w:val="none"/>
        </w:rPr>
        <w:t>”条款要求。标★的条款</w:t>
      </w:r>
      <w:r>
        <w:rPr>
          <w:rFonts w:hint="eastAsia" w:ascii="宋体" w:hAnsi="宋体" w:eastAsia="宋体" w:cs="宋体"/>
          <w:sz w:val="24"/>
          <w:szCs w:val="24"/>
          <w:highlight w:val="none"/>
          <w:lang w:val="en-US" w:eastAsia="zh-CN"/>
        </w:rPr>
        <w:t>关键参数</w:t>
      </w:r>
      <w:r>
        <w:rPr>
          <w:rFonts w:hint="eastAsia" w:ascii="宋体" w:hAnsi="宋体" w:eastAsia="宋体" w:cs="宋体"/>
          <w:sz w:val="24"/>
          <w:szCs w:val="24"/>
          <w:highlight w:val="none"/>
        </w:rPr>
        <w:t>。</w:t>
      </w:r>
    </w:p>
    <w:p w14:paraId="49EE997D">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.2</w:t>
      </w:r>
      <w:r>
        <w:rPr>
          <w:rFonts w:hint="eastAsia" w:ascii="宋体" w:hAnsi="宋体" w:eastAsia="宋体" w:cs="宋体"/>
          <w:sz w:val="24"/>
          <w:szCs w:val="24"/>
          <w:highlight w:val="none"/>
        </w:rPr>
        <w:t>本招标文件中涉及产品的品牌、型号，仅为供应商提供报价产品的技术指标、产品质量的客观参考，帮助供应商准确理解采购人的需求，其建议产品的品牌、型号具有可替代性，但必须明确说明。</w:t>
      </w:r>
    </w:p>
    <w:p w14:paraId="33D4F716">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.3</w:t>
      </w:r>
      <w:r>
        <w:rPr>
          <w:rFonts w:hint="eastAsia" w:ascii="宋体" w:hAnsi="宋体" w:eastAsia="宋体" w:cs="宋体"/>
          <w:sz w:val="24"/>
          <w:szCs w:val="24"/>
          <w:highlight w:val="none"/>
        </w:rPr>
        <w:t>本文件中甲方、用户、需方、买方等泛指采购人，乙方、供方、卖方等泛指供应商。</w:t>
      </w:r>
    </w:p>
    <w:p w14:paraId="2905AF77">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.4</w:t>
      </w:r>
      <w:r>
        <w:rPr>
          <w:rFonts w:hint="eastAsia" w:ascii="宋体" w:hAnsi="宋体" w:eastAsia="宋体" w:cs="宋体"/>
          <w:sz w:val="24"/>
          <w:szCs w:val="24"/>
          <w:highlight w:val="none"/>
        </w:rPr>
        <w:t>投标方应另附独立章节详细说明设备结构特点、技术参数、配置等。</w:t>
      </w:r>
    </w:p>
    <w:p w14:paraId="54D452A6">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.5</w:t>
      </w:r>
      <w:r>
        <w:rPr>
          <w:rFonts w:hint="eastAsia" w:ascii="宋体" w:hAnsi="宋体" w:eastAsia="宋体" w:cs="宋体"/>
          <w:sz w:val="24"/>
          <w:szCs w:val="24"/>
          <w:highlight w:val="none"/>
        </w:rPr>
        <w:t>投标方应另附独立章节详细说明原厂商规模实力、技术服务能力，卖方规模实力、技术服务能力。</w:t>
      </w:r>
    </w:p>
    <w:p w14:paraId="6A186239">
      <w:pPr>
        <w:pStyle w:val="17"/>
        <w:spacing w:line="360" w:lineRule="auto"/>
        <w:ind w:firstLine="480"/>
        <w:rPr>
          <w:rFonts w:ascii="宋体" w:hAnsi="宋体" w:eastAsia="宋体" w:cs="宋体"/>
          <w:sz w:val="24"/>
          <w:szCs w:val="24"/>
          <w:highlight w:val="none"/>
        </w:rPr>
      </w:pPr>
    </w:p>
    <w:p w14:paraId="68F9AD23">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highlight w:val="none"/>
        </w:rPr>
      </w:pPr>
    </w:p>
    <w:p w14:paraId="755FFBD6">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highlight w:val="none"/>
        </w:rPr>
      </w:pPr>
    </w:p>
    <w:p w14:paraId="41860F71">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highlight w:val="none"/>
        </w:rPr>
      </w:pPr>
    </w:p>
    <w:p w14:paraId="7BC8B7B0">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highlight w:val="none"/>
        </w:rPr>
      </w:pPr>
    </w:p>
    <w:p w14:paraId="2A8C36AE">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highlight w:val="none"/>
        </w:rPr>
      </w:pPr>
    </w:p>
    <w:p w14:paraId="11CD6364">
      <w:pPr>
        <w:pStyle w:val="17"/>
        <w:rPr>
          <w:rFonts w:ascii="宋体" w:hAnsi="宋体" w:eastAsia="宋体" w:cs="宋体"/>
          <w:b/>
          <w:bCs/>
          <w:sz w:val="36"/>
          <w:szCs w:val="44"/>
          <w:highlight w:val="none"/>
        </w:rPr>
      </w:pPr>
    </w:p>
    <w:p w14:paraId="3B1F7819">
      <w:pPr>
        <w:pStyle w:val="17"/>
        <w:ind w:left="0" w:leftChars="0" w:firstLine="0" w:firstLineChars="0"/>
        <w:rPr>
          <w:rFonts w:ascii="宋体" w:hAnsi="宋体" w:eastAsia="宋体" w:cs="宋体"/>
          <w:b/>
          <w:bCs/>
          <w:sz w:val="36"/>
          <w:szCs w:val="44"/>
          <w:highlight w:val="none"/>
        </w:rPr>
      </w:pPr>
    </w:p>
    <w:p w14:paraId="0E98D62C">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6" w:name="_Toc22926"/>
    </w:p>
    <w:p w14:paraId="290D89D7">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14:paraId="7C2E4136">
      <w:pPr>
        <w:spacing w:before="240" w:beforeLines="100" w:line="360" w:lineRule="auto"/>
        <w:jc w:val="center"/>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二、投标人须知</w:t>
      </w:r>
      <w:bookmarkEnd w:id="6"/>
    </w:p>
    <w:p w14:paraId="165DB75D">
      <w:pPr>
        <w:spacing w:before="329"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（一）</w:t>
      </w:r>
      <w:r>
        <w:rPr>
          <w:rFonts w:ascii="黑体" w:hAnsi="黑体" w:eastAsia="黑体" w:cs="黑体"/>
          <w:sz w:val="28"/>
          <w:szCs w:val="28"/>
          <w:highlight w:val="none"/>
        </w:rPr>
        <w:t>投标要求</w:t>
      </w:r>
    </w:p>
    <w:p w14:paraId="26CCFAF8">
      <w:pPr>
        <w:spacing w:before="255"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投标人应遵守国家有关招标投标法律、法规、部门规章和规范性文件。</w:t>
      </w:r>
    </w:p>
    <w:p w14:paraId="395F7736">
      <w:pPr>
        <w:spacing w:before="227"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投标资</w:t>
      </w:r>
      <w:r>
        <w:rPr>
          <w:rFonts w:hint="eastAsia" w:ascii="宋体" w:hAnsi="宋体" w:eastAsia="宋体" w:cs="宋体"/>
          <w:sz w:val="24"/>
          <w:szCs w:val="24"/>
          <w:highlight w:val="none"/>
        </w:rPr>
        <w:t>格（包括但不限于）：</w:t>
      </w:r>
    </w:p>
    <w:p w14:paraId="1BACDD78">
      <w:pPr>
        <w:tabs>
          <w:tab w:val="left" w:pos="620"/>
        </w:tabs>
        <w:spacing w:before="34"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具有独立承担民事责任的能力；具有良好的商业信誉和健全的财务会计制度；具有履合同所必需的产品和专业技术能力；有依法缴纳税收和社会保障资金的良好记录；参加政府采购活动前三年内，在经营活动中没有重大违法记录；法律、行政法规规定的其它条件；</w:t>
      </w:r>
    </w:p>
    <w:p w14:paraId="7F05D381">
      <w:pPr>
        <w:tabs>
          <w:tab w:val="left" w:pos="620"/>
        </w:tabs>
        <w:spacing w:before="34" w:line="360" w:lineRule="auto"/>
        <w:ind w:firstLine="480" w:firstLineChars="200"/>
        <w:rPr>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.2满足招标文件中招标公告及项目要求等的其它条件。</w:t>
      </w:r>
    </w:p>
    <w:p w14:paraId="1DC67053">
      <w:pPr>
        <w:numPr>
          <w:ilvl w:val="0"/>
          <w:numId w:val="2"/>
        </w:numPr>
        <w:tabs>
          <w:tab w:val="left" w:pos="620"/>
        </w:tabs>
        <w:spacing w:before="34"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投标费用：投标人应承担投标过程中所涉及的一切费用，不管投标结果如何，招标人对上述费用不负任何责任。</w:t>
      </w:r>
    </w:p>
    <w:p w14:paraId="617AD469">
      <w:pPr>
        <w:spacing w:before="227"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货物及伴随服务</w:t>
      </w:r>
    </w:p>
    <w:p w14:paraId="1E109B42">
      <w:pPr>
        <w:tabs>
          <w:tab w:val="left" w:pos="620"/>
        </w:tabs>
        <w:spacing w:before="34"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除按照招标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44154ACB">
      <w:pPr>
        <w:spacing w:before="329"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（二）投标报价</w:t>
      </w:r>
    </w:p>
    <w:p w14:paraId="3FAA58C5">
      <w:pPr>
        <w:spacing w:before="257" w:line="360" w:lineRule="auto"/>
        <w:ind w:right="75"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1、投标报价要求按招标文件要求报价，并按招标文件中所</w:t>
      </w:r>
      <w:r>
        <w:rPr>
          <w:rFonts w:ascii="宋体" w:hAnsi="宋体" w:eastAsia="宋体" w:cs="宋体"/>
          <w:sz w:val="24"/>
          <w:szCs w:val="24"/>
          <w:highlight w:val="none"/>
        </w:rPr>
        <w:t>附《投标函》</w:t>
      </w:r>
      <w:r>
        <w:rPr>
          <w:rFonts w:hint="eastAsia" w:ascii="宋体" w:hAnsi="宋体" w:eastAsia="宋体" w:cs="宋体"/>
          <w:sz w:val="24"/>
          <w:szCs w:val="24"/>
          <w:highlight w:val="none"/>
        </w:rPr>
        <w:t>、</w:t>
      </w:r>
      <w:r>
        <w:rPr>
          <w:rFonts w:ascii="宋体" w:hAnsi="宋体" w:eastAsia="宋体" w:cs="宋体"/>
          <w:sz w:val="24"/>
          <w:szCs w:val="24"/>
          <w:highlight w:val="none"/>
        </w:rPr>
        <w:t>《投标报价表》格式填写。</w:t>
      </w:r>
    </w:p>
    <w:p w14:paraId="158725E2">
      <w:pPr>
        <w:spacing w:before="228"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所有投标均以人民币报价。</w:t>
      </w:r>
    </w:p>
    <w:p w14:paraId="5FEE6674">
      <w:pPr>
        <w:spacing w:before="257" w:line="360" w:lineRule="auto"/>
        <w:ind w:right="75"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3、投标人所报单价在本招标文件项下的合同履行期间不能因市场变化因素而变动。</w:t>
      </w:r>
    </w:p>
    <w:p w14:paraId="396D96B8">
      <w:pPr>
        <w:spacing w:before="257" w:line="360" w:lineRule="auto"/>
        <w:ind w:right="75"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14:paraId="7F46988B">
      <w:pPr>
        <w:spacing w:before="257" w:line="360" w:lineRule="auto"/>
        <w:ind w:right="75"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5、招标人有权重视各投标人全部报价的合理性。所有投标人不能相互串通、哄抬报价，若有发现，招标人有权宣布其投标无效。</w:t>
      </w:r>
    </w:p>
    <w:p w14:paraId="089785A6">
      <w:pPr>
        <w:spacing w:before="231"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w:t>
      </w:r>
      <w:r>
        <w:rPr>
          <w:rFonts w:ascii="黑体" w:hAnsi="黑体" w:eastAsia="黑体" w:cs="黑体"/>
          <w:sz w:val="28"/>
          <w:szCs w:val="28"/>
          <w:highlight w:val="none"/>
        </w:rPr>
        <w:t>三</w:t>
      </w:r>
      <w:r>
        <w:rPr>
          <w:rFonts w:hint="eastAsia" w:ascii="黑体" w:hAnsi="黑体" w:eastAsia="黑体" w:cs="黑体"/>
          <w:sz w:val="28"/>
          <w:szCs w:val="28"/>
          <w:highlight w:val="none"/>
        </w:rPr>
        <w:t>）</w:t>
      </w:r>
      <w:r>
        <w:rPr>
          <w:rFonts w:ascii="黑体" w:hAnsi="黑体" w:eastAsia="黑体" w:cs="黑体"/>
          <w:sz w:val="28"/>
          <w:szCs w:val="28"/>
          <w:highlight w:val="none"/>
        </w:rPr>
        <w:t>投标文件</w:t>
      </w:r>
    </w:p>
    <w:p w14:paraId="3C06B28D">
      <w:pPr>
        <w:spacing w:before="256"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1、投标人应填写其单位名称全称。</w:t>
      </w:r>
    </w:p>
    <w:p w14:paraId="2B6765BD">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投标文件包括《投标函》、《投标报价表》、《技术协议》、《技术和商务条款响应表》、《投标人产品质量承诺函》、《售后服务承诺》、《投资人的资格申明》、《法定代表人授权书》、《业绩表》、《制造商资质证明条件》、《制造商授权代理商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企业信用等级证书（如果有）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质量、环境、健康体系证书（如果有）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上一年度企业财务会计报告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近三年的相关业绩，列出用户名称及金额。</w:t>
      </w:r>
      <w:r>
        <w:rPr>
          <w:rFonts w:hint="eastAsia" w:ascii="宋体" w:hAnsi="宋体" w:eastAsia="宋体" w:cs="宋体"/>
          <w:sz w:val="24"/>
          <w:szCs w:val="24"/>
          <w:highlight w:val="none"/>
          <w:lang w:eastAsia="zh-CN"/>
        </w:rPr>
        <w:t>》</w:t>
      </w:r>
    </w:p>
    <w:p w14:paraId="01FA3617">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投标人企业概况及综合情况说明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服务承诺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和投标人认为需要提供的其他相关数据和资料。</w:t>
      </w:r>
    </w:p>
    <w:p w14:paraId="3482830B">
      <w:pPr>
        <w:spacing w:before="226" w:line="360" w:lineRule="auto"/>
        <w:ind w:right="6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3、《投标函》、《投标报价表》须加盖投标人公章，由其法定代表人或其委托代理人亲笔签字。</w:t>
      </w:r>
    </w:p>
    <w:p w14:paraId="418929FF">
      <w:pPr>
        <w:spacing w:before="226" w:line="360" w:lineRule="auto"/>
        <w:ind w:right="61" w:firstLine="480" w:firstLineChars="200"/>
        <w:rPr>
          <w:rFonts w:ascii="黑体" w:hAnsi="黑体" w:eastAsia="黑体" w:cs="黑体"/>
          <w:sz w:val="28"/>
          <w:szCs w:val="28"/>
          <w:highlight w:val="none"/>
        </w:rPr>
      </w:pPr>
      <w:r>
        <w:rPr>
          <w:rFonts w:hint="eastAsia" w:ascii="宋体" w:hAnsi="宋体" w:eastAsia="宋体" w:cs="宋体"/>
          <w:sz w:val="24"/>
          <w:szCs w:val="24"/>
          <w:highlight w:val="none"/>
        </w:rPr>
        <w:t>4、自开标之日起60天内，投标文件应保持有效。有效期短于前述规定期限的投标，将被拒绝。</w:t>
      </w:r>
    </w:p>
    <w:p w14:paraId="45DF4DAF">
      <w:pPr>
        <w:spacing w:before="231"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w:t>
      </w:r>
      <w:r>
        <w:rPr>
          <w:rFonts w:ascii="黑体" w:hAnsi="黑体" w:eastAsia="黑体" w:cs="黑体"/>
          <w:sz w:val="28"/>
          <w:szCs w:val="28"/>
          <w:highlight w:val="none"/>
        </w:rPr>
        <w:t>四</w:t>
      </w:r>
      <w:r>
        <w:rPr>
          <w:rFonts w:hint="eastAsia" w:ascii="黑体" w:hAnsi="黑体" w:eastAsia="黑体" w:cs="黑体"/>
          <w:sz w:val="28"/>
          <w:szCs w:val="28"/>
          <w:highlight w:val="none"/>
        </w:rPr>
        <w:t>）</w:t>
      </w:r>
      <w:r>
        <w:rPr>
          <w:rFonts w:ascii="黑体" w:hAnsi="黑体" w:eastAsia="黑体" w:cs="黑体"/>
          <w:sz w:val="28"/>
          <w:szCs w:val="28"/>
          <w:highlight w:val="none"/>
        </w:rPr>
        <w:t>开标、评标、定标</w:t>
      </w:r>
    </w:p>
    <w:p w14:paraId="25DD15D7">
      <w:pPr>
        <w:spacing w:before="256"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1、开标时，将按照招标人有关招投标规定执行。</w:t>
      </w:r>
    </w:p>
    <w:p w14:paraId="3DD7D367">
      <w:pPr>
        <w:spacing w:before="256"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2、开标后由招标人组建的评标委员会进行评标，</w:t>
      </w:r>
      <w:r>
        <w:rPr>
          <w:rFonts w:ascii="宋体" w:hAnsi="宋体" w:eastAsia="宋体" w:cs="宋体"/>
          <w:sz w:val="24"/>
          <w:szCs w:val="24"/>
          <w:highlight w:val="none"/>
        </w:rPr>
        <w:t>以经评审的</w:t>
      </w:r>
      <w:r>
        <w:rPr>
          <w:rFonts w:hint="eastAsia" w:ascii="宋体" w:hAnsi="宋体" w:eastAsia="宋体" w:cs="宋体"/>
          <w:sz w:val="24"/>
          <w:szCs w:val="24"/>
          <w:highlight w:val="none"/>
        </w:rPr>
        <w:t>综合评分</w:t>
      </w:r>
      <w:r>
        <w:rPr>
          <w:rFonts w:ascii="宋体" w:hAnsi="宋体" w:eastAsia="宋体" w:cs="宋体"/>
          <w:sz w:val="24"/>
          <w:szCs w:val="24"/>
          <w:highlight w:val="none"/>
        </w:rPr>
        <w:t>法确定中标人。</w:t>
      </w:r>
    </w:p>
    <w:p w14:paraId="002EB0C1">
      <w:pPr>
        <w:spacing w:before="225"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招标人不对未中标的投标人作任何解释，不退还投标文件。</w:t>
      </w:r>
    </w:p>
    <w:p w14:paraId="7AC2080C">
      <w:pPr>
        <w:spacing w:before="231"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w:t>
      </w:r>
      <w:r>
        <w:rPr>
          <w:rFonts w:ascii="黑体" w:hAnsi="黑体" w:eastAsia="黑体" w:cs="黑体"/>
          <w:sz w:val="28"/>
          <w:szCs w:val="28"/>
          <w:highlight w:val="none"/>
        </w:rPr>
        <w:t>五</w:t>
      </w:r>
      <w:r>
        <w:rPr>
          <w:rFonts w:hint="eastAsia" w:ascii="黑体" w:hAnsi="黑体" w:eastAsia="黑体" w:cs="黑体"/>
          <w:sz w:val="28"/>
          <w:szCs w:val="28"/>
          <w:highlight w:val="none"/>
        </w:rPr>
        <w:t>）</w:t>
      </w:r>
      <w:r>
        <w:rPr>
          <w:rFonts w:ascii="黑体" w:hAnsi="黑体" w:eastAsia="黑体" w:cs="黑体"/>
          <w:sz w:val="28"/>
          <w:szCs w:val="28"/>
          <w:highlight w:val="none"/>
        </w:rPr>
        <w:t>合同签订</w:t>
      </w:r>
    </w:p>
    <w:p w14:paraId="181F7B80">
      <w:pPr>
        <w:spacing w:before="257" w:line="360" w:lineRule="auto"/>
        <w:ind w:right="8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中标人应在接到中标通知书之日起</w:t>
      </w:r>
      <w:r>
        <w:rPr>
          <w:rFonts w:hint="eastAsia" w:ascii="宋体" w:hAnsi="宋体" w:eastAsia="宋体" w:cs="宋体"/>
          <w:sz w:val="24"/>
          <w:szCs w:val="24"/>
          <w:highlight w:val="none"/>
          <w:lang w:val="en-US" w:eastAsia="zh-CN"/>
        </w:rPr>
        <w:t>10</w:t>
      </w:r>
      <w:r>
        <w:rPr>
          <w:rFonts w:ascii="宋体" w:hAnsi="宋体" w:eastAsia="宋体" w:cs="宋体"/>
          <w:sz w:val="24"/>
          <w:szCs w:val="24"/>
          <w:highlight w:val="none"/>
        </w:rPr>
        <w:t>日内（含节假日）与招标人签订买卖合同，中标人因自身原因不与招标人签订买卖合同的，视为自愿放弃该次中标。</w:t>
      </w:r>
    </w:p>
    <w:p w14:paraId="40E1E3F8">
      <w:pPr>
        <w:spacing w:before="228" w:line="360" w:lineRule="auto"/>
        <w:ind w:right="8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中标人必须保证中标产品质量的稳定，如果招标人发现产品质量不符合本招标文件要求的标准，或者发生质量下降，招标人有权单方面终止买卖合同。</w:t>
      </w:r>
    </w:p>
    <w:p w14:paraId="6BF9AE84">
      <w:pPr>
        <w:spacing w:before="228"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中标人延误买卖合同约定的产品交付期限，招标人有权追究中标人责任。</w:t>
      </w:r>
    </w:p>
    <w:p w14:paraId="6BCAD09A">
      <w:pPr>
        <w:spacing w:before="226" w:line="360" w:lineRule="auto"/>
        <w:ind w:right="80" w:firstLine="480" w:firstLineChars="200"/>
        <w:rPr>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在买卖合同有效期内，中标人如违反买卖合同的约定，招标人有权单方面终止买卖合同。</w:t>
      </w:r>
    </w:p>
    <w:p w14:paraId="7040F0FC">
      <w:pPr>
        <w:spacing w:before="229"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w:t>
      </w:r>
      <w:r>
        <w:rPr>
          <w:rFonts w:ascii="黑体" w:hAnsi="黑体" w:eastAsia="黑体" w:cs="黑体"/>
          <w:sz w:val="28"/>
          <w:szCs w:val="28"/>
          <w:highlight w:val="none"/>
        </w:rPr>
        <w:t>六</w:t>
      </w:r>
      <w:r>
        <w:rPr>
          <w:rFonts w:hint="eastAsia" w:ascii="黑体" w:hAnsi="黑体" w:eastAsia="黑体" w:cs="黑体"/>
          <w:sz w:val="28"/>
          <w:szCs w:val="28"/>
          <w:highlight w:val="none"/>
        </w:rPr>
        <w:t>）</w:t>
      </w:r>
      <w:r>
        <w:rPr>
          <w:rFonts w:ascii="黑体" w:hAnsi="黑体" w:eastAsia="黑体" w:cs="黑体"/>
          <w:sz w:val="28"/>
          <w:szCs w:val="28"/>
          <w:highlight w:val="none"/>
        </w:rPr>
        <w:t>纪律要求</w:t>
      </w:r>
    </w:p>
    <w:p w14:paraId="6C5B1B23">
      <w:pPr>
        <w:spacing w:before="228" w:line="360" w:lineRule="auto"/>
        <w:ind w:right="8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57090B56">
      <w:pPr>
        <w:spacing w:before="228" w:line="360" w:lineRule="auto"/>
        <w:ind w:right="8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评标委员会及其组成人员应严格自律，严格遵守国家法律、法规，并接受监察部门的监督。</w:t>
      </w:r>
    </w:p>
    <w:p w14:paraId="5A91E809">
      <w:pPr>
        <w:spacing w:before="231"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w:t>
      </w:r>
      <w:r>
        <w:rPr>
          <w:rFonts w:ascii="黑体" w:hAnsi="黑体" w:eastAsia="黑体" w:cs="黑体"/>
          <w:sz w:val="28"/>
          <w:szCs w:val="28"/>
          <w:highlight w:val="none"/>
        </w:rPr>
        <w:t>七</w:t>
      </w:r>
      <w:r>
        <w:rPr>
          <w:rFonts w:hint="eastAsia" w:ascii="黑体" w:hAnsi="黑体" w:eastAsia="黑体" w:cs="黑体"/>
          <w:sz w:val="28"/>
          <w:szCs w:val="28"/>
          <w:highlight w:val="none"/>
        </w:rPr>
        <w:t>）</w:t>
      </w:r>
      <w:r>
        <w:rPr>
          <w:rFonts w:ascii="黑体" w:hAnsi="黑体" w:eastAsia="黑体" w:cs="黑体"/>
          <w:sz w:val="28"/>
          <w:szCs w:val="28"/>
          <w:highlight w:val="none"/>
        </w:rPr>
        <w:t>其他</w:t>
      </w:r>
    </w:p>
    <w:p w14:paraId="105C6206">
      <w:pPr>
        <w:spacing w:before="256"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中标人若改变生产工艺，需征得招标人同意，并需重新认可。</w:t>
      </w:r>
    </w:p>
    <w:p w14:paraId="254C6B21">
      <w:pPr>
        <w:spacing w:before="225" w:line="360" w:lineRule="auto"/>
        <w:ind w:right="8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z w:val="24"/>
          <w:szCs w:val="24"/>
          <w:highlight w:val="none"/>
        </w:rPr>
        <w:t>。</w:t>
      </w:r>
    </w:p>
    <w:p w14:paraId="736313D7">
      <w:pPr>
        <w:pStyle w:val="17"/>
        <w:spacing w:line="360" w:lineRule="auto"/>
        <w:ind w:firstLine="480"/>
        <w:rPr>
          <w:rFonts w:ascii="宋体" w:hAnsi="宋体" w:eastAsia="宋体" w:cs="宋体"/>
          <w:sz w:val="24"/>
          <w:szCs w:val="24"/>
          <w:highlight w:val="none"/>
        </w:rPr>
      </w:pPr>
    </w:p>
    <w:p w14:paraId="5EBFF6DA">
      <w:pPr>
        <w:pStyle w:val="17"/>
        <w:spacing w:line="360" w:lineRule="auto"/>
        <w:ind w:firstLine="480"/>
        <w:rPr>
          <w:rFonts w:ascii="宋体" w:hAnsi="宋体" w:eastAsia="宋体" w:cs="宋体"/>
          <w:sz w:val="24"/>
          <w:szCs w:val="24"/>
          <w:highlight w:val="none"/>
        </w:rPr>
      </w:pPr>
    </w:p>
    <w:p w14:paraId="2BA04D63">
      <w:pPr>
        <w:kinsoku/>
        <w:autoSpaceDE/>
        <w:autoSpaceDN/>
        <w:adjustRightInd/>
        <w:snapToGrid/>
        <w:spacing w:line="360" w:lineRule="auto"/>
        <w:textAlignment w:val="auto"/>
        <w:rPr>
          <w:rFonts w:ascii="宋体" w:hAnsi="宋体" w:eastAsia="宋体" w:cs="宋体"/>
          <w:b/>
          <w:bCs/>
          <w:sz w:val="36"/>
          <w:szCs w:val="44"/>
          <w:highlight w:val="none"/>
        </w:rPr>
      </w:pPr>
      <w:r>
        <w:rPr>
          <w:rFonts w:ascii="宋体" w:hAnsi="宋体" w:eastAsia="宋体" w:cs="宋体"/>
          <w:b/>
          <w:bCs/>
          <w:sz w:val="36"/>
          <w:szCs w:val="44"/>
          <w:highlight w:val="none"/>
        </w:rPr>
        <w:br w:type="page"/>
      </w:r>
    </w:p>
    <w:p w14:paraId="57FDBACB">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32"/>
          <w:highlight w:val="none"/>
        </w:rPr>
      </w:pPr>
    </w:p>
    <w:p w14:paraId="03FDB58A">
      <w:pPr>
        <w:widowControl w:val="0"/>
        <w:kinsoku/>
        <w:autoSpaceDE/>
        <w:autoSpaceDN/>
        <w:adjustRightInd/>
        <w:snapToGrid/>
        <w:spacing w:line="360" w:lineRule="auto"/>
        <w:ind w:firstLine="723" w:firstLineChars="200"/>
        <w:jc w:val="center"/>
        <w:textAlignment w:val="auto"/>
        <w:rPr>
          <w:rFonts w:ascii="宋体" w:hAnsi="宋体" w:eastAsia="宋体" w:cs="宋体"/>
          <w:sz w:val="24"/>
          <w:szCs w:val="32"/>
          <w:highlight w:val="none"/>
        </w:rPr>
      </w:pPr>
      <w:r>
        <w:rPr>
          <w:rFonts w:hint="eastAsia" w:ascii="宋体" w:hAnsi="宋体" w:eastAsia="宋体" w:cs="宋体"/>
          <w:b/>
          <w:bCs/>
          <w:sz w:val="36"/>
          <w:szCs w:val="44"/>
          <w:highlight w:val="none"/>
          <w:lang w:val="en-US" w:eastAsia="zh-CN"/>
        </w:rPr>
        <w:t>综合</w:t>
      </w:r>
      <w:r>
        <w:rPr>
          <w:rFonts w:hint="eastAsia" w:ascii="宋体" w:hAnsi="宋体" w:eastAsia="宋体" w:cs="宋体"/>
          <w:b/>
          <w:bCs/>
          <w:sz w:val="36"/>
          <w:szCs w:val="44"/>
          <w:highlight w:val="none"/>
        </w:rPr>
        <w:t>评标评分标准</w:t>
      </w:r>
    </w:p>
    <w:p w14:paraId="19E62312">
      <w:pPr>
        <w:widowControl w:val="0"/>
        <w:kinsoku/>
        <w:autoSpaceDE/>
        <w:autoSpaceDN/>
        <w:adjustRightInd/>
        <w:snapToGrid/>
        <w:spacing w:before="120" w:beforeLines="50" w:line="360" w:lineRule="auto"/>
        <w:ind w:firstLine="482" w:firstLineChars="200"/>
        <w:jc w:val="both"/>
        <w:textAlignment w:val="auto"/>
        <w:rPr>
          <w:rFonts w:ascii="宋体" w:hAnsi="宋体" w:eastAsia="宋体" w:cs="宋体"/>
          <w:b/>
          <w:bCs/>
          <w:sz w:val="24"/>
          <w:highlight w:val="none"/>
        </w:rPr>
      </w:pPr>
      <w:r>
        <w:rPr>
          <w:rFonts w:hint="eastAsia" w:ascii="宋体" w:hAnsi="宋体" w:eastAsia="宋体" w:cs="宋体"/>
          <w:b/>
          <w:bCs/>
          <w:sz w:val="24"/>
          <w:highlight w:val="none"/>
        </w:rPr>
        <w:t>1、技术部分（分值</w:t>
      </w:r>
      <w:r>
        <w:rPr>
          <w:rFonts w:hint="eastAsia" w:ascii="宋体" w:hAnsi="宋体" w:eastAsia="宋体" w:cs="宋体"/>
          <w:b/>
          <w:bCs/>
          <w:sz w:val="24"/>
          <w:highlight w:val="none"/>
          <w:lang w:val="en-US" w:eastAsia="zh-CN"/>
        </w:rPr>
        <w:t>1</w:t>
      </w:r>
      <w:r>
        <w:rPr>
          <w:rFonts w:ascii="宋体" w:hAnsi="宋体" w:eastAsia="宋体" w:cs="宋体"/>
          <w:b/>
          <w:bCs/>
          <w:sz w:val="24"/>
          <w:highlight w:val="none"/>
        </w:rPr>
        <w:t>0</w:t>
      </w:r>
      <w:r>
        <w:rPr>
          <w:rFonts w:hint="eastAsia" w:ascii="宋体" w:hAnsi="宋体" w:eastAsia="宋体" w:cs="宋体"/>
          <w:b/>
          <w:bCs/>
          <w:sz w:val="24"/>
          <w:highlight w:val="none"/>
        </w:rPr>
        <w:t>分）</w:t>
      </w:r>
    </w:p>
    <w:tbl>
      <w:tblPr>
        <w:tblStyle w:val="13"/>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3595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22611113">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Mar>
              <w:left w:w="103" w:type="dxa"/>
            </w:tcMar>
            <w:vAlign w:val="center"/>
          </w:tcPr>
          <w:p w14:paraId="583E2A44">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860" w:type="dxa"/>
            <w:tcMar>
              <w:left w:w="103" w:type="dxa"/>
            </w:tcMar>
            <w:vAlign w:val="center"/>
          </w:tcPr>
          <w:p w14:paraId="27D7A3D3">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tc>
        <w:tc>
          <w:tcPr>
            <w:tcW w:w="5296" w:type="dxa"/>
            <w:tcMar>
              <w:left w:w="103" w:type="dxa"/>
            </w:tcMar>
            <w:vAlign w:val="center"/>
          </w:tcPr>
          <w:p w14:paraId="5C5DA54F">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1134" w:type="dxa"/>
            <w:tcMar>
              <w:left w:w="103" w:type="dxa"/>
            </w:tcMar>
            <w:vAlign w:val="center"/>
          </w:tcPr>
          <w:p w14:paraId="0D3FCA46">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实得分</w:t>
            </w:r>
          </w:p>
        </w:tc>
      </w:tr>
      <w:tr w14:paraId="4A2B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5E26F2C1">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0" w:type="dxa"/>
            <w:tcMar>
              <w:left w:w="103" w:type="dxa"/>
            </w:tcMar>
            <w:vAlign w:val="center"/>
          </w:tcPr>
          <w:p w14:paraId="09B9611E">
            <w:pPr>
              <w:pStyle w:val="7"/>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技术要求</w:t>
            </w:r>
          </w:p>
        </w:tc>
        <w:tc>
          <w:tcPr>
            <w:tcW w:w="860" w:type="dxa"/>
            <w:tcMar>
              <w:left w:w="103" w:type="dxa"/>
            </w:tcMar>
            <w:vAlign w:val="center"/>
          </w:tcPr>
          <w:p w14:paraId="7F7259AD">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0</w:t>
            </w:r>
            <w:r>
              <w:rPr>
                <w:rFonts w:hint="eastAsia" w:ascii="宋体" w:hAnsi="宋体" w:eastAsia="宋体" w:cs="宋体"/>
                <w:color w:val="auto"/>
                <w:sz w:val="24"/>
                <w:szCs w:val="24"/>
                <w:highlight w:val="none"/>
              </w:rPr>
              <w:t>分</w:t>
            </w:r>
          </w:p>
        </w:tc>
        <w:tc>
          <w:tcPr>
            <w:tcW w:w="5296" w:type="dxa"/>
            <w:tcMar>
              <w:left w:w="103" w:type="dxa"/>
            </w:tcMar>
            <w:vAlign w:val="center"/>
          </w:tcPr>
          <w:p w14:paraId="2F66689D">
            <w:pPr>
              <w:keepNext w:val="0"/>
              <w:keepLines w:val="0"/>
              <w:pageBreakBefore w:val="0"/>
              <w:widowControl w:val="0"/>
              <w:kinsoku/>
              <w:wordWrap/>
              <w:overflowPunct/>
              <w:topLinePunct w:val="0"/>
              <w:autoSpaceDE/>
              <w:autoSpaceDN/>
              <w:bidi w:val="0"/>
              <w:spacing w:line="360" w:lineRule="auto"/>
              <w:jc w:val="center"/>
              <w:textAlignment w:val="auto"/>
              <w:rPr>
                <w:rFonts w:hint="eastAsia"/>
                <w:highlight w:val="none"/>
                <w:lang w:val="en-US" w:eastAsia="zh-CN"/>
              </w:rPr>
            </w:pPr>
            <w:r>
              <w:rPr>
                <w:rFonts w:hint="eastAsia" w:ascii="宋体" w:hAnsi="宋体" w:eastAsia="宋体" w:cs="宋体"/>
                <w:color w:val="auto"/>
                <w:kern w:val="0"/>
                <w:sz w:val="24"/>
                <w:szCs w:val="24"/>
                <w:highlight w:val="none"/>
                <w:lang w:val="en-US" w:eastAsia="zh-CN"/>
              </w:rPr>
              <w:t>关键参数：一项不响应扣3分。</w:t>
            </w:r>
          </w:p>
          <w:p w14:paraId="461325BC">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14:paraId="0EA2110C">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bl>
    <w:p w14:paraId="7BC5EA40">
      <w:pPr>
        <w:spacing w:line="360" w:lineRule="auto"/>
        <w:jc w:val="both"/>
        <w:rPr>
          <w:rFonts w:ascii="宋体" w:hAnsi="宋体" w:eastAsia="宋体" w:cs="宋体"/>
          <w:b/>
          <w:bCs/>
          <w:sz w:val="24"/>
          <w:highlight w:val="none"/>
        </w:rPr>
      </w:pPr>
    </w:p>
    <w:p w14:paraId="00337555">
      <w:pPr>
        <w:spacing w:line="360" w:lineRule="auto"/>
        <w:ind w:firstLine="482" w:firstLineChars="200"/>
        <w:jc w:val="both"/>
        <w:rPr>
          <w:rFonts w:ascii="宋体" w:hAnsi="宋体" w:eastAsia="宋体" w:cs="宋体"/>
          <w:b/>
          <w:bCs/>
          <w:sz w:val="24"/>
          <w:highlight w:val="none"/>
        </w:rPr>
      </w:pPr>
      <w:r>
        <w:rPr>
          <w:rFonts w:hint="eastAsia" w:ascii="宋体" w:hAnsi="宋体" w:eastAsia="宋体" w:cs="宋体"/>
          <w:b/>
          <w:bCs/>
          <w:sz w:val="24"/>
          <w:highlight w:val="none"/>
        </w:rPr>
        <w:t>2、商务部分（分值2</w:t>
      </w:r>
      <w:r>
        <w:rPr>
          <w:rFonts w:ascii="宋体" w:hAnsi="宋体" w:eastAsia="宋体" w:cs="宋体"/>
          <w:b/>
          <w:bCs/>
          <w:sz w:val="24"/>
          <w:highlight w:val="none"/>
        </w:rPr>
        <w:t>0</w:t>
      </w:r>
      <w:r>
        <w:rPr>
          <w:rFonts w:hint="eastAsia" w:ascii="宋体" w:hAnsi="宋体" w:eastAsia="宋体" w:cs="宋体"/>
          <w:b/>
          <w:bCs/>
          <w:sz w:val="24"/>
          <w:highlight w:val="none"/>
        </w:rPr>
        <w:t>分）</w:t>
      </w:r>
    </w:p>
    <w:tbl>
      <w:tblPr>
        <w:tblStyle w:val="13"/>
        <w:tblW w:w="918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296"/>
        <w:gridCol w:w="1134"/>
      </w:tblGrid>
      <w:tr w14:paraId="2E6AD69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tcMar>
              <w:left w:w="103" w:type="dxa"/>
            </w:tcMar>
            <w:vAlign w:val="center"/>
          </w:tcPr>
          <w:p w14:paraId="6C0B054C">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Borders>
              <w:top w:val="single" w:color="000000" w:sz="4" w:space="0"/>
              <w:left w:val="single" w:color="000000" w:sz="4" w:space="0"/>
              <w:bottom w:val="single" w:color="000000" w:sz="4" w:space="0"/>
            </w:tcBorders>
            <w:tcMar>
              <w:left w:w="103" w:type="dxa"/>
            </w:tcMar>
            <w:vAlign w:val="center"/>
          </w:tcPr>
          <w:p w14:paraId="0F1F5504">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860" w:type="dxa"/>
            <w:tcBorders>
              <w:top w:val="single" w:color="000000" w:sz="4" w:space="0"/>
              <w:left w:val="single" w:color="000000" w:sz="4" w:space="0"/>
              <w:bottom w:val="single" w:color="000000" w:sz="4" w:space="0"/>
            </w:tcBorders>
            <w:tcMar>
              <w:left w:w="103" w:type="dxa"/>
            </w:tcMar>
            <w:vAlign w:val="center"/>
          </w:tcPr>
          <w:p w14:paraId="0F133C8D">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3D449C9C">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EEB4DA4">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实得分</w:t>
            </w:r>
          </w:p>
        </w:tc>
      </w:tr>
      <w:tr w14:paraId="0E65F7ED">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865" w:hRule="atLeast"/>
        </w:trPr>
        <w:tc>
          <w:tcPr>
            <w:tcW w:w="710" w:type="dxa"/>
            <w:vMerge w:val="restart"/>
            <w:tcBorders>
              <w:top w:val="single" w:color="000000" w:sz="4" w:space="0"/>
              <w:left w:val="single" w:color="000000" w:sz="4" w:space="0"/>
            </w:tcBorders>
            <w:tcMar>
              <w:left w:w="103" w:type="dxa"/>
            </w:tcMar>
            <w:vAlign w:val="center"/>
          </w:tcPr>
          <w:p w14:paraId="4A366D74">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0" w:type="dxa"/>
            <w:vMerge w:val="restart"/>
            <w:tcBorders>
              <w:top w:val="single" w:color="000000" w:sz="4" w:space="0"/>
              <w:left w:val="single" w:color="000000" w:sz="4" w:space="0"/>
            </w:tcBorders>
            <w:tcMar>
              <w:left w:w="103" w:type="dxa"/>
            </w:tcMar>
            <w:vAlign w:val="center"/>
          </w:tcPr>
          <w:p w14:paraId="05EC109F">
            <w:pPr>
              <w:pStyle w:val="7"/>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企业</w:t>
            </w:r>
            <w:r>
              <w:rPr>
                <w:rFonts w:hint="eastAsia" w:ascii="宋体" w:hAnsi="宋体" w:eastAsia="宋体" w:cs="宋体"/>
                <w:color w:val="auto"/>
                <w:szCs w:val="24"/>
                <w:highlight w:val="none"/>
              </w:rPr>
              <w:t>资质</w:t>
            </w:r>
          </w:p>
        </w:tc>
        <w:tc>
          <w:tcPr>
            <w:tcW w:w="860" w:type="dxa"/>
            <w:tcBorders>
              <w:top w:val="single" w:color="000000" w:sz="4" w:space="0"/>
              <w:left w:val="single" w:color="000000" w:sz="4" w:space="0"/>
              <w:bottom w:val="single" w:color="000000" w:sz="4" w:space="0"/>
            </w:tcBorders>
            <w:tcMar>
              <w:left w:w="103" w:type="dxa"/>
            </w:tcMar>
            <w:vAlign w:val="center"/>
          </w:tcPr>
          <w:p w14:paraId="74BEF899">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B89388E">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00万元</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分，每高于100万元加</w:t>
            </w:r>
            <w:r>
              <w:rPr>
                <w:rFonts w:ascii="宋体" w:hAnsi="宋体" w:eastAsia="宋体" w:cs="宋体"/>
                <w:color w:val="auto"/>
                <w:sz w:val="24"/>
                <w:szCs w:val="24"/>
                <w:highlight w:val="none"/>
              </w:rPr>
              <w:t>0.5</w:t>
            </w:r>
            <w:r>
              <w:rPr>
                <w:rFonts w:hint="eastAsia" w:ascii="宋体" w:hAnsi="宋体" w:eastAsia="宋体" w:cs="宋体"/>
                <w:color w:val="auto"/>
                <w:sz w:val="24"/>
                <w:szCs w:val="24"/>
                <w:highlight w:val="none"/>
              </w:rPr>
              <w:t>分，本小项最高得</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A4CE9DF">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34A9F02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605" w:hRule="atLeast"/>
        </w:trPr>
        <w:tc>
          <w:tcPr>
            <w:tcW w:w="710" w:type="dxa"/>
            <w:vMerge w:val="continue"/>
            <w:tcBorders>
              <w:left w:val="single" w:color="000000" w:sz="4" w:space="0"/>
              <w:bottom w:val="single" w:color="000000" w:sz="4" w:space="0"/>
            </w:tcBorders>
            <w:tcMar>
              <w:left w:w="103" w:type="dxa"/>
            </w:tcMar>
            <w:vAlign w:val="center"/>
          </w:tcPr>
          <w:p w14:paraId="358718F0">
            <w:pPr>
              <w:widowControl w:val="0"/>
              <w:kinsoku/>
              <w:autoSpaceDE/>
              <w:autoSpaceDN/>
              <w:spacing w:line="360" w:lineRule="auto"/>
              <w:jc w:val="center"/>
              <w:textAlignment w:val="auto"/>
              <w:rPr>
                <w:rFonts w:ascii="宋体" w:hAnsi="宋体" w:eastAsia="宋体" w:cs="宋体"/>
                <w:color w:val="auto"/>
                <w:sz w:val="24"/>
                <w:szCs w:val="24"/>
                <w:highlight w:val="none"/>
              </w:rPr>
            </w:pPr>
          </w:p>
        </w:tc>
        <w:tc>
          <w:tcPr>
            <w:tcW w:w="1180" w:type="dxa"/>
            <w:vMerge w:val="continue"/>
            <w:tcBorders>
              <w:left w:val="single" w:color="000000" w:sz="4" w:space="0"/>
            </w:tcBorders>
            <w:tcMar>
              <w:left w:w="103" w:type="dxa"/>
            </w:tcMar>
            <w:vAlign w:val="center"/>
          </w:tcPr>
          <w:p w14:paraId="0F94F340">
            <w:pPr>
              <w:pStyle w:val="7"/>
              <w:widowControl w:val="0"/>
              <w:kinsoku/>
              <w:autoSpaceDE/>
              <w:autoSpaceDN/>
              <w:spacing w:line="360" w:lineRule="auto"/>
              <w:jc w:val="center"/>
              <w:textAlignment w:val="auto"/>
              <w:rPr>
                <w:rFonts w:ascii="宋体" w:hAnsi="宋体" w:eastAsia="宋体" w:cs="宋体"/>
                <w:color w:val="auto"/>
                <w:szCs w:val="24"/>
                <w:highlight w:val="none"/>
                <w:lang w:val="en-US"/>
              </w:rPr>
            </w:pPr>
          </w:p>
        </w:tc>
        <w:tc>
          <w:tcPr>
            <w:tcW w:w="860" w:type="dxa"/>
            <w:tcBorders>
              <w:top w:val="single" w:color="000000" w:sz="4" w:space="0"/>
              <w:left w:val="single" w:color="000000" w:sz="4" w:space="0"/>
              <w:bottom w:val="single" w:color="000000" w:sz="4" w:space="0"/>
            </w:tcBorders>
            <w:tcMar>
              <w:left w:w="103" w:type="dxa"/>
            </w:tcMar>
            <w:vAlign w:val="center"/>
          </w:tcPr>
          <w:p w14:paraId="144833F9">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25A737B2">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相关体系认证（质量、环境、职业健康安全、</w:t>
            </w:r>
            <w:r>
              <w:rPr>
                <w:rFonts w:hint="eastAsia" w:ascii="宋体" w:hAnsi="宋体" w:eastAsia="宋体" w:cs="宋体"/>
                <w:color w:val="auto"/>
                <w:sz w:val="24"/>
                <w:szCs w:val="24"/>
                <w:highlight w:val="none"/>
                <w:lang w:val="en-US" w:eastAsia="zh-CN"/>
              </w:rPr>
              <w:t>企业信用等级证明</w:t>
            </w:r>
            <w:r>
              <w:rPr>
                <w:rFonts w:hint="eastAsia" w:ascii="宋体" w:hAnsi="宋体" w:eastAsia="宋体" w:cs="宋体"/>
                <w:color w:val="auto"/>
                <w:sz w:val="24"/>
                <w:szCs w:val="24"/>
                <w:highlight w:val="none"/>
              </w:rPr>
              <w:t>每项</w:t>
            </w:r>
            <w:r>
              <w:rPr>
                <w:rFonts w:ascii="宋体" w:hAnsi="宋体" w:eastAsia="宋体" w:cs="宋体"/>
                <w:color w:val="auto"/>
                <w:sz w:val="24"/>
                <w:szCs w:val="24"/>
                <w:highlight w:val="none"/>
              </w:rPr>
              <w:t>0.5</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1677EA1C">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6C4BEBD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tcMar>
              <w:left w:w="103" w:type="dxa"/>
            </w:tcMar>
            <w:vAlign w:val="center"/>
          </w:tcPr>
          <w:p w14:paraId="62AA64D9">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80" w:type="dxa"/>
            <w:tcBorders>
              <w:left w:val="single" w:color="000000" w:sz="4" w:space="0"/>
            </w:tcBorders>
            <w:tcMar>
              <w:left w:w="103" w:type="dxa"/>
            </w:tcMar>
            <w:vAlign w:val="center"/>
          </w:tcPr>
          <w:p w14:paraId="0A15C466">
            <w:pPr>
              <w:pStyle w:val="7"/>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rPr>
              <w:t>类似</w:t>
            </w:r>
            <w:r>
              <w:rPr>
                <w:rFonts w:hint="eastAsia" w:ascii="宋体" w:hAnsi="宋体" w:eastAsia="宋体" w:cs="宋体"/>
                <w:color w:val="auto"/>
                <w:szCs w:val="24"/>
                <w:highlight w:val="none"/>
                <w:lang w:val="en-US"/>
              </w:rPr>
              <w:t>业务</w:t>
            </w:r>
            <w:r>
              <w:rPr>
                <w:rFonts w:hint="eastAsia" w:ascii="宋体" w:hAnsi="宋体" w:eastAsia="宋体" w:cs="宋体"/>
                <w:color w:val="auto"/>
                <w:szCs w:val="24"/>
                <w:highlight w:val="none"/>
              </w:rPr>
              <w:t>业绩</w:t>
            </w:r>
          </w:p>
        </w:tc>
        <w:tc>
          <w:tcPr>
            <w:tcW w:w="860" w:type="dxa"/>
            <w:tcBorders>
              <w:top w:val="single" w:color="000000" w:sz="4" w:space="0"/>
              <w:left w:val="single" w:color="000000" w:sz="4" w:space="0"/>
              <w:bottom w:val="single" w:color="000000" w:sz="4" w:space="0"/>
            </w:tcBorders>
            <w:tcMar>
              <w:left w:w="103" w:type="dxa"/>
            </w:tcMar>
            <w:vAlign w:val="center"/>
          </w:tcPr>
          <w:p w14:paraId="3DBA781A">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8</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1C59013E">
            <w:pPr>
              <w:pStyle w:val="21"/>
              <w:widowControl w:val="0"/>
              <w:kinsoku/>
              <w:autoSpaceDE/>
              <w:autoSpaceDN/>
              <w:adjustRightInd/>
              <w:snapToGrid/>
              <w:spacing w:line="360" w:lineRule="auto"/>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投标人近三年来承接过合同金额</w:t>
            </w:r>
            <w:r>
              <w:rPr>
                <w:rFonts w:hint="eastAsia" w:ascii="宋体" w:hAnsi="宋体" w:eastAsia="宋体" w:cs="宋体"/>
                <w:color w:val="auto"/>
                <w:sz w:val="24"/>
                <w:szCs w:val="24"/>
                <w:highlight w:val="none"/>
                <w:lang w:val="en-US" w:eastAsia="zh-CN"/>
              </w:rPr>
              <w:t>200</w:t>
            </w:r>
            <w:r>
              <w:rPr>
                <w:rFonts w:hint="eastAsia" w:ascii="宋体" w:hAnsi="宋体" w:eastAsia="宋体" w:cs="宋体"/>
                <w:color w:val="auto"/>
                <w:sz w:val="24"/>
                <w:szCs w:val="24"/>
                <w:highlight w:val="none"/>
              </w:rPr>
              <w:t>万元及以上类似业绩且验收合格的，提供一项目业绩的得</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分（未能提供验收证明的得</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分），本小项最高得</w:t>
            </w:r>
            <w:r>
              <w:rPr>
                <w:rFonts w:ascii="宋体" w:hAnsi="宋体" w:eastAsia="宋体" w:cs="宋体"/>
                <w:color w:val="auto"/>
                <w:sz w:val="24"/>
                <w:szCs w:val="24"/>
                <w:highlight w:val="none"/>
              </w:rPr>
              <w:t>8</w:t>
            </w:r>
            <w:r>
              <w:rPr>
                <w:rFonts w:hint="eastAsia" w:ascii="宋体" w:hAnsi="宋体" w:eastAsia="宋体" w:cs="宋体"/>
                <w:color w:val="auto"/>
                <w:sz w:val="24"/>
                <w:szCs w:val="24"/>
                <w:highlight w:val="none"/>
              </w:rPr>
              <w:t>分。</w:t>
            </w:r>
          </w:p>
          <w:p w14:paraId="52559F39">
            <w:pPr>
              <w:kinsoku/>
              <w:autoSpaceDE/>
              <w:autoSpaceDN/>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投标人应当提供合同、验收证明复印件（须加盖验收方公章）等证明材料。</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7965481">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394D655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54C5E8D7">
            <w:pPr>
              <w:widowControl w:val="0"/>
              <w:kinsoku/>
              <w:autoSpaceDE/>
              <w:autoSpaceDN/>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180" w:type="dxa"/>
            <w:tcBorders>
              <w:left w:val="single" w:color="000000" w:sz="4" w:space="0"/>
            </w:tcBorders>
            <w:tcMar>
              <w:left w:w="103" w:type="dxa"/>
            </w:tcMar>
            <w:vAlign w:val="center"/>
          </w:tcPr>
          <w:p w14:paraId="28D9FC93">
            <w:pPr>
              <w:pStyle w:val="7"/>
              <w:widowControl w:val="0"/>
              <w:kinsoku/>
              <w:autoSpaceDE/>
              <w:autoSpaceDN/>
              <w:spacing w:line="360" w:lineRule="auto"/>
              <w:jc w:val="center"/>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lang w:val="en-US"/>
              </w:rPr>
              <w:t>付款方式</w:t>
            </w:r>
          </w:p>
        </w:tc>
        <w:tc>
          <w:tcPr>
            <w:tcW w:w="860" w:type="dxa"/>
            <w:tcBorders>
              <w:top w:val="single" w:color="000000" w:sz="4" w:space="0"/>
              <w:left w:val="single" w:color="000000" w:sz="4" w:space="0"/>
              <w:bottom w:val="single" w:color="000000" w:sz="4" w:space="0"/>
            </w:tcBorders>
            <w:tcMar>
              <w:left w:w="103" w:type="dxa"/>
            </w:tcMar>
            <w:vAlign w:val="center"/>
          </w:tcPr>
          <w:p w14:paraId="1EC9CF9B">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3AC6807E">
            <w:pPr>
              <w:kinsoku/>
              <w:autoSpaceDE/>
              <w:autoSpaceDN/>
              <w:adjustRightInd/>
              <w:snapToGrid/>
              <w:spacing w:line="360" w:lineRule="auto"/>
              <w:ind w:firstLine="480" w:firstLineChars="20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不响应扣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2E1ABA1C">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7FCD5295">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014551EF">
            <w:pPr>
              <w:widowControl w:val="0"/>
              <w:kinsoku/>
              <w:autoSpaceDE/>
              <w:autoSpaceDN/>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180" w:type="dxa"/>
            <w:tcBorders>
              <w:left w:val="single" w:color="000000" w:sz="4" w:space="0"/>
            </w:tcBorders>
            <w:tcMar>
              <w:left w:w="103" w:type="dxa"/>
            </w:tcMar>
            <w:vAlign w:val="center"/>
          </w:tcPr>
          <w:p w14:paraId="7E6A0700">
            <w:pPr>
              <w:pStyle w:val="7"/>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交货期</w:t>
            </w:r>
          </w:p>
        </w:tc>
        <w:tc>
          <w:tcPr>
            <w:tcW w:w="860" w:type="dxa"/>
            <w:tcBorders>
              <w:top w:val="single" w:color="000000" w:sz="4" w:space="0"/>
              <w:left w:val="single" w:color="000000" w:sz="4" w:space="0"/>
              <w:bottom w:val="single" w:color="000000" w:sz="4" w:space="0"/>
            </w:tcBorders>
            <w:tcMar>
              <w:left w:w="103" w:type="dxa"/>
            </w:tcMar>
            <w:vAlign w:val="center"/>
          </w:tcPr>
          <w:p w14:paraId="4CDBC8EC">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75351A8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邀标文件中规定的交货期为</w:t>
            </w:r>
            <w:r>
              <w:rPr>
                <w:rFonts w:hint="eastAsia" w:ascii="宋体" w:hAnsi="宋体" w:eastAsia="宋体" w:cs="宋体"/>
                <w:color w:val="auto"/>
                <w:sz w:val="24"/>
                <w:szCs w:val="24"/>
                <w:highlight w:val="none"/>
                <w:lang w:val="en-US" w:eastAsia="zh-CN"/>
              </w:rPr>
              <w:t>60天</w:t>
            </w:r>
            <w:r>
              <w:rPr>
                <w:rFonts w:hint="eastAsia" w:ascii="宋体" w:hAnsi="宋体" w:eastAsia="宋体" w:cs="宋体"/>
                <w:color w:val="auto"/>
                <w:sz w:val="24"/>
                <w:szCs w:val="24"/>
                <w:highlight w:val="none"/>
              </w:rPr>
              <w:t>，基础分为1分，每提前</w:t>
            </w:r>
            <w:r>
              <w:rPr>
                <w:rFonts w:hint="eastAsia" w:ascii="宋体" w:hAnsi="宋体" w:eastAsia="宋体" w:cs="宋体"/>
                <w:color w:val="auto"/>
                <w:sz w:val="24"/>
                <w:szCs w:val="24"/>
                <w:highlight w:val="none"/>
                <w:lang w:val="en-US" w:eastAsia="zh-CN"/>
              </w:rPr>
              <w:t>10天</w:t>
            </w:r>
            <w:r>
              <w:rPr>
                <w:rFonts w:hint="eastAsia" w:ascii="宋体" w:hAnsi="宋体" w:eastAsia="宋体" w:cs="宋体"/>
                <w:color w:val="auto"/>
                <w:sz w:val="24"/>
                <w:szCs w:val="24"/>
                <w:highlight w:val="none"/>
              </w:rPr>
              <w:t>加1分，每超过</w:t>
            </w:r>
            <w:r>
              <w:rPr>
                <w:rFonts w:hint="eastAsia" w:ascii="宋体" w:hAnsi="宋体" w:eastAsia="宋体" w:cs="宋体"/>
                <w:color w:val="auto"/>
                <w:sz w:val="24"/>
                <w:szCs w:val="24"/>
                <w:highlight w:val="none"/>
                <w:lang w:val="en-US" w:eastAsia="zh-CN"/>
              </w:rPr>
              <w:t>10天</w:t>
            </w:r>
            <w:r>
              <w:rPr>
                <w:rFonts w:hint="eastAsia" w:ascii="宋体" w:hAnsi="宋体" w:eastAsia="宋体" w:cs="宋体"/>
                <w:color w:val="auto"/>
                <w:sz w:val="24"/>
                <w:szCs w:val="24"/>
                <w:highlight w:val="none"/>
              </w:rPr>
              <w:t>扣1分，上限为3分。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0427139">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4F6B688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4E19ECFD">
            <w:pPr>
              <w:widowControl w:val="0"/>
              <w:kinsoku/>
              <w:autoSpaceDE/>
              <w:autoSpaceDN/>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180" w:type="dxa"/>
            <w:tcBorders>
              <w:left w:val="single" w:color="000000" w:sz="4" w:space="0"/>
              <w:bottom w:val="single" w:color="000000" w:sz="4" w:space="0"/>
            </w:tcBorders>
            <w:tcMar>
              <w:left w:w="103" w:type="dxa"/>
            </w:tcMar>
            <w:vAlign w:val="center"/>
          </w:tcPr>
          <w:p w14:paraId="4947DF14">
            <w:pPr>
              <w:pStyle w:val="7"/>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售后服务</w:t>
            </w:r>
          </w:p>
        </w:tc>
        <w:tc>
          <w:tcPr>
            <w:tcW w:w="860" w:type="dxa"/>
            <w:tcBorders>
              <w:top w:val="single" w:color="000000" w:sz="4" w:space="0"/>
              <w:left w:val="single" w:color="000000" w:sz="4" w:space="0"/>
              <w:bottom w:val="single" w:color="000000" w:sz="4" w:space="0"/>
            </w:tcBorders>
            <w:tcMar>
              <w:left w:w="103" w:type="dxa"/>
            </w:tcMar>
            <w:vAlign w:val="center"/>
          </w:tcPr>
          <w:p w14:paraId="3450416F">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27BB3FC2">
            <w:pPr>
              <w:kinsoku/>
              <w:autoSpaceDE/>
              <w:autoSpaceDN/>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对所售出的产品实行三包:即产品在正常使用情况下发生质量问题时，投标人应按使用方的要求，负责对产品实行包修、包换、包退。2、投标人在质保期内应负责硬件及软件产品的日常维护。（每项1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6547509E">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bl>
    <w:p w14:paraId="259318C3">
      <w:pPr>
        <w:pStyle w:val="17"/>
        <w:spacing w:line="360" w:lineRule="auto"/>
        <w:rPr>
          <w:highlight w:val="none"/>
        </w:rPr>
      </w:pPr>
    </w:p>
    <w:p w14:paraId="75FD0A97">
      <w:pPr>
        <w:spacing w:line="360" w:lineRule="auto"/>
        <w:ind w:firstLine="482" w:firstLineChars="200"/>
        <w:jc w:val="both"/>
        <w:rPr>
          <w:rFonts w:ascii="宋体" w:hAnsi="宋体" w:eastAsia="宋体" w:cs="宋体"/>
          <w:b/>
          <w:bCs/>
          <w:sz w:val="24"/>
          <w:highlight w:val="none"/>
        </w:rPr>
      </w:pPr>
      <w:r>
        <w:rPr>
          <w:rFonts w:hint="eastAsia" w:ascii="宋体" w:hAnsi="宋体" w:eastAsia="宋体" w:cs="宋体"/>
          <w:b/>
          <w:bCs/>
          <w:sz w:val="24"/>
          <w:highlight w:val="none"/>
        </w:rPr>
        <w:t>3、价格部分（分值</w:t>
      </w:r>
      <w:r>
        <w:rPr>
          <w:rFonts w:hint="eastAsia" w:ascii="宋体" w:hAnsi="宋体" w:eastAsia="宋体" w:cs="宋体"/>
          <w:b/>
          <w:bCs/>
          <w:sz w:val="24"/>
          <w:highlight w:val="none"/>
          <w:lang w:val="en-US" w:eastAsia="zh-CN"/>
        </w:rPr>
        <w:t>70</w:t>
      </w:r>
      <w:r>
        <w:rPr>
          <w:rFonts w:hint="eastAsia" w:ascii="宋体" w:hAnsi="宋体" w:eastAsia="宋体" w:cs="宋体"/>
          <w:b/>
          <w:bCs/>
          <w:sz w:val="24"/>
          <w:highlight w:val="none"/>
        </w:rPr>
        <w:t>分）</w:t>
      </w:r>
    </w:p>
    <w:tbl>
      <w:tblPr>
        <w:tblStyle w:val="13"/>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662FFBCD">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0F959055">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63E8F44B">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0FE91D8A">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18EB174D">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2FB384B">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实得分</w:t>
            </w:r>
          </w:p>
        </w:tc>
      </w:tr>
      <w:tr w14:paraId="494C7B24">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76D40E50">
            <w:pPr>
              <w:spacing w:line="360" w:lineRule="auto"/>
              <w:jc w:val="center"/>
              <w:rPr>
                <w:rFonts w:ascii="仿宋_GB2312" w:hAnsi="宋体" w:eastAsia="仿宋_GB2312"/>
                <w:sz w:val="24"/>
                <w:szCs w:val="24"/>
                <w:highlight w:val="none"/>
              </w:rPr>
            </w:pPr>
            <w:r>
              <w:rPr>
                <w:rFonts w:hint="eastAsia" w:ascii="仿宋_GB2312" w:hAnsi="宋体" w:eastAsia="仿宋_GB2312"/>
                <w:sz w:val="24"/>
                <w:szCs w:val="24"/>
                <w:highlight w:val="none"/>
              </w:rPr>
              <w:t>1</w:t>
            </w:r>
          </w:p>
        </w:tc>
        <w:tc>
          <w:tcPr>
            <w:tcW w:w="1160" w:type="dxa"/>
            <w:tcBorders>
              <w:top w:val="single" w:color="000000" w:sz="4" w:space="0"/>
              <w:left w:val="single" w:color="000000" w:sz="4" w:space="0"/>
              <w:bottom w:val="single" w:color="000000" w:sz="4" w:space="0"/>
            </w:tcBorders>
            <w:tcMar>
              <w:left w:w="103" w:type="dxa"/>
            </w:tcMar>
            <w:vAlign w:val="center"/>
          </w:tcPr>
          <w:p w14:paraId="1E6FBD81">
            <w:pPr>
              <w:spacing w:line="360" w:lineRule="auto"/>
              <w:jc w:val="center"/>
              <w:rPr>
                <w:rFonts w:ascii="仿宋_GB2312" w:hAnsi="宋体" w:eastAsia="仿宋_GB2312"/>
                <w:sz w:val="24"/>
                <w:szCs w:val="24"/>
                <w:highlight w:val="none"/>
              </w:rPr>
            </w:pPr>
            <w:r>
              <w:rPr>
                <w:rFonts w:hint="eastAsia" w:ascii="宋体" w:hAnsi="宋体" w:eastAsia="宋体" w:cs="宋体"/>
                <w:sz w:val="24"/>
                <w:szCs w:val="24"/>
                <w:highlight w:val="none"/>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42A83B96">
            <w:pPr>
              <w:spacing w:line="360" w:lineRule="auto"/>
              <w:jc w:val="center"/>
              <w:rPr>
                <w:rFonts w:ascii="仿宋_GB2312" w:hAnsi="宋体" w:eastAsia="仿宋_GB2312"/>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99E142B">
            <w:pPr>
              <w:spacing w:line="360" w:lineRule="auto"/>
              <w:ind w:firstLine="480" w:firstLineChars="200"/>
              <w:rPr>
                <w:rFonts w:hint="eastAsia" w:ascii="宋体" w:hAnsi="宋体"/>
                <w:sz w:val="24"/>
                <w:highlight w:val="none"/>
              </w:rPr>
            </w:pPr>
            <w:r>
              <w:rPr>
                <w:rFonts w:hint="eastAsia" w:ascii="宋体" w:hAnsi="宋体"/>
                <w:sz w:val="24"/>
                <w:highlight w:val="none"/>
              </w:rPr>
              <w:t>价格分应当采用低价优先法计算，即满足招标文件要求且最后报价最低的价格为评标基准价，其价格分为满分。其他供应商的价格分统一按照下列公式计算：</w:t>
            </w:r>
          </w:p>
          <w:p w14:paraId="7E3A502C">
            <w:pPr>
              <w:spacing w:line="360" w:lineRule="auto"/>
              <w:ind w:firstLine="480" w:firstLineChars="200"/>
              <w:rPr>
                <w:rFonts w:hint="eastAsia" w:ascii="宋体" w:hAnsi="宋体"/>
                <w:sz w:val="24"/>
                <w:highlight w:val="none"/>
              </w:rPr>
            </w:pPr>
            <w:r>
              <w:rPr>
                <w:rFonts w:hint="eastAsia" w:ascii="宋体" w:hAnsi="宋体"/>
                <w:sz w:val="24"/>
                <w:highlight w:val="none"/>
              </w:rPr>
              <w:t>报价得分=（评标基准价/最后报价）×100×</w:t>
            </w:r>
            <w:r>
              <w:rPr>
                <w:rFonts w:hint="eastAsia" w:ascii="宋体" w:hAnsi="宋体" w:eastAsia="宋体"/>
                <w:sz w:val="24"/>
                <w:highlight w:val="none"/>
                <w:lang w:val="en-US" w:eastAsia="zh-CN"/>
              </w:rPr>
              <w:t>7</w:t>
            </w:r>
            <w:r>
              <w:rPr>
                <w:rFonts w:hint="eastAsia" w:ascii="宋体" w:hAnsi="宋体"/>
                <w:sz w:val="24"/>
                <w:highlight w:val="none"/>
              </w:rPr>
              <w:t>0%，评审过程中，不得去掉最后报价中的最高报价和最低报价。（保留到小数点后两位，第三位四舍五入。）</w:t>
            </w:r>
          </w:p>
          <w:p w14:paraId="2E41F6DF">
            <w:pPr>
              <w:spacing w:line="360" w:lineRule="auto"/>
              <w:ind w:firstLine="480" w:firstLineChars="200"/>
              <w:rPr>
                <w:rFonts w:ascii="宋体"/>
                <w:b/>
                <w:sz w:val="24"/>
                <w:highlight w:val="none"/>
              </w:rPr>
            </w:pPr>
            <w:r>
              <w:rPr>
                <w:rFonts w:hint="eastAsia" w:ascii="宋体" w:hAnsi="宋体"/>
                <w:sz w:val="24"/>
                <w:highlight w:val="none"/>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2BDF242">
            <w:pPr>
              <w:spacing w:line="360" w:lineRule="auto"/>
              <w:rPr>
                <w:rFonts w:ascii="仿宋_GB2312" w:hAnsi="宋体" w:eastAsia="仿宋_GB2312"/>
                <w:sz w:val="24"/>
                <w:szCs w:val="24"/>
                <w:highlight w:val="none"/>
              </w:rPr>
            </w:pPr>
          </w:p>
        </w:tc>
      </w:tr>
    </w:tbl>
    <w:p w14:paraId="031ED64A">
      <w:pPr>
        <w:spacing w:line="360" w:lineRule="auto"/>
        <w:rPr>
          <w:sz w:val="28"/>
          <w:szCs w:val="36"/>
          <w:highlight w:val="none"/>
        </w:rPr>
      </w:pPr>
    </w:p>
    <w:p w14:paraId="4FB2F327">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.定标办法</w:t>
      </w:r>
    </w:p>
    <w:p w14:paraId="522FBB9A">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.1总得分</w:t>
      </w:r>
    </w:p>
    <w:p w14:paraId="56BDAD7F">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.1各投标人得分 =（</w:t>
      </w:r>
      <w:r>
        <w:rPr>
          <w:rFonts w:hint="eastAsia" w:ascii="宋体" w:hAnsi="宋体" w:eastAsia="宋体" w:cs="宋体"/>
          <w:color w:val="auto"/>
          <w:sz w:val="24"/>
          <w:highlight w:val="none"/>
          <w:lang w:val="en-US" w:eastAsia="zh-CN"/>
        </w:rPr>
        <w:t>商务分+</w:t>
      </w:r>
      <w:r>
        <w:rPr>
          <w:rFonts w:hint="eastAsia" w:ascii="宋体" w:hAnsi="宋体"/>
          <w:color w:val="auto"/>
          <w:sz w:val="24"/>
          <w:highlight w:val="none"/>
          <w:lang w:val="en-US" w:eastAsia="zh-CN"/>
        </w:rPr>
        <w:t>技术</w:t>
      </w:r>
      <w:r>
        <w:rPr>
          <w:rFonts w:hint="eastAsia" w:ascii="宋体" w:hAnsi="宋体" w:eastAsia="宋体" w:cs="宋体"/>
          <w:color w:val="auto"/>
          <w:sz w:val="24"/>
          <w:highlight w:val="none"/>
        </w:rPr>
        <w:t>分+价格分）。</w:t>
      </w:r>
    </w:p>
    <w:p w14:paraId="33428468">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highlight w:val="none"/>
          <w:lang w:eastAsia="zh-CN"/>
        </w:rPr>
        <w:t>技术</w:t>
      </w:r>
      <w:r>
        <w:rPr>
          <w:rFonts w:hint="eastAsia" w:ascii="宋体" w:hAnsi="宋体" w:eastAsia="宋体" w:cs="宋体"/>
          <w:color w:val="auto"/>
          <w:sz w:val="24"/>
          <w:highlight w:val="none"/>
        </w:rPr>
        <w:t>部分的打分结果分别汇总，再进行算术平均，计算出各有效投标人的得分。</w:t>
      </w:r>
    </w:p>
    <w:p w14:paraId="459E7705">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.评标小组评委依据得分高低顺序依次确定中标候选人，评分以得分最高者作为第一中标候选人。如果出现并列得分最高，则确定价格较低者排名在前；价格投标仍相同时则采用抽签方式现场确定中标候选人。</w:t>
      </w:r>
    </w:p>
    <w:p w14:paraId="5CE7411D">
      <w:pPr>
        <w:spacing w:line="360" w:lineRule="auto"/>
        <w:ind w:firstLine="480" w:firstLineChars="200"/>
        <w:rPr>
          <w:rFonts w:hint="default" w:eastAsia="宋体"/>
          <w:highlight w:val="none"/>
          <w:lang w:val="en-US" w:eastAsia="zh-CN"/>
        </w:rPr>
        <w:sectPr>
          <w:headerReference r:id="rId6" w:type="default"/>
          <w:footerReference r:id="rId7" w:type="default"/>
          <w:pgSz w:w="11907" w:h="16839"/>
          <w:pgMar w:top="1432" w:right="1335" w:bottom="1201" w:left="1389" w:header="852" w:footer="1021" w:gutter="0"/>
          <w:cols w:space="720" w:num="1"/>
        </w:sect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14:paraId="632C7DB8">
      <w:pPr>
        <w:pStyle w:val="17"/>
        <w:spacing w:line="360" w:lineRule="auto"/>
        <w:ind w:left="0" w:leftChars="0" w:firstLine="0" w:firstLineChars="0"/>
        <w:rPr>
          <w:rFonts w:ascii="宋体" w:hAnsi="宋体" w:eastAsia="宋体" w:cs="宋体"/>
          <w:sz w:val="24"/>
          <w:szCs w:val="24"/>
          <w:highlight w:val="none"/>
        </w:rPr>
      </w:pPr>
    </w:p>
    <w:p w14:paraId="559A21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color w:val="auto"/>
          <w:sz w:val="32"/>
          <w:szCs w:val="22"/>
          <w:highlight w:val="none"/>
          <w:lang w:val="en-US" w:eastAsia="zh-CN"/>
        </w:rPr>
      </w:pPr>
      <w:r>
        <w:rPr>
          <w:rFonts w:hint="eastAsia"/>
          <w:b/>
          <w:color w:val="auto"/>
          <w:sz w:val="32"/>
          <w:szCs w:val="22"/>
          <w:highlight w:val="none"/>
          <w:lang w:val="en-US" w:eastAsia="zh-CN"/>
        </w:rPr>
        <w:t>设备采购合同</w:t>
      </w:r>
    </w:p>
    <w:p w14:paraId="410263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color w:val="auto"/>
          <w:sz w:val="21"/>
          <w:szCs w:val="21"/>
          <w:highlight w:val="none"/>
        </w:rPr>
      </w:pPr>
      <w:r>
        <w:rPr>
          <w:rFonts w:hint="eastAsia" w:ascii="宋体"/>
          <w:b/>
          <w:color w:val="auto"/>
          <w:sz w:val="21"/>
          <w:szCs w:val="21"/>
          <w:highlight w:val="none"/>
          <w:lang w:val="en-US" w:eastAsia="zh-CN"/>
        </w:rPr>
        <w:t>合同</w:t>
      </w:r>
      <w:r>
        <w:rPr>
          <w:rFonts w:hint="eastAsia" w:ascii="宋体"/>
          <w:b/>
          <w:color w:val="auto"/>
          <w:sz w:val="21"/>
          <w:szCs w:val="21"/>
          <w:highlight w:val="none"/>
        </w:rPr>
        <w:t>编号：</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合同履行地：</w:t>
      </w:r>
      <w:r>
        <w:rPr>
          <w:rFonts w:hint="eastAsia" w:ascii="宋体"/>
          <w:b/>
          <w:bCs/>
          <w:color w:val="auto"/>
          <w:sz w:val="21"/>
          <w:szCs w:val="21"/>
          <w:highlight w:val="none"/>
          <w:lang w:eastAsia="zh-CN"/>
        </w:rPr>
        <w:t>福建省三明市沙县</w:t>
      </w:r>
    </w:p>
    <w:p w14:paraId="382BD3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采购方（甲方）</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 xml:space="preserve">中国机械总院集团                    </w:t>
      </w:r>
      <w:r>
        <w:rPr>
          <w:rFonts w:hint="eastAsia" w:ascii="宋体"/>
          <w:b/>
          <w:bCs/>
          <w:color w:val="auto"/>
          <w:sz w:val="21"/>
          <w:szCs w:val="21"/>
          <w:highlight w:val="none"/>
        </w:rPr>
        <w:t>签定地点：</w:t>
      </w:r>
      <w:r>
        <w:rPr>
          <w:rFonts w:hint="eastAsia" w:ascii="宋体"/>
          <w:b/>
          <w:bCs/>
          <w:color w:val="auto"/>
          <w:sz w:val="21"/>
          <w:szCs w:val="21"/>
          <w:highlight w:val="none"/>
          <w:lang w:eastAsia="zh-CN"/>
        </w:rPr>
        <w:t>福建省三明市沙县</w:t>
      </w:r>
      <w:r>
        <w:rPr>
          <w:rFonts w:ascii="宋体"/>
          <w:b/>
          <w:bCs/>
          <w:color w:val="auto"/>
          <w:sz w:val="21"/>
          <w:szCs w:val="21"/>
          <w:highlight w:val="none"/>
        </w:rPr>
        <w:t xml:space="preserve"> </w:t>
      </w:r>
    </w:p>
    <w:p w14:paraId="368D8ABF">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海西（福建）分院有限公司     </w:t>
      </w:r>
    </w:p>
    <w:p w14:paraId="584615F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供货方（乙方）：         有限公司 </w:t>
      </w:r>
      <w:r>
        <w:rPr>
          <w:rFonts w:hint="eastAsia" w:ascii="宋体" w:hAnsi="宋体" w:cs="宋体"/>
          <w:color w:val="auto"/>
          <w:sz w:val="21"/>
          <w:szCs w:val="21"/>
          <w:highlight w:val="none"/>
          <w:lang w:val="en-US" w:eastAsia="zh-CN"/>
        </w:rPr>
        <w:t xml:space="preserve">                   </w:t>
      </w:r>
      <w:r>
        <w:rPr>
          <w:rFonts w:hint="eastAsia" w:ascii="宋体"/>
          <w:b/>
          <w:color w:val="auto"/>
          <w:sz w:val="21"/>
          <w:szCs w:val="21"/>
          <w:highlight w:val="none"/>
        </w:rPr>
        <w:t>签定日期：</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年</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月</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日</w:t>
      </w:r>
    </w:p>
    <w:p w14:paraId="36020066">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cs="宋体"/>
          <w:color w:val="auto"/>
          <w:sz w:val="21"/>
          <w:szCs w:val="21"/>
          <w:highlight w:val="none"/>
          <w:lang w:val="en-US" w:eastAsia="zh-CN"/>
        </w:rPr>
        <w:t>民法典</w:t>
      </w:r>
      <w:r>
        <w:rPr>
          <w:rFonts w:hint="eastAsia" w:ascii="宋体" w:hAnsi="宋体" w:eastAsia="宋体" w:cs="宋体"/>
          <w:color w:val="auto"/>
          <w:sz w:val="21"/>
          <w:szCs w:val="21"/>
          <w:highlight w:val="none"/>
        </w:rPr>
        <w:t>和有关政策规定，根据</w:t>
      </w:r>
      <w:r>
        <w:rPr>
          <w:rFonts w:hint="eastAsia" w:ascii="宋体" w:hAnsi="宋体" w:cs="宋体"/>
          <w:color w:val="auto"/>
          <w:sz w:val="21"/>
          <w:szCs w:val="21"/>
          <w:highlight w:val="none"/>
          <w:lang w:val="en-US" w:eastAsia="zh-CN"/>
        </w:rPr>
        <w:t>双方需求</w:t>
      </w:r>
      <w:r>
        <w:rPr>
          <w:rFonts w:hint="eastAsia" w:ascii="宋体" w:hAnsi="宋体" w:eastAsia="宋体" w:cs="宋体"/>
          <w:color w:val="auto"/>
          <w:sz w:val="21"/>
          <w:szCs w:val="21"/>
          <w:highlight w:val="none"/>
        </w:rPr>
        <w:t>，经双方协商一致签订本合同。</w:t>
      </w:r>
    </w:p>
    <w:p w14:paraId="37E1918D">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产品</w:t>
      </w:r>
      <w:r>
        <w:rPr>
          <w:rFonts w:hint="eastAsia" w:ascii="宋体" w:hAnsi="宋体" w:eastAsia="宋体" w:cs="宋体"/>
          <w:b/>
          <w:bCs/>
          <w:color w:val="auto"/>
          <w:sz w:val="21"/>
          <w:szCs w:val="21"/>
          <w:highlight w:val="none"/>
        </w:rPr>
        <w:t>名称、规格、数量、价格</w:t>
      </w:r>
    </w:p>
    <w:tbl>
      <w:tblPr>
        <w:tblStyle w:val="13"/>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2693"/>
        <w:gridCol w:w="850"/>
        <w:gridCol w:w="1418"/>
        <w:gridCol w:w="1417"/>
      </w:tblGrid>
      <w:tr w14:paraId="5E71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09" w:type="dxa"/>
            <w:vAlign w:val="center"/>
          </w:tcPr>
          <w:p w14:paraId="4BDA8683">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序号</w:t>
            </w:r>
          </w:p>
        </w:tc>
        <w:tc>
          <w:tcPr>
            <w:tcW w:w="1985" w:type="dxa"/>
            <w:vAlign w:val="center"/>
          </w:tcPr>
          <w:p w14:paraId="6D146D74">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产品品名</w:t>
            </w:r>
          </w:p>
        </w:tc>
        <w:tc>
          <w:tcPr>
            <w:tcW w:w="2693" w:type="dxa"/>
            <w:vAlign w:val="center"/>
          </w:tcPr>
          <w:p w14:paraId="4EC410A9">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w:t>
            </w:r>
            <w:r>
              <w:rPr>
                <w:rFonts w:cs="Times New Roman" w:asciiTheme="minorEastAsia" w:hAnsiTheme="minorEastAsia" w:eastAsiaTheme="minorEastAsia"/>
                <w:color w:val="auto"/>
                <w:sz w:val="23"/>
                <w:szCs w:val="23"/>
                <w:highlight w:val="none"/>
                <w:lang w:eastAsia="zh-CN"/>
              </w:rPr>
              <w:t>规格型号</w:t>
            </w:r>
          </w:p>
          <w:p w14:paraId="36C1F921">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（基本配置及主要性能）</w:t>
            </w:r>
          </w:p>
        </w:tc>
        <w:tc>
          <w:tcPr>
            <w:tcW w:w="850" w:type="dxa"/>
            <w:vAlign w:val="center"/>
          </w:tcPr>
          <w:p w14:paraId="7FE8E179">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数量</w:t>
            </w:r>
          </w:p>
        </w:tc>
        <w:tc>
          <w:tcPr>
            <w:tcW w:w="1418" w:type="dxa"/>
            <w:vAlign w:val="center"/>
          </w:tcPr>
          <w:p w14:paraId="3B818A6D">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含税单价</w:t>
            </w:r>
          </w:p>
        </w:tc>
        <w:tc>
          <w:tcPr>
            <w:tcW w:w="1417" w:type="dxa"/>
            <w:vAlign w:val="center"/>
          </w:tcPr>
          <w:p w14:paraId="187236ED">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价税合计</w:t>
            </w:r>
          </w:p>
        </w:tc>
      </w:tr>
      <w:tr w14:paraId="390D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14:paraId="04B11CF2">
            <w:pPr>
              <w:spacing w:before="120" w:after="0" w:line="360" w:lineRule="exact"/>
              <w:jc w:val="center"/>
              <w:rPr>
                <w:rFonts w:cs="Times New Roman" w:asciiTheme="minorEastAsia" w:hAnsiTheme="minorEastAsia" w:eastAsiaTheme="minorEastAsia"/>
                <w:color w:val="auto"/>
                <w:sz w:val="23"/>
                <w:szCs w:val="23"/>
                <w:highlight w:val="none"/>
                <w:lang w:eastAsia="zh-CN"/>
              </w:rPr>
            </w:pPr>
          </w:p>
        </w:tc>
        <w:tc>
          <w:tcPr>
            <w:tcW w:w="1985" w:type="dxa"/>
            <w:vAlign w:val="center"/>
          </w:tcPr>
          <w:p w14:paraId="43A827D8">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2693" w:type="dxa"/>
            <w:vAlign w:val="center"/>
          </w:tcPr>
          <w:p w14:paraId="1A79A450">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850" w:type="dxa"/>
            <w:vAlign w:val="center"/>
          </w:tcPr>
          <w:p w14:paraId="28BFA26F">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8" w:type="dxa"/>
            <w:vAlign w:val="center"/>
          </w:tcPr>
          <w:p w14:paraId="089A5ADF">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7" w:type="dxa"/>
            <w:vAlign w:val="center"/>
          </w:tcPr>
          <w:p w14:paraId="58265C23">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r>
      <w:tr w14:paraId="7C66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14:paraId="443A4A2E">
            <w:pPr>
              <w:spacing w:before="120" w:after="0" w:line="360" w:lineRule="exact"/>
              <w:rPr>
                <w:rFonts w:hint="default" w:cs="宋体"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eastAsia="zh-CN"/>
              </w:rPr>
              <w:t>合计（未税金额）：</w:t>
            </w:r>
            <w:r>
              <w:rPr>
                <w:rFonts w:hint="eastAsia" w:cs="Times New Roman" w:asciiTheme="minorEastAsia" w:hAnsiTheme="minorEastAsia" w:eastAsiaTheme="minorEastAsia"/>
                <w:color w:val="auto"/>
                <w:sz w:val="23"/>
                <w:szCs w:val="23"/>
                <w:highlight w:val="none"/>
                <w:lang w:val="en-US" w:eastAsia="zh-CN"/>
              </w:rPr>
              <w:t xml:space="preserve">   元</w:t>
            </w:r>
          </w:p>
        </w:tc>
      </w:tr>
      <w:tr w14:paraId="0182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14:paraId="6857E8D0">
            <w:pPr>
              <w:spacing w:before="120" w:after="0" w:line="360" w:lineRule="exact"/>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合计（含税金额）：</w:t>
            </w:r>
            <w:r>
              <w:rPr>
                <w:rFonts w:hint="eastAsia" w:cs="Times New Roman" w:asciiTheme="minorEastAsia" w:hAnsiTheme="minorEastAsia" w:eastAsiaTheme="minorEastAsia"/>
                <w:color w:val="auto"/>
                <w:sz w:val="23"/>
                <w:szCs w:val="23"/>
                <w:highlight w:val="none"/>
                <w:lang w:val="en-US" w:eastAsia="zh-CN"/>
              </w:rPr>
              <w:t xml:space="preserve">   </w:t>
            </w:r>
            <w:r>
              <w:rPr>
                <w:rFonts w:hint="eastAsia"/>
                <w:color w:val="auto"/>
                <w:highlight w:val="none"/>
                <w:lang w:eastAsia="zh-CN"/>
              </w:rPr>
              <w:t>元</w:t>
            </w:r>
            <w:r>
              <w:rPr>
                <w:rFonts w:hint="eastAsia"/>
                <w:color w:val="auto"/>
                <w:highlight w:val="none"/>
              </w:rPr>
              <w:t xml:space="preserve"> </w:t>
            </w:r>
            <w:r>
              <w:rPr>
                <w:color w:val="auto"/>
                <w:highlight w:val="none"/>
              </w:rPr>
              <w:t xml:space="preserve">  </w:t>
            </w:r>
            <w:r>
              <w:rPr>
                <w:rFonts w:hint="eastAsia"/>
                <w:color w:val="auto"/>
                <w:highlight w:val="none"/>
                <w:lang w:val="en-US" w:eastAsia="zh-CN"/>
              </w:rPr>
              <w:t xml:space="preserve">     ，大写：       </w:t>
            </w:r>
            <w:r>
              <w:rPr>
                <w:rFonts w:hint="eastAsia"/>
                <w:color w:val="auto"/>
                <w:highlight w:val="none"/>
                <w:lang w:eastAsia="zh-CN"/>
              </w:rPr>
              <w:t>元整</w:t>
            </w:r>
          </w:p>
        </w:tc>
      </w:tr>
    </w:tbl>
    <w:p w14:paraId="2D11EE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注：币种为人民币 ，若双方无其他明确约定，上述价格含13%增值税。本合同以未税金额为准，如开票时税率发生变更，含税金额应做相应调整。</w:t>
      </w:r>
    </w:p>
    <w:p w14:paraId="7C039A5F">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质量要求技术标准</w:t>
      </w:r>
      <w:r>
        <w:rPr>
          <w:rFonts w:hint="eastAsia" w:ascii="宋体" w:hAnsi="宋体" w:cs="宋体"/>
          <w:b/>
          <w:bCs/>
          <w:color w:val="auto"/>
          <w:sz w:val="21"/>
          <w:szCs w:val="21"/>
          <w:highlight w:val="none"/>
          <w:lang w:val="en-US" w:eastAsia="zh-CN"/>
        </w:rPr>
        <w:t>及质保期：</w:t>
      </w:r>
    </w:p>
    <w:p w14:paraId="774B9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1、按国家标准验收，乙方随货附生产方产品检测报告。</w:t>
      </w:r>
    </w:p>
    <w:p w14:paraId="4259C9E9">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2、</w:t>
      </w:r>
      <w:r>
        <w:rPr>
          <w:rFonts w:hint="eastAsia" w:ascii="宋体" w:hAnsi="宋体" w:cs="宋体"/>
          <w:color w:val="auto"/>
          <w:sz w:val="21"/>
          <w:szCs w:val="21"/>
          <w:highlight w:val="none"/>
          <w:lang w:val="en-US" w:eastAsia="zh-CN"/>
        </w:rPr>
        <w:t>产品质保期为最终验收之日起12个月。</w:t>
      </w:r>
    </w:p>
    <w:p w14:paraId="164FF28A">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3、</w:t>
      </w:r>
      <w:r>
        <w:rPr>
          <w:rFonts w:hint="eastAsia" w:ascii="宋体" w:hAnsi="宋体" w:cs="宋体"/>
          <w:color w:val="auto"/>
          <w:sz w:val="21"/>
          <w:szCs w:val="21"/>
          <w:highlight w:val="none"/>
          <w:lang w:val="en-US" w:eastAsia="zh-CN"/>
        </w:rPr>
        <w:t>乙方作出书面质保承诺的，乙方应严格履行。</w:t>
      </w:r>
    </w:p>
    <w:p w14:paraId="4B49B2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4、双方确定的其他要求：</w:t>
      </w:r>
    </w:p>
    <w:p w14:paraId="5BEB22C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5280" w:hanging="5042" w:hangingChars="2400"/>
        <w:jc w:val="both"/>
        <w:textAlignment w:val="auto"/>
        <w:rPr>
          <w:rFonts w:hint="eastAsia" w:ascii="宋体" w:hAnsi="宋体" w:cs="宋体"/>
          <w:color w:val="auto"/>
          <w:sz w:val="21"/>
          <w:szCs w:val="21"/>
          <w:highlight w:val="none"/>
          <w:lang w:eastAsia="zh-CN"/>
        </w:rPr>
      </w:pPr>
      <w:r>
        <w:rPr>
          <w:rFonts w:hint="eastAsia" w:ascii="宋体" w:hAnsi="宋体" w:cs="宋体"/>
          <w:b/>
          <w:bCs/>
          <w:color w:val="auto"/>
          <w:sz w:val="21"/>
          <w:szCs w:val="21"/>
          <w:highlight w:val="none"/>
          <w:lang w:val="en-US" w:eastAsia="zh-CN"/>
        </w:rPr>
        <w:t>交货时间及交提货地点、方式：</w:t>
      </w:r>
    </w:p>
    <w:p w14:paraId="5D9C7F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1、乙方自合同生效后     天内向甲方交付货物，乙方在交货前有提前告知义务，应提前24小时通知甲方，若未提前通知造成甲方无法签收，由此产生的损失由乙方承担。（对于分期交付货物的情况，合同中需明确约定交货的次数，每次交货的时间及数量）     </w:t>
      </w:r>
    </w:p>
    <w:p w14:paraId="34C0FB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2、乙方负责送货至甲方指定地点：       ，     方自行卸货。</w:t>
      </w:r>
    </w:p>
    <w:p w14:paraId="20014B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3、甲方指定接货联系人：          ，电话：           。     </w:t>
      </w:r>
    </w:p>
    <w:p w14:paraId="0E9923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四、产品验收：</w:t>
      </w:r>
    </w:p>
    <w:p w14:paraId="7C7EC1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1、甲方于产品到达指定交货地点之日起     （小时/天）内进行验收完毕，由甲方指派（姓名、联系电话）              ，乙方指派（姓名、联系电话）                在场共同签署正式验收报告结果为“合格”时，方视为产品通过的正式验收。（此处合格指的是规格和数量及破损，不包括产品功能是否合格）</w:t>
      </w:r>
    </w:p>
    <w:p w14:paraId="722BB7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2、如产品存在重大不符合约定的，经乙方两次整改后仍不满足要求的，甲方有权拒绝接收产品或退回产品或解除合同，并由乙方承担因此给甲方造成的损失。</w:t>
      </w:r>
    </w:p>
    <w:p w14:paraId="64B243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3、甲方对产品的验收合格并不免除乙方的产品质量保证期限内的相责任。</w:t>
      </w:r>
    </w:p>
    <w:p w14:paraId="4B59D3CB">
      <w:pPr>
        <w:keepNext w:val="0"/>
        <w:keepLines w:val="0"/>
        <w:pageBreakBefore w:val="0"/>
        <w:widowControl w:val="0"/>
        <w:kinsoku/>
        <w:wordWrap/>
        <w:overflowPunct/>
        <w:topLinePunct w:val="0"/>
        <w:autoSpaceDE/>
        <w:autoSpaceDN/>
        <w:bidi w:val="0"/>
        <w:adjustRightInd/>
        <w:snapToGrid/>
        <w:spacing w:line="360" w:lineRule="auto"/>
        <w:ind w:left="5280" w:hanging="5042" w:hangingChars="2400"/>
        <w:jc w:val="left"/>
        <w:textAlignment w:val="auto"/>
        <w:rPr>
          <w:rFonts w:hint="eastAsia" w:ascii="宋体"/>
          <w:color w:val="auto"/>
          <w:sz w:val="21"/>
          <w:szCs w:val="21"/>
          <w:highlight w:val="none"/>
          <w:lang w:val="en-US" w:eastAsia="zh-CN"/>
        </w:rPr>
      </w:pPr>
      <w:r>
        <w:rPr>
          <w:rFonts w:hint="eastAsia" w:ascii="宋体" w:hAnsi="宋体" w:cs="宋体"/>
          <w:b/>
          <w:bCs/>
          <w:color w:val="auto"/>
          <w:sz w:val="21"/>
          <w:szCs w:val="21"/>
          <w:highlight w:val="none"/>
          <w:lang w:val="en-US" w:eastAsia="zh-CN"/>
        </w:rPr>
        <w:t>五</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运输方式和费用承担：</w:t>
      </w:r>
      <w:r>
        <w:rPr>
          <w:rFonts w:hint="eastAsia" w:ascii="宋体" w:hAnsi="宋体" w:cs="宋体"/>
          <w:color w:val="auto"/>
          <w:sz w:val="21"/>
          <w:szCs w:val="21"/>
          <w:highlight w:val="none"/>
          <w:lang w:val="en-US" w:eastAsia="zh-CN"/>
        </w:rPr>
        <w:t xml:space="preserve">       ，    方承担运费。</w:t>
      </w:r>
    </w:p>
    <w:p w14:paraId="35687C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default" w:ascii="宋体" w:hAnsi="宋体" w:eastAsia="宋体" w:cs="宋体"/>
          <w:b/>
          <w:bCs/>
          <w:color w:val="auto"/>
          <w:sz w:val="21"/>
          <w:szCs w:val="21"/>
          <w:highlight w:val="none"/>
          <w:lang w:val="en-US" w:eastAsia="zh-CN"/>
        </w:rPr>
        <w:t>价款支付</w:t>
      </w:r>
      <w:r>
        <w:rPr>
          <w:rFonts w:hint="eastAsia" w:ascii="宋体" w:hAnsi="宋体" w:eastAsia="宋体" w:cs="宋体"/>
          <w:b/>
          <w:bCs/>
          <w:color w:val="auto"/>
          <w:sz w:val="21"/>
          <w:szCs w:val="21"/>
          <w:highlight w:val="none"/>
        </w:rPr>
        <w:t>：</w:t>
      </w:r>
    </w:p>
    <w:p w14:paraId="7F47A2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结算方式：</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 xml:space="preserve">银行转账   </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银行电子承兑</w:t>
      </w:r>
    </w:p>
    <w:p w14:paraId="38A72E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甲乙</w:t>
      </w:r>
      <w:r>
        <w:rPr>
          <w:rFonts w:hint="default" w:ascii="宋体"/>
          <w:color w:val="auto"/>
          <w:sz w:val="21"/>
          <w:szCs w:val="21"/>
          <w:highlight w:val="none"/>
          <w:lang w:val="en-US" w:eastAsia="zh-CN"/>
        </w:rPr>
        <w:t>双方同意按以下方式支付合同价款：</w:t>
      </w:r>
    </w:p>
    <w:p w14:paraId="301EFC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一次性付款</w:t>
      </w:r>
    </w:p>
    <w:p w14:paraId="722D1A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合同产品验收合格且</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开具合格全额增值税发票后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天内付款。</w:t>
      </w:r>
    </w:p>
    <w:p w14:paraId="24868B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分期支付</w:t>
      </w:r>
    </w:p>
    <w:p w14:paraId="6205B629">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本合同生效后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向</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）作为预付款；</w:t>
      </w:r>
    </w:p>
    <w:p w14:paraId="643CFD1F">
      <w:pPr>
        <w:pStyle w:val="17"/>
        <w:rPr>
          <w:rFonts w:hint="default"/>
          <w:highlight w:val="none"/>
          <w:lang w:val="en-US" w:eastAsia="zh-CN"/>
        </w:rPr>
      </w:pPr>
      <w:r>
        <w:rPr>
          <w:rFonts w:hint="default" w:ascii="宋体"/>
          <w:color w:val="auto"/>
          <w:sz w:val="21"/>
          <w:szCs w:val="21"/>
          <w:highlight w:val="none"/>
          <w:lang w:val="en-US" w:eastAsia="zh-CN"/>
        </w:rPr>
        <w:t>2、预验收合格发货前，由甲方支付合同总价款的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）作为提货款</w:t>
      </w:r>
      <w:r>
        <w:rPr>
          <w:rFonts w:hint="default"/>
          <w:highlight w:val="none"/>
          <w:lang w:val="en-US" w:eastAsia="zh-CN"/>
        </w:rPr>
        <w:t>；</w:t>
      </w:r>
    </w:p>
    <w:p w14:paraId="51A3BA3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产品经</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验收入库且收到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w:t>
      </w:r>
      <w:r>
        <w:rPr>
          <w:rFonts w:hint="eastAsia" w:ascii="宋体"/>
          <w:color w:val="auto"/>
          <w:sz w:val="21"/>
          <w:szCs w:val="21"/>
          <w:highlight w:val="none"/>
          <w:lang w:val="en-US" w:eastAsia="zh-CN"/>
        </w:rPr>
        <w:t>的</w:t>
      </w:r>
      <w:r>
        <w:rPr>
          <w:rFonts w:hint="default" w:ascii="宋体"/>
          <w:color w:val="auto"/>
          <w:sz w:val="21"/>
          <w:szCs w:val="21"/>
          <w:highlight w:val="none"/>
          <w:lang w:val="en-US" w:eastAsia="zh-CN"/>
        </w:rPr>
        <w:t>合同全额税率为13%的增值税专用发票后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支付合同总价款</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）作为到货款；</w:t>
      </w:r>
    </w:p>
    <w:p w14:paraId="3C9FEA51">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合同总价的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）为产品的质保金，本合同约定的质保期满后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天内，双方就合同产品若无未解决的质量问题，由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w:t>
      </w:r>
      <w:r>
        <w:rPr>
          <w:rFonts w:hint="eastAsia" w:ascii="宋体"/>
          <w:color w:val="auto"/>
          <w:sz w:val="21"/>
          <w:szCs w:val="21"/>
          <w:highlight w:val="none"/>
          <w:lang w:val="en-US" w:eastAsia="zh-CN"/>
        </w:rPr>
        <w:t>给乙方</w:t>
      </w:r>
      <w:r>
        <w:rPr>
          <w:rFonts w:hint="default" w:ascii="宋体"/>
          <w:color w:val="auto"/>
          <w:sz w:val="21"/>
          <w:szCs w:val="21"/>
          <w:highlight w:val="none"/>
          <w:lang w:val="en-US" w:eastAsia="zh-CN"/>
        </w:rPr>
        <w:t>。</w:t>
      </w:r>
    </w:p>
    <w:p w14:paraId="0B9F2B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4、</w:t>
      </w:r>
      <w:r>
        <w:rPr>
          <w:rFonts w:hint="default" w:ascii="宋体"/>
          <w:color w:val="auto"/>
          <w:sz w:val="21"/>
          <w:szCs w:val="21"/>
          <w:highlight w:val="none"/>
          <w:lang w:val="en-US" w:eastAsia="zh-CN"/>
        </w:rPr>
        <w:t>如乙方不开具或开具不合格的发票，甲方有权迟延支付应付款项直至乙方开具合格票据且不承担任何违约责任，且乙方的各项合同义务仍应按合同约定履行。</w:t>
      </w:r>
    </w:p>
    <w:p w14:paraId="12CD07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5、</w:t>
      </w:r>
      <w:r>
        <w:rPr>
          <w:rFonts w:hint="default" w:ascii="宋体"/>
          <w:color w:val="auto"/>
          <w:sz w:val="21"/>
          <w:szCs w:val="21"/>
          <w:highlight w:val="none"/>
          <w:lang w:val="en-US" w:eastAsia="zh-CN"/>
        </w:rPr>
        <w:t>由于乙方开具发票不真实、不合格而引起的一切责任（包括商业责任和法律责任)和损失，由乙方承担。</w:t>
      </w:r>
    </w:p>
    <w:p w14:paraId="316973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6、</w:t>
      </w:r>
      <w:r>
        <w:rPr>
          <w:rFonts w:hint="default" w:ascii="宋体"/>
          <w:color w:val="auto"/>
          <w:sz w:val="21"/>
          <w:szCs w:val="21"/>
          <w:highlight w:val="none"/>
          <w:lang w:val="en-US" w:eastAsia="zh-CN"/>
        </w:rPr>
        <w:t>双方开票信息如下：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3962"/>
        <w:gridCol w:w="3247"/>
      </w:tblGrid>
      <w:tr w14:paraId="59A8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347CC7C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c>
          <w:tcPr>
            <w:tcW w:w="3962" w:type="dxa"/>
          </w:tcPr>
          <w:p w14:paraId="0E3B559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甲方：</w:t>
            </w:r>
          </w:p>
        </w:tc>
        <w:tc>
          <w:tcPr>
            <w:tcW w:w="3247" w:type="dxa"/>
          </w:tcPr>
          <w:p w14:paraId="24A22B0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乙方：</w:t>
            </w:r>
          </w:p>
        </w:tc>
      </w:tr>
      <w:tr w14:paraId="3EB7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5B777A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户  名</w:t>
            </w:r>
          </w:p>
        </w:tc>
        <w:tc>
          <w:tcPr>
            <w:tcW w:w="3962" w:type="dxa"/>
          </w:tcPr>
          <w:p w14:paraId="21EA7F7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中国机械总院集团海西（福建）分院有限公司</w:t>
            </w:r>
          </w:p>
        </w:tc>
        <w:tc>
          <w:tcPr>
            <w:tcW w:w="3247" w:type="dxa"/>
          </w:tcPr>
          <w:p w14:paraId="0520B75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63F4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435A0E5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开户行</w:t>
            </w:r>
          </w:p>
        </w:tc>
        <w:tc>
          <w:tcPr>
            <w:tcW w:w="3962" w:type="dxa"/>
          </w:tcPr>
          <w:p w14:paraId="5A73B83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中国农业银行沙县支行</w:t>
            </w:r>
          </w:p>
        </w:tc>
        <w:tc>
          <w:tcPr>
            <w:tcW w:w="3247" w:type="dxa"/>
          </w:tcPr>
          <w:p w14:paraId="71912C8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44A2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5E5B0C2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账  号</w:t>
            </w:r>
          </w:p>
        </w:tc>
        <w:tc>
          <w:tcPr>
            <w:tcW w:w="3962" w:type="dxa"/>
          </w:tcPr>
          <w:p w14:paraId="579214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13840101040017600</w:t>
            </w:r>
          </w:p>
        </w:tc>
        <w:tc>
          <w:tcPr>
            <w:tcW w:w="3247" w:type="dxa"/>
          </w:tcPr>
          <w:p w14:paraId="09915D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0230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75" w:type="dxa"/>
          </w:tcPr>
          <w:p w14:paraId="0837DF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税  号</w:t>
            </w:r>
          </w:p>
        </w:tc>
        <w:tc>
          <w:tcPr>
            <w:tcW w:w="3962" w:type="dxa"/>
          </w:tcPr>
          <w:p w14:paraId="127F4F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913504270603757361</w:t>
            </w:r>
          </w:p>
        </w:tc>
        <w:tc>
          <w:tcPr>
            <w:tcW w:w="3247" w:type="dxa"/>
          </w:tcPr>
          <w:p w14:paraId="369EF3C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29E3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37D58D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电  话</w:t>
            </w:r>
          </w:p>
        </w:tc>
        <w:tc>
          <w:tcPr>
            <w:tcW w:w="3962" w:type="dxa"/>
          </w:tcPr>
          <w:p w14:paraId="7808C3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0598-5053297</w:t>
            </w:r>
          </w:p>
        </w:tc>
        <w:tc>
          <w:tcPr>
            <w:tcW w:w="3247" w:type="dxa"/>
          </w:tcPr>
          <w:p w14:paraId="0DEE684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bl>
    <w:p w14:paraId="7CEA4B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lang w:val="en-US" w:eastAsia="zh-CN"/>
        </w:rPr>
      </w:pPr>
    </w:p>
    <w:p w14:paraId="0D385D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：违约责任：</w:t>
      </w:r>
    </w:p>
    <w:p w14:paraId="76D633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1、</w:t>
      </w:r>
      <w:r>
        <w:rPr>
          <w:rFonts w:hint="eastAsia" w:ascii="宋体"/>
          <w:color w:val="auto"/>
          <w:sz w:val="21"/>
          <w:szCs w:val="21"/>
          <w:highlight w:val="none"/>
          <w:lang w:eastAsia="zh-CN"/>
        </w:rPr>
        <w:t>乙方</w:t>
      </w:r>
      <w:r>
        <w:rPr>
          <w:rFonts w:hint="eastAsia" w:ascii="宋体"/>
          <w:color w:val="auto"/>
          <w:sz w:val="21"/>
          <w:szCs w:val="21"/>
          <w:highlight w:val="none"/>
        </w:rPr>
        <w:t>未按约定按时履约的，每逾期一日，按照相应产品的总价款的0.1％向</w:t>
      </w:r>
      <w:r>
        <w:rPr>
          <w:rFonts w:hint="eastAsia" w:ascii="宋体"/>
          <w:color w:val="auto"/>
          <w:sz w:val="21"/>
          <w:szCs w:val="21"/>
          <w:highlight w:val="none"/>
          <w:lang w:eastAsia="zh-CN"/>
        </w:rPr>
        <w:t>甲方</w:t>
      </w:r>
      <w:r>
        <w:rPr>
          <w:rFonts w:hint="eastAsia" w:ascii="宋体"/>
          <w:color w:val="auto"/>
          <w:sz w:val="21"/>
          <w:szCs w:val="21"/>
          <w:highlight w:val="none"/>
        </w:rPr>
        <w:t>支付违约金。若逾期超过60日，</w:t>
      </w:r>
      <w:r>
        <w:rPr>
          <w:rFonts w:hint="eastAsia" w:ascii="宋体"/>
          <w:color w:val="auto"/>
          <w:sz w:val="21"/>
          <w:szCs w:val="21"/>
          <w:highlight w:val="none"/>
          <w:lang w:eastAsia="zh-CN"/>
        </w:rPr>
        <w:t>甲方</w:t>
      </w:r>
      <w:r>
        <w:rPr>
          <w:rFonts w:hint="eastAsia" w:ascii="宋体"/>
          <w:color w:val="auto"/>
          <w:sz w:val="21"/>
          <w:szCs w:val="21"/>
          <w:highlight w:val="none"/>
        </w:rPr>
        <w:t>可单方解除本合同或取消对相应产品的采购，</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14:paraId="38C1C2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2、</w:t>
      </w:r>
      <w:r>
        <w:rPr>
          <w:rFonts w:hint="eastAsia" w:ascii="宋体"/>
          <w:color w:val="auto"/>
          <w:sz w:val="21"/>
          <w:szCs w:val="21"/>
          <w:highlight w:val="none"/>
          <w:lang w:eastAsia="zh-CN"/>
        </w:rPr>
        <w:t>甲方</w:t>
      </w:r>
      <w:r>
        <w:rPr>
          <w:rFonts w:hint="eastAsia" w:ascii="宋体"/>
          <w:color w:val="auto"/>
          <w:sz w:val="21"/>
          <w:szCs w:val="21"/>
          <w:highlight w:val="none"/>
        </w:rPr>
        <w:t>逾期付款的，每逾期一日，以逾期付款金额的0.1％向</w:t>
      </w:r>
      <w:r>
        <w:rPr>
          <w:rFonts w:hint="eastAsia" w:ascii="宋体"/>
          <w:color w:val="auto"/>
          <w:sz w:val="21"/>
          <w:szCs w:val="21"/>
          <w:highlight w:val="none"/>
          <w:lang w:eastAsia="zh-CN"/>
        </w:rPr>
        <w:t>乙方</w:t>
      </w:r>
      <w:r>
        <w:rPr>
          <w:rFonts w:hint="eastAsia" w:ascii="宋体"/>
          <w:color w:val="auto"/>
          <w:sz w:val="21"/>
          <w:szCs w:val="21"/>
          <w:highlight w:val="none"/>
        </w:rPr>
        <w:t>支付违约金。</w:t>
      </w:r>
    </w:p>
    <w:p w14:paraId="221740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3、</w:t>
      </w:r>
      <w:r>
        <w:rPr>
          <w:rFonts w:hint="eastAsia" w:ascii="宋体"/>
          <w:color w:val="auto"/>
          <w:sz w:val="21"/>
          <w:szCs w:val="21"/>
          <w:highlight w:val="none"/>
          <w:lang w:eastAsia="zh-CN"/>
        </w:rPr>
        <w:t>乙方</w:t>
      </w:r>
      <w:r>
        <w:rPr>
          <w:rFonts w:hint="eastAsia" w:ascii="宋体"/>
          <w:color w:val="auto"/>
          <w:sz w:val="21"/>
          <w:szCs w:val="21"/>
          <w:highlight w:val="none"/>
        </w:rPr>
        <w:t>无故解除本合同或存在其他违约行为的，</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14:paraId="3E0D26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eastAsia="宋体"/>
          <w:color w:val="auto"/>
          <w:sz w:val="21"/>
          <w:szCs w:val="21"/>
          <w:highlight w:val="none"/>
          <w:lang w:eastAsia="zh-CN"/>
        </w:rPr>
      </w:pPr>
      <w:r>
        <w:rPr>
          <w:rFonts w:hint="eastAsia" w:ascii="宋体"/>
          <w:color w:val="auto"/>
          <w:sz w:val="21"/>
          <w:szCs w:val="21"/>
          <w:highlight w:val="none"/>
          <w:lang w:val="en-US" w:eastAsia="zh-CN"/>
        </w:rPr>
        <w:t>4、</w:t>
      </w:r>
      <w:r>
        <w:rPr>
          <w:rFonts w:hint="eastAsia" w:ascii="宋体"/>
          <w:color w:val="auto"/>
          <w:sz w:val="21"/>
          <w:szCs w:val="21"/>
          <w:highlight w:val="none"/>
          <w:lang w:eastAsia="zh-CN"/>
        </w:rPr>
        <w:t>甲方</w:t>
      </w:r>
      <w:r>
        <w:rPr>
          <w:rFonts w:hint="eastAsia" w:ascii="宋体"/>
          <w:color w:val="auto"/>
          <w:sz w:val="21"/>
          <w:szCs w:val="21"/>
          <w:highlight w:val="none"/>
        </w:rPr>
        <w:t>的损失大于本合同约定的违约金的，</w:t>
      </w:r>
      <w:r>
        <w:rPr>
          <w:rFonts w:hint="eastAsia" w:ascii="宋体"/>
          <w:color w:val="auto"/>
          <w:sz w:val="21"/>
          <w:szCs w:val="21"/>
          <w:highlight w:val="none"/>
          <w:lang w:eastAsia="zh-CN"/>
        </w:rPr>
        <w:t>乙方</w:t>
      </w:r>
      <w:r>
        <w:rPr>
          <w:rFonts w:hint="eastAsia" w:ascii="宋体"/>
          <w:color w:val="auto"/>
          <w:sz w:val="21"/>
          <w:szCs w:val="21"/>
          <w:highlight w:val="none"/>
        </w:rPr>
        <w:t>应</w:t>
      </w:r>
      <w:r>
        <w:rPr>
          <w:rFonts w:hint="eastAsia" w:ascii="宋体"/>
          <w:color w:val="auto"/>
          <w:sz w:val="21"/>
          <w:szCs w:val="21"/>
          <w:highlight w:val="none"/>
          <w:lang w:val="en-US" w:eastAsia="zh-CN"/>
        </w:rPr>
        <w:t>承担补足</w:t>
      </w:r>
      <w:r>
        <w:rPr>
          <w:rFonts w:hint="eastAsia" w:ascii="宋体"/>
          <w:color w:val="auto"/>
          <w:sz w:val="21"/>
          <w:szCs w:val="21"/>
          <w:highlight w:val="none"/>
          <w:lang w:eastAsia="zh-CN"/>
        </w:rPr>
        <w:t>甲方</w:t>
      </w:r>
      <w:r>
        <w:rPr>
          <w:rFonts w:hint="eastAsia" w:ascii="宋体"/>
          <w:color w:val="auto"/>
          <w:sz w:val="21"/>
          <w:szCs w:val="21"/>
          <w:highlight w:val="none"/>
          <w:lang w:val="en-US" w:eastAsia="zh-CN"/>
        </w:rPr>
        <w:t>的全部</w:t>
      </w:r>
      <w:r>
        <w:rPr>
          <w:rFonts w:hint="eastAsia" w:ascii="宋体"/>
          <w:color w:val="auto"/>
          <w:sz w:val="21"/>
          <w:szCs w:val="21"/>
          <w:highlight w:val="none"/>
        </w:rPr>
        <w:t>损失</w:t>
      </w:r>
      <w:r>
        <w:rPr>
          <w:rFonts w:hint="eastAsia" w:ascii="宋体"/>
          <w:color w:val="auto"/>
          <w:sz w:val="21"/>
          <w:szCs w:val="21"/>
          <w:highlight w:val="none"/>
          <w:lang w:eastAsia="zh-CN"/>
        </w:rPr>
        <w:t>。</w:t>
      </w:r>
    </w:p>
    <w:p w14:paraId="480122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5、</w:t>
      </w:r>
      <w:r>
        <w:rPr>
          <w:rFonts w:hint="eastAsia" w:ascii="宋体"/>
          <w:color w:val="auto"/>
          <w:sz w:val="21"/>
          <w:szCs w:val="21"/>
          <w:highlight w:val="none"/>
          <w:lang w:eastAsia="zh-CN"/>
        </w:rPr>
        <w:t>乙方</w:t>
      </w:r>
      <w:r>
        <w:rPr>
          <w:rFonts w:hint="eastAsia" w:ascii="宋体"/>
          <w:color w:val="auto"/>
          <w:sz w:val="21"/>
          <w:szCs w:val="21"/>
          <w:highlight w:val="none"/>
        </w:rPr>
        <w:t>因本合同约定应向</w:t>
      </w:r>
      <w:r>
        <w:rPr>
          <w:rFonts w:hint="eastAsia" w:ascii="宋体"/>
          <w:color w:val="auto"/>
          <w:sz w:val="21"/>
          <w:szCs w:val="21"/>
          <w:highlight w:val="none"/>
          <w:lang w:eastAsia="zh-CN"/>
        </w:rPr>
        <w:t>甲方</w:t>
      </w:r>
      <w:r>
        <w:rPr>
          <w:rFonts w:hint="eastAsia" w:ascii="宋体"/>
          <w:color w:val="auto"/>
          <w:sz w:val="21"/>
          <w:szCs w:val="21"/>
          <w:highlight w:val="none"/>
        </w:rPr>
        <w:t>支付的各项费用、违约金、赔偿等，</w:t>
      </w:r>
      <w:r>
        <w:rPr>
          <w:rFonts w:hint="eastAsia" w:ascii="宋体"/>
          <w:color w:val="auto"/>
          <w:sz w:val="21"/>
          <w:szCs w:val="21"/>
          <w:highlight w:val="none"/>
          <w:lang w:val="en-US" w:eastAsia="zh-CN"/>
        </w:rPr>
        <w:t>甲方有权从最近一笔付款中扣除相应金额。如果最近一笔付款不足以抵扣违约金的，则可从下一笔付款中继续扣除，仍不足以抵扣的，甲方保留向乙方追究责任的权利。</w:t>
      </w:r>
    </w:p>
    <w:p w14:paraId="4624F4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6、</w:t>
      </w:r>
      <w:r>
        <w:rPr>
          <w:rFonts w:hint="eastAsia" w:ascii="宋体"/>
          <w:color w:val="auto"/>
          <w:sz w:val="21"/>
          <w:szCs w:val="21"/>
          <w:highlight w:val="none"/>
        </w:rPr>
        <w:t>违约方承担守约方</w:t>
      </w:r>
      <w:r>
        <w:rPr>
          <w:rFonts w:hint="eastAsia" w:ascii="宋体"/>
          <w:color w:val="auto"/>
          <w:sz w:val="21"/>
          <w:szCs w:val="21"/>
          <w:highlight w:val="none"/>
          <w:lang w:val="en-US" w:eastAsia="zh-CN"/>
        </w:rPr>
        <w:t>的损失中还应</w:t>
      </w:r>
      <w:r>
        <w:rPr>
          <w:rFonts w:hint="eastAsia" w:ascii="宋体"/>
          <w:color w:val="auto"/>
          <w:sz w:val="21"/>
          <w:szCs w:val="21"/>
          <w:highlight w:val="none"/>
        </w:rPr>
        <w:t>包括但不限于律师费、诉讼费、保全费</w:t>
      </w:r>
      <w:r>
        <w:rPr>
          <w:rFonts w:hint="eastAsia" w:ascii="宋体"/>
          <w:color w:val="auto"/>
          <w:sz w:val="21"/>
          <w:szCs w:val="21"/>
          <w:highlight w:val="none"/>
          <w:lang w:val="en-US" w:eastAsia="zh-CN"/>
        </w:rPr>
        <w:t>及保险费</w:t>
      </w:r>
      <w:r>
        <w:rPr>
          <w:rFonts w:hint="eastAsia" w:ascii="宋体"/>
          <w:color w:val="auto"/>
          <w:sz w:val="21"/>
          <w:szCs w:val="21"/>
          <w:highlight w:val="none"/>
        </w:rPr>
        <w:t>、评估费、鉴定费等。</w:t>
      </w:r>
    </w:p>
    <w:p w14:paraId="097998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b/>
          <w:bCs/>
          <w:color w:val="auto"/>
          <w:sz w:val="21"/>
          <w:szCs w:val="21"/>
          <w:highlight w:val="none"/>
          <w:lang w:val="en-US" w:eastAsia="zh-CN"/>
        </w:rPr>
        <w:t>八</w:t>
      </w:r>
      <w:r>
        <w:rPr>
          <w:rFonts w:hint="eastAsia" w:ascii="宋体"/>
          <w:b/>
          <w:bCs/>
          <w:color w:val="auto"/>
          <w:sz w:val="21"/>
          <w:szCs w:val="21"/>
          <w:highlight w:val="none"/>
        </w:rPr>
        <w:t>：</w:t>
      </w:r>
      <w:r>
        <w:rPr>
          <w:rFonts w:hint="eastAsia" w:ascii="宋体"/>
          <w:b/>
          <w:bCs/>
          <w:color w:val="auto"/>
          <w:sz w:val="21"/>
          <w:szCs w:val="21"/>
          <w:highlight w:val="none"/>
          <w:lang w:val="en-US" w:eastAsia="zh-CN"/>
        </w:rPr>
        <w:t>争议解决</w:t>
      </w:r>
      <w:r>
        <w:rPr>
          <w:rFonts w:hint="eastAsia" w:ascii="宋体"/>
          <w:b/>
          <w:bCs/>
          <w:color w:val="auto"/>
          <w:sz w:val="21"/>
          <w:szCs w:val="21"/>
          <w:highlight w:val="none"/>
        </w:rPr>
        <w:t>：</w:t>
      </w:r>
    </w:p>
    <w:p w14:paraId="19B934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未尽事宜双方友好协商解决，并以书面形式作为合同附件。协商不成按第</w:t>
      </w:r>
      <w:r>
        <w:rPr>
          <w:rFonts w:hint="eastAsia" w:ascii="宋体"/>
          <w:color w:val="auto"/>
          <w:sz w:val="21"/>
          <w:szCs w:val="21"/>
          <w:highlight w:val="none"/>
          <w:u w:val="single"/>
          <w:lang w:val="en-US" w:eastAsia="zh-CN"/>
        </w:rPr>
        <w:t xml:space="preserve">  2   </w:t>
      </w:r>
      <w:r>
        <w:rPr>
          <w:rFonts w:hint="eastAsia" w:ascii="宋体"/>
          <w:color w:val="auto"/>
          <w:sz w:val="21"/>
          <w:szCs w:val="21"/>
          <w:highlight w:val="none"/>
          <w:lang w:val="en-US" w:eastAsia="zh-CN"/>
        </w:rPr>
        <w:t xml:space="preserve"> </w:t>
      </w:r>
      <w:r>
        <w:rPr>
          <w:rFonts w:hint="eastAsia" w:ascii="宋体"/>
          <w:color w:val="auto"/>
          <w:sz w:val="21"/>
          <w:szCs w:val="21"/>
          <w:highlight w:val="none"/>
        </w:rPr>
        <w:t>种方式解决。</w:t>
      </w:r>
    </w:p>
    <w:p w14:paraId="5496A2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eastAsia="zh-CN"/>
        </w:rPr>
      </w:pPr>
      <w:r>
        <w:rPr>
          <w:rFonts w:hint="eastAsia" w:ascii="宋体"/>
          <w:color w:val="auto"/>
          <w:sz w:val="21"/>
          <w:szCs w:val="21"/>
          <w:highlight w:val="none"/>
          <w:lang w:val="en-US" w:eastAsia="zh-CN"/>
        </w:rPr>
        <w:t>1、提交</w:t>
      </w:r>
      <w:r>
        <w:rPr>
          <w:rFonts w:hint="eastAsia" w:ascii="宋体"/>
          <w:color w:val="auto"/>
          <w:sz w:val="21"/>
          <w:szCs w:val="21"/>
          <w:highlight w:val="none"/>
        </w:rPr>
        <w:t>合同履行地仲裁委员会仲裁</w:t>
      </w:r>
      <w:r>
        <w:rPr>
          <w:rFonts w:hint="eastAsia" w:ascii="宋体"/>
          <w:color w:val="auto"/>
          <w:sz w:val="21"/>
          <w:szCs w:val="21"/>
          <w:highlight w:val="none"/>
          <w:lang w:eastAsia="zh-CN"/>
        </w:rPr>
        <w:t>；</w:t>
      </w:r>
    </w:p>
    <w:p w14:paraId="41560B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2、向甲方所在</w:t>
      </w:r>
      <w:r>
        <w:rPr>
          <w:rFonts w:hint="eastAsia" w:ascii="宋体"/>
          <w:color w:val="auto"/>
          <w:sz w:val="21"/>
          <w:szCs w:val="21"/>
          <w:highlight w:val="none"/>
        </w:rPr>
        <w:t>地</w:t>
      </w:r>
      <w:r>
        <w:rPr>
          <w:rFonts w:hint="eastAsia" w:ascii="宋体"/>
          <w:color w:val="auto"/>
          <w:sz w:val="21"/>
          <w:szCs w:val="21"/>
          <w:highlight w:val="none"/>
          <w:lang w:val="en-US" w:eastAsia="zh-CN"/>
        </w:rPr>
        <w:t>具有管辖权的</w:t>
      </w:r>
      <w:r>
        <w:rPr>
          <w:rFonts w:hint="eastAsia" w:ascii="宋体"/>
          <w:color w:val="auto"/>
          <w:sz w:val="21"/>
          <w:szCs w:val="21"/>
          <w:highlight w:val="none"/>
        </w:rPr>
        <w:t>人民法院起诉。</w:t>
      </w:r>
    </w:p>
    <w:p w14:paraId="1C7113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九：保修期及安装、人员培训</w:t>
      </w:r>
    </w:p>
    <w:p w14:paraId="75E33A9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保修期内因质量问题而导致设备停用的时间应从保修期中扣除。货品在正常维护、保养及使用情形下发生故障或损坏，</w:t>
      </w:r>
      <w:r>
        <w:rPr>
          <w:rFonts w:hint="eastAsia" w:ascii="宋体" w:hAnsi="宋体"/>
          <w:color w:val="auto"/>
          <w:szCs w:val="21"/>
          <w:highlight w:val="none"/>
          <w:lang w:val="en-US" w:eastAsia="zh-CN"/>
        </w:rPr>
        <w:t>乙</w:t>
      </w:r>
      <w:r>
        <w:rPr>
          <w:rFonts w:hint="eastAsia" w:ascii="宋体" w:hAnsi="宋体"/>
          <w:color w:val="auto"/>
          <w:szCs w:val="21"/>
          <w:highlight w:val="none"/>
        </w:rPr>
        <w:t>方应负责迅速修复设备至正常生产使用，因而发生的零件，维修及其它费用由</w:t>
      </w:r>
      <w:r>
        <w:rPr>
          <w:rFonts w:hint="eastAsia" w:ascii="宋体" w:hAnsi="宋体"/>
          <w:color w:val="auto"/>
          <w:szCs w:val="21"/>
          <w:highlight w:val="none"/>
          <w:lang w:val="en-US" w:eastAsia="zh-CN"/>
        </w:rPr>
        <w:t>乙</w:t>
      </w:r>
      <w:r>
        <w:rPr>
          <w:rFonts w:hint="eastAsia" w:ascii="宋体" w:hAnsi="宋体"/>
          <w:color w:val="auto"/>
          <w:szCs w:val="21"/>
          <w:highlight w:val="none"/>
        </w:rPr>
        <w:t>方自行负担；保固期满后</w:t>
      </w:r>
      <w:r>
        <w:rPr>
          <w:rFonts w:hint="eastAsia" w:ascii="宋体" w:hAnsi="宋体"/>
          <w:color w:val="auto"/>
          <w:szCs w:val="21"/>
          <w:highlight w:val="none"/>
          <w:lang w:val="en-US" w:eastAsia="zh-CN"/>
        </w:rPr>
        <w:t>乙</w:t>
      </w:r>
      <w:r>
        <w:rPr>
          <w:rFonts w:hint="eastAsia" w:ascii="宋体" w:hAnsi="宋体"/>
          <w:color w:val="auto"/>
          <w:szCs w:val="21"/>
          <w:highlight w:val="none"/>
        </w:rPr>
        <w:t>方对货品之维修得酌收零件、维修及交通等费用。</w:t>
      </w:r>
    </w:p>
    <w:p w14:paraId="58C1589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机器到达</w:t>
      </w:r>
      <w:r>
        <w:rPr>
          <w:rFonts w:hint="eastAsia" w:ascii="宋体" w:hAnsi="宋体"/>
          <w:color w:val="auto"/>
          <w:szCs w:val="21"/>
          <w:highlight w:val="none"/>
          <w:lang w:val="en-US" w:eastAsia="zh-CN"/>
        </w:rPr>
        <w:t>甲</w:t>
      </w:r>
      <w:r>
        <w:rPr>
          <w:rFonts w:hint="eastAsia" w:ascii="宋体" w:hAnsi="宋体"/>
          <w:color w:val="auto"/>
          <w:szCs w:val="21"/>
          <w:highlight w:val="none"/>
        </w:rPr>
        <w:t>方装机地点后，</w:t>
      </w:r>
      <w:r>
        <w:rPr>
          <w:rFonts w:hint="eastAsia" w:ascii="宋体" w:hAnsi="宋体"/>
          <w:color w:val="auto"/>
          <w:szCs w:val="21"/>
          <w:highlight w:val="none"/>
          <w:lang w:val="en-US" w:eastAsia="zh-CN"/>
        </w:rPr>
        <w:t>甲</w:t>
      </w:r>
      <w:r>
        <w:rPr>
          <w:rFonts w:hint="eastAsia" w:ascii="宋体" w:hAnsi="宋体"/>
          <w:color w:val="auto"/>
          <w:szCs w:val="21"/>
          <w:highlight w:val="none"/>
        </w:rPr>
        <w:t>方通知</w:t>
      </w:r>
      <w:r>
        <w:rPr>
          <w:rFonts w:hint="eastAsia" w:ascii="宋体" w:hAnsi="宋体"/>
          <w:color w:val="auto"/>
          <w:szCs w:val="21"/>
          <w:highlight w:val="none"/>
          <w:lang w:val="en-US" w:eastAsia="zh-CN"/>
        </w:rPr>
        <w:t>乙</w:t>
      </w:r>
      <w:r>
        <w:rPr>
          <w:rFonts w:hint="eastAsia" w:ascii="宋体" w:hAnsi="宋体"/>
          <w:color w:val="auto"/>
          <w:szCs w:val="21"/>
          <w:highlight w:val="none"/>
        </w:rPr>
        <w:t>方安排人员对设备进行安装调校及测试工作。同时</w:t>
      </w:r>
      <w:r>
        <w:rPr>
          <w:rFonts w:hint="eastAsia" w:ascii="宋体" w:hAnsi="宋体"/>
          <w:color w:val="auto"/>
          <w:szCs w:val="21"/>
          <w:highlight w:val="none"/>
          <w:lang w:val="en-US" w:eastAsia="zh-CN"/>
        </w:rPr>
        <w:t>乙</w:t>
      </w:r>
      <w:r>
        <w:rPr>
          <w:rFonts w:hint="eastAsia" w:ascii="宋体" w:hAnsi="宋体"/>
          <w:color w:val="auto"/>
          <w:szCs w:val="21"/>
          <w:highlight w:val="none"/>
        </w:rPr>
        <w:t>方应根据安装，调试的进度具体安排相应的现场培训，培训内容应侧重于安装，调试，设备操守，及维护等内容。后续如</w:t>
      </w:r>
      <w:r>
        <w:rPr>
          <w:rFonts w:hint="eastAsia" w:ascii="宋体" w:hAnsi="宋体"/>
          <w:color w:val="auto"/>
          <w:szCs w:val="21"/>
          <w:highlight w:val="none"/>
          <w:lang w:val="en-US" w:eastAsia="zh-CN"/>
        </w:rPr>
        <w:t>甲</w:t>
      </w:r>
      <w:r>
        <w:rPr>
          <w:rFonts w:hint="eastAsia" w:ascii="宋体" w:hAnsi="宋体"/>
          <w:color w:val="auto"/>
          <w:szCs w:val="21"/>
          <w:highlight w:val="none"/>
        </w:rPr>
        <w:t>方仍有培训需求，</w:t>
      </w:r>
      <w:r>
        <w:rPr>
          <w:rFonts w:hint="eastAsia" w:ascii="宋体" w:hAnsi="宋体"/>
          <w:color w:val="auto"/>
          <w:szCs w:val="21"/>
          <w:highlight w:val="none"/>
          <w:lang w:val="en-US" w:eastAsia="zh-CN"/>
        </w:rPr>
        <w:t>乙</w:t>
      </w:r>
      <w:r>
        <w:rPr>
          <w:rFonts w:hint="eastAsia" w:ascii="宋体" w:hAnsi="宋体"/>
          <w:color w:val="auto"/>
          <w:szCs w:val="21"/>
          <w:highlight w:val="none"/>
        </w:rPr>
        <w:t>方再进行一次前述培训。</w:t>
      </w:r>
    </w:p>
    <w:p w14:paraId="7AD5CC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 维修反应时间：</w:t>
      </w:r>
    </w:p>
    <w:p w14:paraId="3F37F2A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乙</w:t>
      </w:r>
      <w:r>
        <w:rPr>
          <w:rFonts w:hint="eastAsia" w:ascii="宋体" w:hAnsi="宋体"/>
          <w:color w:val="auto"/>
          <w:szCs w:val="21"/>
          <w:highlight w:val="none"/>
        </w:rPr>
        <w:t>方应在工作日24小时内对</w:t>
      </w:r>
      <w:r>
        <w:rPr>
          <w:rFonts w:hint="eastAsia" w:ascii="宋体" w:hAnsi="宋体"/>
          <w:color w:val="auto"/>
          <w:szCs w:val="21"/>
          <w:highlight w:val="none"/>
          <w:lang w:val="en-US" w:eastAsia="zh-CN"/>
        </w:rPr>
        <w:t>甲</w:t>
      </w:r>
      <w:r>
        <w:rPr>
          <w:rFonts w:hint="eastAsia" w:ascii="宋体" w:hAnsi="宋体"/>
          <w:color w:val="auto"/>
          <w:szCs w:val="21"/>
          <w:highlight w:val="none"/>
        </w:rPr>
        <w:t>方的报修申请做出反应。一般性问题应在工作日</w:t>
      </w:r>
      <w:r>
        <w:rPr>
          <w:rFonts w:ascii="宋体" w:hAnsi="宋体"/>
          <w:color w:val="auto"/>
          <w:szCs w:val="21"/>
          <w:highlight w:val="none"/>
        </w:rPr>
        <w:t>72</w:t>
      </w:r>
      <w:r>
        <w:rPr>
          <w:rFonts w:hint="eastAsia" w:ascii="宋体" w:hAnsi="宋体"/>
          <w:color w:val="auto"/>
          <w:szCs w:val="21"/>
          <w:highlight w:val="none"/>
        </w:rPr>
        <w:t>小时内解决；对于在工作日</w:t>
      </w:r>
      <w:r>
        <w:rPr>
          <w:rFonts w:ascii="宋体" w:hAnsi="宋体"/>
          <w:color w:val="auto"/>
          <w:szCs w:val="21"/>
          <w:highlight w:val="none"/>
        </w:rPr>
        <w:t>72</w:t>
      </w:r>
      <w:r>
        <w:rPr>
          <w:rFonts w:hint="eastAsia" w:ascii="宋体" w:hAnsi="宋体"/>
          <w:color w:val="auto"/>
          <w:szCs w:val="21"/>
          <w:highlight w:val="none"/>
        </w:rPr>
        <w:t>小时内无法解决的其它较大的问题，应在</w:t>
      </w:r>
      <w:r>
        <w:rPr>
          <w:rFonts w:ascii="宋体" w:hAnsi="宋体"/>
          <w:color w:val="auto"/>
          <w:szCs w:val="21"/>
          <w:highlight w:val="none"/>
        </w:rPr>
        <w:t>5</w:t>
      </w:r>
      <w:r>
        <w:rPr>
          <w:rFonts w:hint="eastAsia" w:ascii="宋体" w:hAnsi="宋体"/>
          <w:color w:val="auto"/>
          <w:szCs w:val="21"/>
          <w:highlight w:val="none"/>
        </w:rPr>
        <w:t>个工作日内给以解决；对于在</w:t>
      </w:r>
      <w:r>
        <w:rPr>
          <w:rFonts w:ascii="宋体" w:hAnsi="宋体"/>
          <w:color w:val="auto"/>
          <w:szCs w:val="21"/>
          <w:highlight w:val="none"/>
        </w:rPr>
        <w:t>5</w:t>
      </w:r>
      <w:r>
        <w:rPr>
          <w:rFonts w:hint="eastAsia" w:ascii="宋体" w:hAnsi="宋体"/>
          <w:color w:val="auto"/>
          <w:szCs w:val="21"/>
          <w:highlight w:val="none"/>
        </w:rPr>
        <w:t>个工作日内不能解决的问题，应提出明确的解决方案，经双方协商后，在预定的期限内解决问题。如</w:t>
      </w:r>
      <w:r>
        <w:rPr>
          <w:rFonts w:hint="eastAsia" w:ascii="MS Gothic" w:hAnsi="MS Gothic" w:cs="MS Gothic"/>
          <w:color w:val="auto"/>
          <w:szCs w:val="21"/>
          <w:highlight w:val="none"/>
          <w:lang w:val="en-US" w:eastAsia="zh-CN"/>
        </w:rPr>
        <w:t>乙</w:t>
      </w:r>
      <w:r>
        <w:rPr>
          <w:rFonts w:hint="eastAsia" w:ascii="宋体" w:hAnsi="宋体"/>
          <w:color w:val="auto"/>
          <w:szCs w:val="21"/>
          <w:highlight w:val="none"/>
        </w:rPr>
        <w:t>方无法排除故障，</w:t>
      </w:r>
      <w:r>
        <w:rPr>
          <w:rFonts w:hint="eastAsia" w:ascii="宋体" w:hAnsi="宋体"/>
          <w:color w:val="auto"/>
          <w:szCs w:val="21"/>
          <w:highlight w:val="none"/>
          <w:lang w:val="en-US" w:eastAsia="zh-CN"/>
        </w:rPr>
        <w:t>乙</w:t>
      </w:r>
      <w:r>
        <w:rPr>
          <w:rFonts w:hint="eastAsia" w:ascii="宋体" w:hAnsi="宋体"/>
          <w:color w:val="auto"/>
          <w:szCs w:val="21"/>
          <w:highlight w:val="none"/>
        </w:rPr>
        <w:t>方应赔偿由此而造成的直接损失</w:t>
      </w:r>
      <w:r>
        <w:rPr>
          <w:rFonts w:ascii="宋体" w:hAnsi="宋体"/>
          <w:color w:val="auto"/>
          <w:szCs w:val="21"/>
          <w:highlight w:val="none"/>
        </w:rPr>
        <w:t>(</w:t>
      </w:r>
      <w:r>
        <w:rPr>
          <w:rFonts w:hint="eastAsia" w:ascii="宋体" w:hAnsi="宋体"/>
          <w:color w:val="auto"/>
          <w:szCs w:val="21"/>
          <w:highlight w:val="none"/>
        </w:rPr>
        <w:t>人为问题</w:t>
      </w:r>
      <w:r>
        <w:rPr>
          <w:rFonts w:hint="eastAsia" w:ascii="宋体" w:hAnsi="宋体"/>
          <w:color w:val="auto"/>
          <w:szCs w:val="21"/>
          <w:highlight w:val="none"/>
          <w:lang w:val="en-US" w:eastAsia="zh-CN"/>
        </w:rPr>
        <w:tab/>
      </w:r>
      <w:r>
        <w:rPr>
          <w:rFonts w:hint="eastAsia" w:ascii="宋体" w:hAnsi="宋体"/>
          <w:color w:val="auto"/>
          <w:szCs w:val="21"/>
          <w:highlight w:val="none"/>
        </w:rPr>
        <w:t>除外</w:t>
      </w:r>
      <w:r>
        <w:rPr>
          <w:rFonts w:ascii="宋体" w:hAnsi="宋体"/>
          <w:color w:val="auto"/>
          <w:szCs w:val="21"/>
          <w:highlight w:val="none"/>
        </w:rPr>
        <w:t>)</w:t>
      </w:r>
      <w:r>
        <w:rPr>
          <w:rFonts w:hint="eastAsia" w:ascii="宋体" w:hAnsi="宋体"/>
          <w:color w:val="auto"/>
          <w:szCs w:val="21"/>
          <w:highlight w:val="none"/>
        </w:rPr>
        <w:t>。</w:t>
      </w:r>
    </w:p>
    <w:p w14:paraId="0B7867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十一：保证与承诺</w:t>
      </w:r>
    </w:p>
    <w:p w14:paraId="45B6078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1、乙</w:t>
      </w:r>
      <w:r>
        <w:rPr>
          <w:rFonts w:hint="eastAsia" w:ascii="宋体" w:hAnsi="宋体"/>
          <w:color w:val="auto"/>
          <w:szCs w:val="21"/>
          <w:highlight w:val="none"/>
        </w:rPr>
        <w:t>方所提供的设备、设备相关软件、技术、设备产品及该设备日后的使用不会对第三方的知识产权造成侵害；</w:t>
      </w:r>
    </w:p>
    <w:p w14:paraId="3C7CE924">
      <w:pPr>
        <w:spacing w:line="400" w:lineRule="exact"/>
        <w:ind w:firstLine="420" w:firstLineChars="200"/>
        <w:rPr>
          <w:rFonts w:hint="default" w:ascii="宋体"/>
          <w:color w:val="auto"/>
          <w:sz w:val="21"/>
          <w:szCs w:val="21"/>
          <w:highlight w:val="none"/>
          <w:lang w:val="en-US" w:eastAsia="zh-CN"/>
        </w:rPr>
      </w:pPr>
      <w:r>
        <w:rPr>
          <w:rFonts w:hint="eastAsia" w:ascii="宋体" w:hAnsi="宋体"/>
          <w:color w:val="auto"/>
          <w:szCs w:val="21"/>
          <w:highlight w:val="none"/>
          <w:lang w:val="en-US" w:eastAsia="zh-CN"/>
        </w:rPr>
        <w:t>2、乙</w:t>
      </w:r>
      <w:r>
        <w:rPr>
          <w:rFonts w:hint="eastAsia" w:ascii="宋体" w:hAnsi="宋体"/>
          <w:color w:val="auto"/>
          <w:szCs w:val="21"/>
          <w:highlight w:val="none"/>
        </w:rPr>
        <w:t>方所提供的设备上未设置抵押、质押、留置等任何权利负担。</w:t>
      </w:r>
    </w:p>
    <w:p w14:paraId="454D58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rPr>
      </w:pPr>
      <w:r>
        <w:rPr>
          <w:rFonts w:hint="eastAsia" w:ascii="宋体"/>
          <w:b/>
          <w:bCs w:val="0"/>
          <w:color w:val="auto"/>
          <w:sz w:val="21"/>
          <w:szCs w:val="21"/>
          <w:highlight w:val="none"/>
          <w:lang w:val="en-US" w:eastAsia="zh-CN"/>
        </w:rPr>
        <w:t>十二</w:t>
      </w:r>
      <w:r>
        <w:rPr>
          <w:rFonts w:hint="eastAsia" w:ascii="宋体"/>
          <w:b/>
          <w:bCs w:val="0"/>
          <w:color w:val="auto"/>
          <w:sz w:val="21"/>
          <w:szCs w:val="21"/>
          <w:highlight w:val="none"/>
        </w:rPr>
        <w:t>：其他约定事项：</w:t>
      </w:r>
    </w:p>
    <w:p w14:paraId="2401700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1、通知和送达条款：通知和送达双方确定，以下联系方式为双方与本合同相关的一切往来文件（包括但不限于订单、通知、协议、函件、发票等)及争议解决时人民法院（或仲裁机构）法律文书的有效送达方式。若各方送达方式发生变更时，变更一方应书面通知对方，对方实际收到变更通知前作出的送达仍有效。</w:t>
      </w:r>
    </w:p>
    <w:p w14:paraId="0D7EB20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2、本合同附件、本合同指定的相关文件为本合同不可分割的一部分，与本合同具有相同的法律效力。除非双方另有书面约定，各方的其他文件与本合同约定不一致的，以本合同的约定为准且专用条款优先。</w:t>
      </w:r>
    </w:p>
    <w:p w14:paraId="550850E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3、附上</w:t>
      </w:r>
      <w:r>
        <w:rPr>
          <w:rFonts w:hint="eastAsia" w:ascii="宋体"/>
          <w:b/>
          <w:bCs w:val="0"/>
          <w:color w:val="auto"/>
          <w:sz w:val="21"/>
          <w:szCs w:val="21"/>
          <w:highlight w:val="none"/>
          <w:lang w:val="en-US" w:eastAsia="zh-CN"/>
        </w:rPr>
        <w:t>履行本合同过程中双方指定对接人员身份和微信号、电话等</w:t>
      </w:r>
    </w:p>
    <w:p w14:paraId="76B095B7">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lang w:val="en-US" w:eastAsia="zh-CN"/>
        </w:rPr>
      </w:pPr>
      <w:r>
        <w:rPr>
          <w:rFonts w:hint="eastAsia" w:ascii="宋体"/>
          <w:b/>
          <w:bCs w:val="0"/>
          <w:color w:val="auto"/>
          <w:sz w:val="21"/>
          <w:szCs w:val="21"/>
          <w:highlight w:val="none"/>
          <w:lang w:val="en-US" w:eastAsia="zh-CN"/>
        </w:rPr>
        <w:t>十三：生效条款：</w:t>
      </w:r>
    </w:p>
    <w:p w14:paraId="47164B5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本合同自双方签字或盖章之日起生效。本合同一式肆份，双方各执贰份，具有同等法律效力，供货结束并结清货款后自动终止。</w:t>
      </w:r>
    </w:p>
    <w:p w14:paraId="31D1037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10" w:firstLineChars="100"/>
        <w:textAlignment w:val="auto"/>
        <w:rPr>
          <w:rFonts w:hint="eastAsia" w:ascii="宋体"/>
          <w:b w:val="0"/>
          <w:bCs/>
          <w:color w:val="auto"/>
          <w:sz w:val="21"/>
          <w:szCs w:val="21"/>
          <w:highlight w:val="none"/>
          <w:lang w:val="en-US" w:eastAsia="zh-CN"/>
        </w:rPr>
      </w:pPr>
    </w:p>
    <w:p w14:paraId="173E986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14:paraId="29BD26E9">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14:paraId="4CE267CB">
      <w:pPr>
        <w:rPr>
          <w:rFonts w:hint="eastAsia" w:cs="Times New Roman" w:asciiTheme="minorEastAsia" w:hAnsiTheme="minorEastAsia" w:eastAsiaTheme="minorEastAsia"/>
          <w:b/>
          <w:color w:val="auto"/>
          <w:kern w:val="2"/>
          <w:sz w:val="32"/>
          <w:szCs w:val="32"/>
          <w:highlight w:val="none"/>
          <w:lang w:eastAsia="zh-CN"/>
        </w:rPr>
      </w:pPr>
    </w:p>
    <w:p w14:paraId="02AC0EAE">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cs="Times New Roman" w:asciiTheme="minorEastAsia" w:hAnsiTheme="minorEastAsia" w:eastAsiaTheme="minorEastAsia"/>
          <w:b/>
          <w:color w:val="auto"/>
          <w:kern w:val="2"/>
          <w:sz w:val="32"/>
          <w:szCs w:val="32"/>
          <w:highlight w:val="none"/>
          <w:lang w:eastAsia="zh-CN"/>
        </w:rPr>
      </w:pPr>
    </w:p>
    <w:p w14:paraId="739C9C9F">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cs="Times New Roman" w:asciiTheme="minorEastAsia" w:hAnsiTheme="minorEastAsia" w:eastAsiaTheme="minorEastAsia"/>
          <w:b/>
          <w:color w:val="auto"/>
          <w:kern w:val="2"/>
          <w:sz w:val="32"/>
          <w:szCs w:val="32"/>
          <w:highlight w:val="none"/>
          <w:lang w:eastAsia="zh-CN"/>
        </w:rPr>
      </w:pPr>
    </w:p>
    <w:p w14:paraId="154C583E">
      <w:pPr>
        <w:pStyle w:val="17"/>
        <w:rPr>
          <w:rFonts w:hint="eastAsia" w:cs="Times New Roman" w:asciiTheme="minorEastAsia" w:hAnsiTheme="minorEastAsia" w:eastAsiaTheme="minorEastAsia"/>
          <w:b/>
          <w:color w:val="auto"/>
          <w:kern w:val="2"/>
          <w:sz w:val="32"/>
          <w:szCs w:val="32"/>
          <w:highlight w:val="none"/>
          <w:lang w:eastAsia="zh-CN"/>
        </w:rPr>
      </w:pPr>
    </w:p>
    <w:p w14:paraId="64ECDBB7">
      <w:pPr>
        <w:pStyle w:val="17"/>
        <w:rPr>
          <w:rFonts w:hint="eastAsia" w:cs="Times New Roman" w:asciiTheme="minorEastAsia" w:hAnsiTheme="minorEastAsia" w:eastAsiaTheme="minorEastAsia"/>
          <w:b/>
          <w:color w:val="auto"/>
          <w:kern w:val="2"/>
          <w:sz w:val="32"/>
          <w:szCs w:val="32"/>
          <w:highlight w:val="none"/>
          <w:lang w:eastAsia="zh-CN"/>
        </w:rPr>
      </w:pPr>
    </w:p>
    <w:p w14:paraId="3CC91D51">
      <w:pPr>
        <w:pStyle w:val="17"/>
        <w:rPr>
          <w:rFonts w:hint="eastAsia" w:cs="Times New Roman" w:asciiTheme="minorEastAsia" w:hAnsiTheme="minorEastAsia" w:eastAsiaTheme="minorEastAsia"/>
          <w:b/>
          <w:color w:val="auto"/>
          <w:kern w:val="2"/>
          <w:sz w:val="32"/>
          <w:szCs w:val="32"/>
          <w:highlight w:val="none"/>
          <w:lang w:eastAsia="zh-CN"/>
        </w:rPr>
      </w:pPr>
    </w:p>
    <w:p w14:paraId="155BFF57">
      <w:pPr>
        <w:pStyle w:val="17"/>
        <w:rPr>
          <w:rFonts w:hint="eastAsia" w:cs="Times New Roman" w:asciiTheme="minorEastAsia" w:hAnsiTheme="minorEastAsia" w:eastAsiaTheme="minorEastAsia"/>
          <w:b/>
          <w:color w:val="auto"/>
          <w:kern w:val="2"/>
          <w:sz w:val="32"/>
          <w:szCs w:val="32"/>
          <w:highlight w:val="none"/>
          <w:lang w:eastAsia="zh-CN"/>
        </w:rPr>
      </w:pPr>
    </w:p>
    <w:p w14:paraId="13C4A450">
      <w:pPr>
        <w:pStyle w:val="17"/>
        <w:rPr>
          <w:rFonts w:hint="eastAsia" w:cs="Times New Roman" w:asciiTheme="minorEastAsia" w:hAnsiTheme="minorEastAsia" w:eastAsiaTheme="minorEastAsia"/>
          <w:b/>
          <w:color w:val="auto"/>
          <w:kern w:val="2"/>
          <w:sz w:val="32"/>
          <w:szCs w:val="32"/>
          <w:highlight w:val="none"/>
          <w:lang w:eastAsia="zh-CN"/>
        </w:rPr>
      </w:pPr>
    </w:p>
    <w:p w14:paraId="031D3982">
      <w:pPr>
        <w:pStyle w:val="17"/>
        <w:rPr>
          <w:rFonts w:hint="eastAsia" w:cs="Times New Roman" w:asciiTheme="minorEastAsia" w:hAnsiTheme="minorEastAsia" w:eastAsiaTheme="minorEastAsia"/>
          <w:b/>
          <w:color w:val="auto"/>
          <w:kern w:val="2"/>
          <w:sz w:val="32"/>
          <w:szCs w:val="32"/>
          <w:highlight w:val="none"/>
          <w:lang w:eastAsia="zh-CN"/>
        </w:rPr>
      </w:pPr>
    </w:p>
    <w:p w14:paraId="40B75754">
      <w:pPr>
        <w:pStyle w:val="17"/>
        <w:rPr>
          <w:rFonts w:hint="eastAsia" w:cs="Times New Roman" w:asciiTheme="minorEastAsia" w:hAnsiTheme="minorEastAsia" w:eastAsiaTheme="minorEastAsia"/>
          <w:b/>
          <w:color w:val="auto"/>
          <w:kern w:val="2"/>
          <w:sz w:val="32"/>
          <w:szCs w:val="32"/>
          <w:highlight w:val="none"/>
          <w:lang w:eastAsia="zh-CN"/>
        </w:rPr>
      </w:pPr>
    </w:p>
    <w:p w14:paraId="3FF914DC">
      <w:pPr>
        <w:pStyle w:val="17"/>
        <w:rPr>
          <w:rFonts w:hint="eastAsia" w:cs="Times New Roman" w:asciiTheme="minorEastAsia" w:hAnsiTheme="minorEastAsia" w:eastAsiaTheme="minorEastAsia"/>
          <w:b/>
          <w:color w:val="auto"/>
          <w:kern w:val="2"/>
          <w:sz w:val="32"/>
          <w:szCs w:val="32"/>
          <w:highlight w:val="none"/>
          <w:lang w:eastAsia="zh-CN"/>
        </w:rPr>
      </w:pPr>
    </w:p>
    <w:p w14:paraId="64841441">
      <w:pPr>
        <w:pStyle w:val="17"/>
        <w:rPr>
          <w:rFonts w:hint="eastAsia" w:cs="Times New Roman" w:asciiTheme="minorEastAsia" w:hAnsiTheme="minorEastAsia" w:eastAsiaTheme="minorEastAsia"/>
          <w:b/>
          <w:color w:val="auto"/>
          <w:kern w:val="2"/>
          <w:sz w:val="32"/>
          <w:szCs w:val="32"/>
          <w:highlight w:val="none"/>
          <w:lang w:eastAsia="zh-CN"/>
        </w:rPr>
      </w:pPr>
    </w:p>
    <w:p w14:paraId="4FCEF589">
      <w:pPr>
        <w:pStyle w:val="17"/>
        <w:rPr>
          <w:rFonts w:hint="eastAsia" w:cs="Times New Roman" w:asciiTheme="minorEastAsia" w:hAnsiTheme="minorEastAsia" w:eastAsiaTheme="minorEastAsia"/>
          <w:b/>
          <w:color w:val="auto"/>
          <w:kern w:val="2"/>
          <w:sz w:val="32"/>
          <w:szCs w:val="32"/>
          <w:highlight w:val="none"/>
          <w:lang w:eastAsia="zh-CN"/>
        </w:rPr>
      </w:pPr>
    </w:p>
    <w:p w14:paraId="4C73AE01">
      <w:pPr>
        <w:pStyle w:val="17"/>
        <w:rPr>
          <w:rFonts w:hint="eastAsia" w:cs="Times New Roman" w:asciiTheme="minorEastAsia" w:hAnsiTheme="minorEastAsia" w:eastAsiaTheme="minorEastAsia"/>
          <w:b/>
          <w:color w:val="auto"/>
          <w:kern w:val="2"/>
          <w:sz w:val="32"/>
          <w:szCs w:val="32"/>
          <w:highlight w:val="none"/>
          <w:lang w:eastAsia="zh-CN"/>
        </w:rPr>
      </w:pPr>
    </w:p>
    <w:p w14:paraId="5A4C3727">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1060B6F5">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71A6273F">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54017B1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3" w:firstLineChars="200"/>
        <w:jc w:val="center"/>
        <w:textAlignment w:val="auto"/>
        <w:rPr>
          <w:rFonts w:hint="eastAsia" w:cs="Times New Roman" w:asciiTheme="minorEastAsia" w:hAnsiTheme="minorEastAsia" w:eastAsiaTheme="minorEastAsia"/>
          <w:b/>
          <w:color w:val="auto"/>
          <w:kern w:val="2"/>
          <w:sz w:val="32"/>
          <w:szCs w:val="32"/>
          <w:highlight w:val="none"/>
          <w:lang w:eastAsia="zh-CN"/>
        </w:rPr>
      </w:pPr>
      <w:r>
        <w:rPr>
          <w:rFonts w:hint="eastAsia" w:cs="Times New Roman" w:asciiTheme="minorEastAsia" w:hAnsiTheme="minorEastAsia" w:eastAsiaTheme="minorEastAsia"/>
          <w:b/>
          <w:color w:val="auto"/>
          <w:kern w:val="2"/>
          <w:sz w:val="32"/>
          <w:szCs w:val="32"/>
          <w:highlight w:val="none"/>
          <w:lang w:eastAsia="zh-CN"/>
        </w:rPr>
        <w:t>合同通用条款</w:t>
      </w:r>
    </w:p>
    <w:p w14:paraId="4679E9A9">
      <w:pPr>
        <w:spacing w:before="120" w:after="0" w:line="360" w:lineRule="exact"/>
        <w:jc w:val="both"/>
        <w:rPr>
          <w:rFonts w:ascii="宋体" w:hAnsi="宋体" w:cs="Times New Roman"/>
          <w:b/>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一、</w:t>
      </w:r>
      <w:r>
        <w:rPr>
          <w:rFonts w:hint="eastAsia" w:ascii="宋体" w:hAnsi="宋体" w:cs="Times New Roman"/>
          <w:b/>
          <w:color w:val="auto"/>
          <w:kern w:val="2"/>
          <w:sz w:val="21"/>
          <w:szCs w:val="21"/>
          <w:highlight w:val="none"/>
          <w:u w:val="none"/>
          <w:lang w:eastAsia="zh-CN"/>
        </w:rPr>
        <w:t>乙方承诺</w:t>
      </w:r>
    </w:p>
    <w:p w14:paraId="29F85C71">
      <w:pPr>
        <w:pStyle w:val="21"/>
        <w:numPr>
          <w:ilvl w:val="0"/>
          <w:numId w:val="0"/>
        </w:numPr>
        <w:spacing w:before="120" w:line="360" w:lineRule="exact"/>
        <w:ind w:left="66" w:leftChars="0" w:firstLine="420" w:firstLineChars="200"/>
        <w:rPr>
          <w:rFonts w:ascii="宋体" w:hAnsi="宋体"/>
          <w:b/>
          <w:color w:val="auto"/>
          <w:szCs w:val="21"/>
          <w:highlight w:val="none"/>
          <w:u w:val="singl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甲方</w:t>
      </w:r>
      <w:r>
        <w:rPr>
          <w:rFonts w:hint="eastAsia" w:ascii="宋体" w:hAnsi="宋体"/>
          <w:color w:val="auto"/>
          <w:szCs w:val="21"/>
          <w:highlight w:val="none"/>
        </w:rPr>
        <w:t>依据本合同条款向</w:t>
      </w:r>
      <w:r>
        <w:rPr>
          <w:rFonts w:hint="eastAsia" w:ascii="宋体" w:hAnsi="宋体"/>
          <w:color w:val="auto"/>
          <w:szCs w:val="21"/>
          <w:highlight w:val="none"/>
          <w:lang w:eastAsia="zh-CN"/>
        </w:rPr>
        <w:t>乙方</w:t>
      </w:r>
      <w:r>
        <w:rPr>
          <w:rFonts w:hint="eastAsia" w:ascii="宋体" w:hAnsi="宋体"/>
          <w:color w:val="auto"/>
          <w:szCs w:val="21"/>
          <w:highlight w:val="none"/>
        </w:rPr>
        <w:t>进行产品采购，</w:t>
      </w:r>
      <w:r>
        <w:rPr>
          <w:rFonts w:hint="eastAsia" w:ascii="宋体" w:hAnsi="宋体"/>
          <w:color w:val="auto"/>
          <w:szCs w:val="21"/>
          <w:highlight w:val="none"/>
          <w:lang w:eastAsia="zh-CN"/>
        </w:rPr>
        <w:t>乙方</w:t>
      </w:r>
      <w:r>
        <w:rPr>
          <w:rFonts w:hint="eastAsia" w:ascii="宋体" w:hAnsi="宋体"/>
          <w:color w:val="auto"/>
          <w:szCs w:val="21"/>
          <w:highlight w:val="none"/>
        </w:rPr>
        <w:t>同意依据本</w:t>
      </w:r>
      <w:r>
        <w:rPr>
          <w:rFonts w:ascii="宋体" w:hAnsi="宋体"/>
          <w:color w:val="auto"/>
          <w:szCs w:val="21"/>
          <w:highlight w:val="none"/>
        </w:rPr>
        <w:t>合同的约定</w:t>
      </w:r>
      <w:r>
        <w:rPr>
          <w:rFonts w:hint="eastAsia" w:ascii="宋体" w:hAnsi="宋体"/>
          <w:color w:val="auto"/>
          <w:szCs w:val="21"/>
          <w:highlight w:val="none"/>
        </w:rPr>
        <w:t>向</w:t>
      </w:r>
      <w:r>
        <w:rPr>
          <w:rFonts w:hint="eastAsia" w:ascii="宋体" w:hAnsi="宋体"/>
          <w:color w:val="auto"/>
          <w:szCs w:val="21"/>
          <w:highlight w:val="none"/>
          <w:lang w:eastAsia="zh-CN"/>
        </w:rPr>
        <w:t>甲方</w:t>
      </w:r>
      <w:r>
        <w:rPr>
          <w:rFonts w:ascii="宋体" w:hAnsi="宋体"/>
          <w:color w:val="auto"/>
          <w:szCs w:val="21"/>
          <w:highlight w:val="none"/>
        </w:rPr>
        <w:t>销售</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w:t>
      </w:r>
    </w:p>
    <w:p w14:paraId="122D6E72">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乙方</w:t>
      </w:r>
      <w:r>
        <w:rPr>
          <w:rFonts w:hint="eastAsia" w:ascii="宋体" w:hAnsi="宋体"/>
          <w:color w:val="auto"/>
          <w:szCs w:val="21"/>
          <w:highlight w:val="none"/>
        </w:rPr>
        <w:t>理解并同意，在适用的管辖范围内已被合法授权从事经营并将应</w:t>
      </w:r>
      <w:r>
        <w:rPr>
          <w:rFonts w:hint="eastAsia" w:ascii="宋体" w:hAnsi="宋体"/>
          <w:color w:val="auto"/>
          <w:szCs w:val="21"/>
          <w:highlight w:val="none"/>
          <w:lang w:eastAsia="zh-CN"/>
        </w:rPr>
        <w:t>甲方</w:t>
      </w:r>
      <w:r>
        <w:rPr>
          <w:rFonts w:hint="eastAsia" w:ascii="宋体" w:hAnsi="宋体"/>
          <w:color w:val="auto"/>
          <w:szCs w:val="21"/>
          <w:highlight w:val="none"/>
        </w:rPr>
        <w:t>要求提供相</w:t>
      </w:r>
      <w:r>
        <w:rPr>
          <w:rFonts w:ascii="宋体" w:hAnsi="宋体"/>
          <w:color w:val="auto"/>
          <w:szCs w:val="21"/>
          <w:highlight w:val="none"/>
        </w:rPr>
        <w:t>关的</w:t>
      </w:r>
      <w:r>
        <w:rPr>
          <w:rFonts w:hint="eastAsia" w:ascii="宋体" w:hAnsi="宋体"/>
          <w:color w:val="auto"/>
          <w:szCs w:val="21"/>
          <w:highlight w:val="none"/>
        </w:rPr>
        <w:t>授权证明。如在任何时间，该等授权证明失效或未续授权，</w:t>
      </w:r>
      <w:r>
        <w:rPr>
          <w:rFonts w:hint="eastAsia" w:ascii="宋体" w:hAnsi="宋体"/>
          <w:color w:val="auto"/>
          <w:szCs w:val="21"/>
          <w:highlight w:val="none"/>
          <w:lang w:eastAsia="zh-CN"/>
        </w:rPr>
        <w:t>乙方</w:t>
      </w:r>
      <w:r>
        <w:rPr>
          <w:rFonts w:ascii="宋体" w:hAnsi="宋体"/>
          <w:color w:val="auto"/>
          <w:szCs w:val="21"/>
          <w:highlight w:val="none"/>
        </w:rPr>
        <w:t>应在</w:t>
      </w:r>
      <w:r>
        <w:rPr>
          <w:rFonts w:hint="eastAsia" w:ascii="宋体" w:hAnsi="宋体"/>
          <w:color w:val="auto"/>
          <w:szCs w:val="21"/>
          <w:highlight w:val="none"/>
          <w:lang w:eastAsia="zh-CN"/>
        </w:rPr>
        <w:t>甲方</w:t>
      </w:r>
      <w:r>
        <w:rPr>
          <w:rFonts w:ascii="宋体" w:hAnsi="宋体"/>
          <w:color w:val="auto"/>
          <w:szCs w:val="21"/>
          <w:highlight w:val="none"/>
        </w:rPr>
        <w:t>要求的时间内重新取得合法的授权证明，否则</w:t>
      </w:r>
      <w:r>
        <w:rPr>
          <w:rFonts w:hint="eastAsia" w:ascii="宋体" w:hAnsi="宋体"/>
          <w:color w:val="auto"/>
          <w:szCs w:val="21"/>
          <w:highlight w:val="none"/>
          <w:lang w:eastAsia="zh-CN"/>
        </w:rPr>
        <w:t>甲方</w:t>
      </w:r>
      <w:r>
        <w:rPr>
          <w:rFonts w:hint="eastAsia" w:ascii="宋体" w:hAnsi="宋体"/>
          <w:color w:val="auto"/>
          <w:szCs w:val="21"/>
          <w:highlight w:val="none"/>
        </w:rPr>
        <w:t>有权自行决定终止本合同而不</w:t>
      </w:r>
      <w:r>
        <w:rPr>
          <w:rFonts w:ascii="宋体" w:hAnsi="宋体"/>
          <w:color w:val="auto"/>
          <w:szCs w:val="21"/>
          <w:highlight w:val="none"/>
        </w:rPr>
        <w:t>视为</w:t>
      </w:r>
      <w:r>
        <w:rPr>
          <w:rFonts w:hint="eastAsia" w:ascii="宋体" w:hAnsi="宋体"/>
          <w:color w:val="auto"/>
          <w:szCs w:val="21"/>
          <w:highlight w:val="none"/>
          <w:lang w:eastAsia="zh-CN"/>
        </w:rPr>
        <w:t>甲方</w:t>
      </w:r>
      <w:r>
        <w:rPr>
          <w:rFonts w:ascii="宋体" w:hAnsi="宋体"/>
          <w:color w:val="auto"/>
          <w:szCs w:val="21"/>
          <w:highlight w:val="none"/>
        </w:rPr>
        <w:t>的违约，如</w:t>
      </w:r>
      <w:r>
        <w:rPr>
          <w:rFonts w:hint="eastAsia" w:ascii="宋体" w:hAnsi="宋体"/>
          <w:color w:val="auto"/>
          <w:szCs w:val="21"/>
          <w:highlight w:val="none"/>
        </w:rPr>
        <w:t>因</w:t>
      </w:r>
      <w:r>
        <w:rPr>
          <w:rFonts w:ascii="宋体" w:hAnsi="宋体"/>
          <w:color w:val="auto"/>
          <w:szCs w:val="21"/>
          <w:highlight w:val="none"/>
        </w:rPr>
        <w:t>此给</w:t>
      </w:r>
      <w:r>
        <w:rPr>
          <w:rFonts w:hint="eastAsia" w:ascii="宋体" w:hAnsi="宋体"/>
          <w:color w:val="auto"/>
          <w:szCs w:val="21"/>
          <w:highlight w:val="none"/>
          <w:lang w:eastAsia="zh-CN"/>
        </w:rPr>
        <w:t>甲方</w:t>
      </w:r>
      <w:r>
        <w:rPr>
          <w:rFonts w:ascii="宋体" w:hAnsi="宋体"/>
          <w:color w:val="auto"/>
          <w:szCs w:val="21"/>
          <w:highlight w:val="none"/>
        </w:rPr>
        <w:t>造成损失</w:t>
      </w:r>
      <w:r>
        <w:rPr>
          <w:rFonts w:hint="eastAsia" w:ascii="宋体" w:hAnsi="宋体"/>
          <w:color w:val="auto"/>
          <w:szCs w:val="21"/>
          <w:highlight w:val="none"/>
        </w:rPr>
        <w:t>的</w:t>
      </w:r>
      <w:r>
        <w:rPr>
          <w:rFonts w:ascii="宋体" w:hAnsi="宋体"/>
          <w:color w:val="auto"/>
          <w:szCs w:val="21"/>
          <w:highlight w:val="none"/>
        </w:rPr>
        <w:t>，</w:t>
      </w:r>
      <w:r>
        <w:rPr>
          <w:rFonts w:hint="eastAsia" w:ascii="宋体" w:hAnsi="宋体"/>
          <w:color w:val="auto"/>
          <w:szCs w:val="21"/>
          <w:highlight w:val="none"/>
          <w:lang w:eastAsia="zh-CN"/>
        </w:rPr>
        <w:t>甲方</w:t>
      </w:r>
      <w:r>
        <w:rPr>
          <w:rFonts w:ascii="宋体" w:hAnsi="宋体"/>
          <w:color w:val="auto"/>
          <w:szCs w:val="21"/>
          <w:highlight w:val="none"/>
        </w:rPr>
        <w:t>还有权要求</w:t>
      </w:r>
      <w:r>
        <w:rPr>
          <w:rFonts w:hint="eastAsia" w:ascii="宋体" w:hAnsi="宋体"/>
          <w:color w:val="auto"/>
          <w:szCs w:val="21"/>
          <w:highlight w:val="none"/>
          <w:lang w:eastAsia="zh-CN"/>
        </w:rPr>
        <w:t>乙方</w:t>
      </w:r>
      <w:r>
        <w:rPr>
          <w:rFonts w:ascii="宋体" w:hAnsi="宋体"/>
          <w:color w:val="auto"/>
          <w:szCs w:val="21"/>
          <w:highlight w:val="none"/>
        </w:rPr>
        <w:t>赔偿</w:t>
      </w:r>
      <w:r>
        <w:rPr>
          <w:rFonts w:hint="eastAsia" w:ascii="宋体" w:hAnsi="宋体"/>
          <w:color w:val="auto"/>
          <w:szCs w:val="21"/>
          <w:highlight w:val="none"/>
        </w:rPr>
        <w:t>该</w:t>
      </w:r>
      <w:r>
        <w:rPr>
          <w:rFonts w:ascii="宋体" w:hAnsi="宋体"/>
          <w:color w:val="auto"/>
          <w:szCs w:val="21"/>
          <w:highlight w:val="none"/>
        </w:rPr>
        <w:t>等损失</w:t>
      </w:r>
      <w:r>
        <w:rPr>
          <w:rFonts w:hint="eastAsia" w:ascii="宋体" w:hAnsi="宋体"/>
          <w:color w:val="auto"/>
          <w:szCs w:val="21"/>
          <w:highlight w:val="none"/>
        </w:rPr>
        <w:t>。</w:t>
      </w:r>
    </w:p>
    <w:p w14:paraId="2DE46073">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olor w:val="auto"/>
          <w:szCs w:val="21"/>
          <w:highlight w:val="none"/>
        </w:rPr>
        <w:t>应自行承担成本和费用确保产品和服务人员在履行本合同项下服务之前有适当的健康、安全以及其它方面的妥善安排。</w:t>
      </w:r>
    </w:p>
    <w:p w14:paraId="252B7959">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未获得</w:t>
      </w:r>
      <w:r>
        <w:rPr>
          <w:rFonts w:hint="eastAsia" w:ascii="宋体" w:hAnsi="宋体"/>
          <w:color w:val="auto"/>
          <w:szCs w:val="21"/>
          <w:highlight w:val="none"/>
          <w:lang w:eastAsia="zh-CN"/>
        </w:rPr>
        <w:t>甲方</w:t>
      </w:r>
      <w:r>
        <w:rPr>
          <w:rFonts w:hint="eastAsia" w:ascii="宋体" w:hAnsi="宋体"/>
          <w:color w:val="auto"/>
          <w:szCs w:val="21"/>
          <w:highlight w:val="none"/>
        </w:rPr>
        <w:t>的书面同意，</w:t>
      </w:r>
      <w:r>
        <w:rPr>
          <w:rFonts w:hint="eastAsia" w:ascii="宋体" w:hAnsi="宋体"/>
          <w:color w:val="auto"/>
          <w:szCs w:val="21"/>
          <w:highlight w:val="none"/>
          <w:lang w:eastAsia="zh-CN"/>
        </w:rPr>
        <w:t>乙方</w:t>
      </w:r>
      <w:r>
        <w:rPr>
          <w:rFonts w:hint="eastAsia" w:ascii="宋体" w:hAnsi="宋体"/>
          <w:color w:val="auto"/>
          <w:szCs w:val="21"/>
          <w:highlight w:val="none"/>
        </w:rPr>
        <w:t>不得向第三方发布或披露与本合同有关的任何细节。</w:t>
      </w:r>
    </w:p>
    <w:p w14:paraId="7D2720CB">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hint="eastAsia" w:ascii="宋体" w:hAnsi="宋体"/>
          <w:color w:val="auto"/>
          <w:szCs w:val="21"/>
          <w:highlight w:val="none"/>
        </w:rPr>
        <w:t>在此承诺将提供良好并具竞争力的服务，以满足</w:t>
      </w:r>
      <w:r>
        <w:rPr>
          <w:rFonts w:hint="eastAsia" w:ascii="宋体" w:hAnsi="宋体"/>
          <w:color w:val="auto"/>
          <w:szCs w:val="21"/>
          <w:highlight w:val="none"/>
          <w:lang w:eastAsia="zh-CN"/>
        </w:rPr>
        <w:t>甲方</w:t>
      </w:r>
      <w:r>
        <w:rPr>
          <w:rFonts w:hint="eastAsia" w:ascii="宋体" w:hAnsi="宋体"/>
          <w:color w:val="auto"/>
          <w:szCs w:val="21"/>
          <w:highlight w:val="none"/>
        </w:rPr>
        <w:t>的需要。</w:t>
      </w:r>
    </w:p>
    <w:p w14:paraId="47FF483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乙方</w:t>
      </w:r>
      <w:r>
        <w:rPr>
          <w:rFonts w:hint="eastAsia" w:ascii="宋体" w:hAnsi="宋体"/>
          <w:color w:val="auto"/>
          <w:szCs w:val="21"/>
          <w:highlight w:val="none"/>
        </w:rPr>
        <w:t>承诺并保证不制造、不经销任何假冒或者仿冒</w:t>
      </w:r>
      <w:r>
        <w:rPr>
          <w:rFonts w:hint="eastAsia" w:ascii="宋体" w:hAnsi="宋体"/>
          <w:color w:val="auto"/>
          <w:szCs w:val="21"/>
          <w:highlight w:val="none"/>
          <w:lang w:eastAsia="zh-CN"/>
        </w:rPr>
        <w:t>甲方</w:t>
      </w:r>
      <w:r>
        <w:rPr>
          <w:rFonts w:hint="eastAsia" w:ascii="宋体" w:hAnsi="宋体"/>
          <w:color w:val="auto"/>
          <w:szCs w:val="21"/>
          <w:highlight w:val="none"/>
        </w:rPr>
        <w:t>公司商标（图形或</w:t>
      </w:r>
      <w:r>
        <w:rPr>
          <w:rFonts w:ascii="宋体" w:hAnsi="宋体"/>
          <w:color w:val="auto"/>
          <w:szCs w:val="21"/>
          <w:highlight w:val="none"/>
        </w:rPr>
        <w:t>/和文字）与本协议产品相同、相似或相近的侵犯</w:t>
      </w:r>
      <w:r>
        <w:rPr>
          <w:rFonts w:hint="eastAsia" w:ascii="宋体" w:hAnsi="宋体"/>
          <w:color w:val="auto"/>
          <w:szCs w:val="21"/>
          <w:highlight w:val="none"/>
          <w:lang w:eastAsia="zh-CN"/>
        </w:rPr>
        <w:t>甲方</w:t>
      </w:r>
      <w:r>
        <w:rPr>
          <w:rFonts w:hint="eastAsia" w:ascii="宋体" w:hAnsi="宋体"/>
          <w:color w:val="auto"/>
          <w:szCs w:val="21"/>
          <w:highlight w:val="none"/>
        </w:rPr>
        <w:t>知识产权的产品。</w:t>
      </w:r>
      <w:r>
        <w:rPr>
          <w:rFonts w:hint="eastAsia" w:ascii="宋体" w:hAnsi="宋体"/>
          <w:color w:val="auto"/>
          <w:szCs w:val="21"/>
          <w:highlight w:val="none"/>
          <w:lang w:eastAsia="zh-CN"/>
        </w:rPr>
        <w:t>甲方</w:t>
      </w:r>
      <w:r>
        <w:rPr>
          <w:rFonts w:hint="eastAsia" w:ascii="宋体" w:hAnsi="宋体"/>
          <w:color w:val="auto"/>
          <w:szCs w:val="21"/>
          <w:highlight w:val="none"/>
        </w:rPr>
        <w:t>可就该等假冒、仿冒、违法销售等行为追究</w:t>
      </w:r>
      <w:r>
        <w:rPr>
          <w:rFonts w:hint="eastAsia" w:ascii="宋体" w:hAnsi="宋体"/>
          <w:color w:val="auto"/>
          <w:szCs w:val="21"/>
          <w:highlight w:val="none"/>
          <w:lang w:eastAsia="zh-CN"/>
        </w:rPr>
        <w:t>乙方</w:t>
      </w:r>
      <w:r>
        <w:rPr>
          <w:rFonts w:hint="eastAsia" w:ascii="宋体" w:hAnsi="宋体"/>
          <w:color w:val="auto"/>
          <w:szCs w:val="21"/>
          <w:highlight w:val="none"/>
        </w:rPr>
        <w:t>法律责</w:t>
      </w:r>
      <w:r>
        <w:rPr>
          <w:rFonts w:hint="eastAsia" w:ascii="宋体" w:hAnsi="宋体"/>
          <w:color w:val="auto"/>
          <w:szCs w:val="21"/>
          <w:highlight w:val="none"/>
          <w:lang w:val="en-US" w:eastAsia="zh-CN"/>
        </w:rPr>
        <w:t>任。</w:t>
      </w:r>
    </w:p>
    <w:p w14:paraId="53C0A38C">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color w:val="auto"/>
          <w:kern w:val="2"/>
          <w:sz w:val="21"/>
          <w:szCs w:val="21"/>
          <w:highlight w:val="none"/>
          <w:lang w:eastAsia="zh-CN"/>
        </w:rPr>
        <w:t>二、</w:t>
      </w:r>
      <w:r>
        <w:rPr>
          <w:rFonts w:hint="eastAsia" w:ascii="宋体" w:hAnsi="宋体" w:cs="Times New Roman"/>
          <w:b/>
          <w:color w:val="auto"/>
          <w:kern w:val="2"/>
          <w:sz w:val="21"/>
          <w:szCs w:val="21"/>
          <w:highlight w:val="none"/>
          <w:u w:val="none"/>
          <w:lang w:eastAsia="zh-CN"/>
        </w:rPr>
        <w:t>价格</w:t>
      </w:r>
    </w:p>
    <w:p w14:paraId="4CD447B1">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本合同专用条款约定的标的价格包含</w:t>
      </w:r>
      <w:r>
        <w:rPr>
          <w:rFonts w:hint="eastAsia" w:ascii="宋体" w:hAnsi="宋体"/>
          <w:color w:val="auto"/>
          <w:szCs w:val="21"/>
          <w:highlight w:val="none"/>
          <w:lang w:eastAsia="zh-CN"/>
        </w:rPr>
        <w:t>乙方</w:t>
      </w:r>
      <w:r>
        <w:rPr>
          <w:rFonts w:hint="eastAsia" w:ascii="宋体" w:hAnsi="宋体"/>
          <w:color w:val="auto"/>
          <w:szCs w:val="21"/>
          <w:highlight w:val="none"/>
        </w:rPr>
        <w:t>将合同产品送至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指定的交货地点并交付给</w:t>
      </w:r>
      <w:r>
        <w:rPr>
          <w:rFonts w:hint="eastAsia" w:ascii="宋体" w:hAnsi="宋体"/>
          <w:color w:val="auto"/>
          <w:szCs w:val="21"/>
          <w:highlight w:val="none"/>
          <w:lang w:eastAsia="zh-CN"/>
        </w:rPr>
        <w:t>甲方</w:t>
      </w:r>
      <w:r>
        <w:rPr>
          <w:rFonts w:hint="eastAsia" w:ascii="宋体" w:hAnsi="宋体"/>
          <w:color w:val="auto"/>
          <w:szCs w:val="21"/>
          <w:highlight w:val="none"/>
        </w:rPr>
        <w:t>之前的所有费用（包括但不限于成本及利润、税金、包装费、运输费、保险费、仓储费、损耗费、劳务费、工人工资等）和后续费用（包括但不限于后续的合同产品验收、合同产品的安装、调试、移交、试运行、初验及终验、属于质保范围的保修和维修、技术服务）及政府机构征收的一切税费。</w:t>
      </w:r>
    </w:p>
    <w:p w14:paraId="6F507B9C">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合同产品正常运转所必须的部件、构件、附件和配件即便未单独或整体列入本合同条款或附件清单中，也均应被视为包括在本合同及本合同总价中。</w:t>
      </w:r>
    </w:p>
    <w:p w14:paraId="566F1F8A">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除另有约定之情况下，</w:t>
      </w:r>
      <w:r>
        <w:rPr>
          <w:rFonts w:hint="eastAsia" w:ascii="宋体" w:hAnsi="宋体"/>
          <w:color w:val="auto"/>
          <w:szCs w:val="21"/>
          <w:highlight w:val="none"/>
          <w:lang w:eastAsia="zh-CN"/>
        </w:rPr>
        <w:t>乙方</w:t>
      </w:r>
      <w:r>
        <w:rPr>
          <w:rFonts w:hint="eastAsia" w:ascii="宋体" w:hAnsi="宋体"/>
          <w:color w:val="auto"/>
          <w:szCs w:val="21"/>
          <w:highlight w:val="none"/>
        </w:rPr>
        <w:t>于本合同项下履行约定义务过程中，所有不可或缺的附带工作所产生的费用，不论该等工作是否在本合同文件中予以说明，亦不论是否已在双方签订合同时予以预见均已被包含在总价中。</w:t>
      </w:r>
    </w:p>
    <w:p w14:paraId="3FC4D07B">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val="de-DE" w:eastAsia="zh-CN"/>
        </w:rPr>
        <w:t>乙方</w:t>
      </w:r>
      <w:r>
        <w:rPr>
          <w:rFonts w:hint="eastAsia" w:ascii="宋体" w:hAnsi="宋体"/>
          <w:color w:val="auto"/>
          <w:kern w:val="0"/>
          <w:szCs w:val="21"/>
          <w:highlight w:val="none"/>
          <w:lang w:val="de-DE" w:eastAsia="de-DE"/>
        </w:rPr>
        <w:t>承诺在合同生效前后两个月内</w:t>
      </w:r>
      <w:r>
        <w:rPr>
          <w:rFonts w:hint="eastAsia" w:ascii="宋体" w:hAnsi="宋体"/>
          <w:color w:val="auto"/>
          <w:kern w:val="0"/>
          <w:szCs w:val="21"/>
          <w:highlight w:val="none"/>
          <w:lang w:val="de-DE"/>
        </w:rPr>
        <w:t>，</w:t>
      </w:r>
      <w:r>
        <w:rPr>
          <w:rFonts w:hint="eastAsia" w:ascii="宋体" w:hAnsi="宋体"/>
          <w:color w:val="auto"/>
          <w:kern w:val="0"/>
          <w:szCs w:val="21"/>
          <w:highlight w:val="none"/>
          <w:lang w:val="de-DE" w:eastAsia="de-DE"/>
        </w:rPr>
        <w:t>本合同项下产品价格不高于在</w:t>
      </w:r>
      <w:r>
        <w:rPr>
          <w:rFonts w:hint="eastAsia" w:ascii="宋体" w:hAnsi="宋体"/>
          <w:color w:val="auto"/>
          <w:kern w:val="0"/>
          <w:szCs w:val="21"/>
          <w:highlight w:val="none"/>
          <w:lang w:val="de-DE"/>
        </w:rPr>
        <w:t>同等</w:t>
      </w:r>
      <w:r>
        <w:rPr>
          <w:rFonts w:hint="eastAsia" w:ascii="宋体" w:hAnsi="宋体"/>
          <w:color w:val="auto"/>
          <w:kern w:val="0"/>
          <w:szCs w:val="21"/>
          <w:highlight w:val="none"/>
          <w:lang w:val="de-DE" w:eastAsia="de-DE"/>
        </w:rPr>
        <w:t>交易条件下</w:t>
      </w:r>
      <w:r>
        <w:rPr>
          <w:rFonts w:hint="eastAsia" w:ascii="宋体" w:hAnsi="宋体"/>
          <w:color w:val="auto"/>
          <w:kern w:val="0"/>
          <w:szCs w:val="21"/>
          <w:highlight w:val="none"/>
          <w:lang w:val="de-DE"/>
        </w:rPr>
        <w:t>该产品在公开市场上的交易价格（含报价）。</w:t>
      </w:r>
      <w:r>
        <w:rPr>
          <w:rFonts w:hint="eastAsia" w:ascii="宋体" w:hAnsi="宋体"/>
          <w:color w:val="auto"/>
          <w:szCs w:val="21"/>
          <w:highlight w:val="none"/>
          <w:lang w:eastAsia="zh-CN"/>
        </w:rPr>
        <w:t>乙方</w:t>
      </w:r>
      <w:r>
        <w:rPr>
          <w:rFonts w:ascii="宋体" w:hAnsi="宋体"/>
          <w:color w:val="auto"/>
          <w:szCs w:val="21"/>
          <w:highlight w:val="none"/>
        </w:rPr>
        <w:t>违反上述承诺的</w:t>
      </w:r>
      <w:r>
        <w:rPr>
          <w:rFonts w:hint="eastAsia" w:ascii="宋体" w:hAnsi="宋体"/>
          <w:color w:val="auto"/>
          <w:szCs w:val="21"/>
          <w:highlight w:val="none"/>
        </w:rPr>
        <w:t>，</w:t>
      </w:r>
      <w:r>
        <w:rPr>
          <w:rFonts w:ascii="宋体" w:hAnsi="宋体"/>
          <w:color w:val="auto"/>
          <w:szCs w:val="21"/>
          <w:highlight w:val="none"/>
        </w:rPr>
        <w:t>应当按合同专用条款约定之</w:t>
      </w:r>
      <w:r>
        <w:rPr>
          <w:rFonts w:hint="eastAsia" w:ascii="宋体" w:hAnsi="宋体"/>
          <w:color w:val="auto"/>
          <w:szCs w:val="21"/>
          <w:highlight w:val="none"/>
          <w:lang w:eastAsia="zh-CN"/>
        </w:rPr>
        <w:t>甲方</w:t>
      </w:r>
      <w:r>
        <w:rPr>
          <w:rFonts w:ascii="宋体" w:hAnsi="宋体"/>
          <w:color w:val="auto"/>
          <w:szCs w:val="21"/>
          <w:highlight w:val="none"/>
        </w:rPr>
        <w:t>采购价格与该</w:t>
      </w:r>
      <w:r>
        <w:rPr>
          <w:rFonts w:hint="eastAsia" w:ascii="宋体" w:hAnsi="宋体"/>
          <w:color w:val="auto"/>
          <w:szCs w:val="21"/>
          <w:highlight w:val="none"/>
        </w:rPr>
        <w:t>较</w:t>
      </w:r>
      <w:r>
        <w:rPr>
          <w:rFonts w:ascii="宋体" w:hAnsi="宋体"/>
          <w:color w:val="auto"/>
          <w:szCs w:val="21"/>
          <w:highlight w:val="none"/>
        </w:rPr>
        <w:t>低价之间差</w:t>
      </w:r>
      <w:r>
        <w:rPr>
          <w:rFonts w:hint="eastAsia" w:ascii="宋体" w:hAnsi="宋体"/>
          <w:color w:val="auto"/>
          <w:szCs w:val="21"/>
          <w:highlight w:val="none"/>
        </w:rPr>
        <w:t>额</w:t>
      </w:r>
      <w:r>
        <w:rPr>
          <w:rFonts w:ascii="宋体" w:hAnsi="宋体"/>
          <w:color w:val="auto"/>
          <w:szCs w:val="21"/>
          <w:highlight w:val="none"/>
        </w:rPr>
        <w:t>的两倍向</w:t>
      </w:r>
      <w:r>
        <w:rPr>
          <w:rFonts w:hint="eastAsia" w:ascii="宋体" w:hAnsi="宋体"/>
          <w:color w:val="auto"/>
          <w:szCs w:val="21"/>
          <w:highlight w:val="none"/>
          <w:lang w:eastAsia="zh-CN"/>
        </w:rPr>
        <w:t>甲方</w:t>
      </w:r>
      <w:r>
        <w:rPr>
          <w:rFonts w:ascii="宋体" w:hAnsi="宋体"/>
          <w:color w:val="auto"/>
          <w:szCs w:val="21"/>
          <w:highlight w:val="none"/>
        </w:rPr>
        <w:t>支付违约金</w:t>
      </w:r>
      <w:r>
        <w:rPr>
          <w:rFonts w:hint="eastAsia" w:ascii="宋体" w:hAnsi="宋体"/>
          <w:color w:val="auto"/>
          <w:szCs w:val="21"/>
          <w:highlight w:val="none"/>
        </w:rPr>
        <w:t>。</w:t>
      </w:r>
    </w:p>
    <w:p w14:paraId="07001E44">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ascii="宋体" w:hAnsi="宋体"/>
          <w:color w:val="auto"/>
          <w:szCs w:val="21"/>
          <w:highlight w:val="none"/>
        </w:rPr>
        <w:t>同意将本合同项下应付款项用于抵扣</w:t>
      </w:r>
      <w:r>
        <w:rPr>
          <w:rFonts w:hint="eastAsia" w:ascii="宋体" w:hAnsi="宋体"/>
          <w:color w:val="auto"/>
          <w:szCs w:val="21"/>
          <w:highlight w:val="none"/>
        </w:rPr>
        <w:t>本合</w:t>
      </w:r>
      <w:r>
        <w:rPr>
          <w:rFonts w:ascii="宋体" w:hAnsi="宋体"/>
          <w:color w:val="auto"/>
          <w:szCs w:val="21"/>
          <w:highlight w:val="none"/>
        </w:rPr>
        <w:t>同项下</w:t>
      </w:r>
      <w:r>
        <w:rPr>
          <w:rFonts w:hint="eastAsia" w:ascii="宋体" w:hAnsi="宋体"/>
          <w:color w:val="auto"/>
          <w:szCs w:val="21"/>
          <w:highlight w:val="none"/>
          <w:lang w:eastAsia="zh-CN"/>
        </w:rPr>
        <w:t>乙方</w:t>
      </w:r>
      <w:r>
        <w:rPr>
          <w:rFonts w:hint="eastAsia" w:ascii="宋体" w:hAnsi="宋体"/>
          <w:color w:val="auto"/>
          <w:szCs w:val="21"/>
          <w:highlight w:val="none"/>
        </w:rPr>
        <w:t>拖欠</w:t>
      </w:r>
      <w:r>
        <w:rPr>
          <w:rFonts w:hint="eastAsia" w:ascii="宋体" w:hAnsi="宋体"/>
          <w:color w:val="auto"/>
          <w:szCs w:val="21"/>
          <w:highlight w:val="none"/>
          <w:lang w:eastAsia="zh-CN"/>
        </w:rPr>
        <w:t>甲方</w:t>
      </w:r>
      <w:r>
        <w:rPr>
          <w:rFonts w:hint="eastAsia" w:ascii="宋体" w:hAnsi="宋体"/>
          <w:color w:val="auto"/>
          <w:szCs w:val="21"/>
          <w:highlight w:val="none"/>
        </w:rPr>
        <w:t>的任何款项（如有，不限于违约金、赔偿金等）。</w:t>
      </w:r>
    </w:p>
    <w:p w14:paraId="3EC9E14A">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三、</w:t>
      </w:r>
      <w:r>
        <w:rPr>
          <w:rFonts w:hint="eastAsia" w:ascii="宋体" w:hAnsi="宋体" w:cs="Times New Roman"/>
          <w:b/>
          <w:color w:val="auto"/>
          <w:kern w:val="2"/>
          <w:sz w:val="21"/>
          <w:szCs w:val="21"/>
          <w:highlight w:val="none"/>
          <w:u w:val="none"/>
          <w:lang w:eastAsia="zh-CN"/>
        </w:rPr>
        <w:t>包装和运输</w:t>
      </w:r>
    </w:p>
    <w:p w14:paraId="398C88FB">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ascii="宋体" w:hAnsi="宋体"/>
          <w:color w:val="auto"/>
          <w:szCs w:val="21"/>
          <w:highlight w:val="none"/>
        </w:rPr>
        <w:t>应提供合同产品运送至约定收货地址所需要的包装且保证相关包装材料坚固。根据合同产品特点和要求，</w:t>
      </w:r>
      <w:r>
        <w:rPr>
          <w:rFonts w:hint="eastAsia" w:ascii="宋体" w:hAnsi="宋体"/>
          <w:color w:val="auto"/>
          <w:szCs w:val="21"/>
          <w:highlight w:val="none"/>
          <w:lang w:eastAsia="zh-CN"/>
        </w:rPr>
        <w:t>乙方</w:t>
      </w:r>
      <w:r>
        <w:rPr>
          <w:rFonts w:ascii="宋体" w:hAnsi="宋体"/>
          <w:color w:val="auto"/>
          <w:szCs w:val="21"/>
          <w:highlight w:val="none"/>
        </w:rPr>
        <w:t>应采取防潮、防晒、防震、防压、防水及防止其他损坏的必要保护措施，从而保证合同产品免受雨水、潮湿、震荡和撞击的损坏，使其在正常装卸和搬运的条件下能够安全无损地抵达安装现场。相关合同产品的卸货工作由</w:t>
      </w:r>
      <w:r>
        <w:rPr>
          <w:rFonts w:hint="eastAsia" w:ascii="宋体" w:hAnsi="宋体"/>
          <w:color w:val="auto"/>
          <w:szCs w:val="21"/>
          <w:highlight w:val="none"/>
          <w:lang w:eastAsia="zh-CN"/>
        </w:rPr>
        <w:t>乙方</w:t>
      </w:r>
      <w:r>
        <w:rPr>
          <w:rFonts w:ascii="宋体" w:hAnsi="宋体"/>
          <w:color w:val="auto"/>
          <w:szCs w:val="21"/>
          <w:highlight w:val="none"/>
        </w:rPr>
        <w:t>负责完成。</w:t>
      </w:r>
    </w:p>
    <w:p w14:paraId="6087AB16">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如因</w:t>
      </w:r>
      <w:r>
        <w:rPr>
          <w:rFonts w:hint="eastAsia" w:ascii="宋体" w:hAnsi="宋体"/>
          <w:color w:val="auto"/>
          <w:szCs w:val="21"/>
          <w:highlight w:val="none"/>
          <w:lang w:eastAsia="zh-CN"/>
        </w:rPr>
        <w:t>乙方</w:t>
      </w:r>
      <w:r>
        <w:rPr>
          <w:rFonts w:ascii="宋体" w:hAnsi="宋体"/>
          <w:color w:val="auto"/>
          <w:szCs w:val="21"/>
          <w:highlight w:val="none"/>
        </w:rPr>
        <w:t>在发货前未采取适当包装和/或不充分的保护措施而造成合同产品及配套材料的损坏或丢失，</w:t>
      </w:r>
      <w:r>
        <w:rPr>
          <w:rFonts w:hint="eastAsia" w:ascii="宋体" w:hAnsi="宋体"/>
          <w:color w:val="auto"/>
          <w:szCs w:val="21"/>
          <w:highlight w:val="none"/>
          <w:lang w:eastAsia="zh-CN"/>
        </w:rPr>
        <w:t>甲方</w:t>
      </w:r>
      <w:r>
        <w:rPr>
          <w:rFonts w:hint="eastAsia" w:ascii="宋体" w:hAnsi="宋体"/>
          <w:color w:val="auto"/>
          <w:szCs w:val="21"/>
          <w:highlight w:val="none"/>
        </w:rPr>
        <w:t>有权拒收或</w:t>
      </w:r>
      <w:r>
        <w:rPr>
          <w:rFonts w:ascii="宋体" w:hAnsi="宋体"/>
          <w:color w:val="auto"/>
          <w:szCs w:val="21"/>
          <w:highlight w:val="none"/>
        </w:rPr>
        <w:t>由</w:t>
      </w:r>
      <w:r>
        <w:rPr>
          <w:rFonts w:hint="eastAsia" w:ascii="宋体" w:hAnsi="宋体"/>
          <w:color w:val="auto"/>
          <w:szCs w:val="21"/>
          <w:highlight w:val="none"/>
          <w:lang w:eastAsia="zh-CN"/>
        </w:rPr>
        <w:t>乙方</w:t>
      </w:r>
      <w:r>
        <w:rPr>
          <w:rFonts w:ascii="宋体" w:hAnsi="宋体"/>
          <w:color w:val="auto"/>
          <w:szCs w:val="21"/>
          <w:highlight w:val="none"/>
        </w:rPr>
        <w:t>负责更换，并承担</w:t>
      </w:r>
      <w:r>
        <w:rPr>
          <w:rFonts w:hint="eastAsia" w:ascii="宋体" w:hAnsi="宋体"/>
          <w:color w:val="auto"/>
          <w:szCs w:val="21"/>
          <w:highlight w:val="none"/>
        </w:rPr>
        <w:t>违约责任及</w:t>
      </w:r>
      <w:r>
        <w:rPr>
          <w:rFonts w:ascii="宋体" w:hAnsi="宋体"/>
          <w:color w:val="auto"/>
          <w:szCs w:val="21"/>
          <w:highlight w:val="none"/>
        </w:rPr>
        <w:t>因此造成的延误责任以及由此导致</w:t>
      </w:r>
      <w:r>
        <w:rPr>
          <w:rFonts w:hint="eastAsia" w:ascii="宋体" w:hAnsi="宋体"/>
          <w:color w:val="auto"/>
          <w:szCs w:val="21"/>
          <w:highlight w:val="none"/>
          <w:lang w:eastAsia="zh-CN"/>
        </w:rPr>
        <w:t>甲方</w:t>
      </w:r>
      <w:r>
        <w:rPr>
          <w:rFonts w:ascii="宋体" w:hAnsi="宋体"/>
          <w:color w:val="auto"/>
          <w:szCs w:val="21"/>
          <w:highlight w:val="none"/>
        </w:rPr>
        <w:t>的经济损失。</w:t>
      </w:r>
    </w:p>
    <w:p w14:paraId="6B85E54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ascii="宋体" w:hAnsi="宋体"/>
          <w:color w:val="auto"/>
          <w:szCs w:val="21"/>
          <w:highlight w:val="none"/>
        </w:rPr>
        <w:t>应选择适合</w:t>
      </w:r>
      <w:r>
        <w:rPr>
          <w:rFonts w:hint="eastAsia" w:ascii="宋体" w:hAnsi="宋体"/>
          <w:color w:val="auto"/>
          <w:szCs w:val="21"/>
          <w:highlight w:val="none"/>
        </w:rPr>
        <w:t>合</w:t>
      </w:r>
      <w:r>
        <w:rPr>
          <w:rFonts w:ascii="宋体" w:hAnsi="宋体"/>
          <w:color w:val="auto"/>
          <w:szCs w:val="21"/>
          <w:highlight w:val="none"/>
        </w:rPr>
        <w:t>同产</w:t>
      </w:r>
      <w:r>
        <w:rPr>
          <w:rFonts w:hint="eastAsia" w:ascii="宋体" w:hAnsi="宋体"/>
          <w:color w:val="auto"/>
          <w:szCs w:val="21"/>
          <w:highlight w:val="none"/>
        </w:rPr>
        <w:t>品</w:t>
      </w:r>
      <w:r>
        <w:rPr>
          <w:rFonts w:ascii="宋体" w:hAnsi="宋体"/>
          <w:color w:val="auto"/>
          <w:szCs w:val="21"/>
          <w:highlight w:val="none"/>
        </w:rPr>
        <w:t>的方式运输</w:t>
      </w:r>
      <w:r>
        <w:rPr>
          <w:rFonts w:hint="eastAsia" w:ascii="宋体" w:hAnsi="宋体"/>
          <w:color w:val="auto"/>
          <w:szCs w:val="21"/>
          <w:highlight w:val="none"/>
        </w:rPr>
        <w:t>，如由于不可归责于任何一方的意外事件造成本合同产品在运输过程中丢失和</w:t>
      </w:r>
      <w:r>
        <w:rPr>
          <w:rFonts w:ascii="宋体" w:hAnsi="宋体"/>
          <w:color w:val="auto"/>
          <w:szCs w:val="21"/>
          <w:highlight w:val="none"/>
        </w:rPr>
        <w:t>/或损坏，</w:t>
      </w:r>
      <w:r>
        <w:rPr>
          <w:rFonts w:hint="eastAsia" w:ascii="宋体" w:hAnsi="宋体"/>
          <w:color w:val="auto"/>
          <w:szCs w:val="21"/>
          <w:highlight w:val="none"/>
          <w:lang w:eastAsia="zh-CN"/>
        </w:rPr>
        <w:t>乙方</w:t>
      </w:r>
      <w:r>
        <w:rPr>
          <w:rFonts w:ascii="宋体" w:hAnsi="宋体"/>
          <w:color w:val="auto"/>
          <w:szCs w:val="21"/>
          <w:highlight w:val="none"/>
        </w:rPr>
        <w:t>应尽快补齐丢失和/或损坏的产品及配套材料以使本合同得以及时、完整履行。由此造成</w:t>
      </w:r>
      <w:r>
        <w:rPr>
          <w:rFonts w:hint="eastAsia" w:ascii="宋体" w:hAnsi="宋体"/>
          <w:color w:val="auto"/>
          <w:szCs w:val="21"/>
          <w:highlight w:val="none"/>
          <w:lang w:eastAsia="zh-CN"/>
        </w:rPr>
        <w:t>甲方</w:t>
      </w:r>
      <w:r>
        <w:rPr>
          <w:rFonts w:ascii="宋体" w:hAnsi="宋体"/>
          <w:color w:val="auto"/>
          <w:szCs w:val="21"/>
          <w:highlight w:val="none"/>
        </w:rPr>
        <w:t>损失的，双方按照公平原则协商处理。</w:t>
      </w:r>
    </w:p>
    <w:p w14:paraId="208F1483">
      <w:pPr>
        <w:spacing w:before="120" w:after="0" w:line="360" w:lineRule="exact"/>
        <w:jc w:val="both"/>
        <w:rPr>
          <w:rFonts w:ascii="宋体" w:hAnsi="宋体" w:cs="Times New Roman"/>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四、</w:t>
      </w:r>
      <w:r>
        <w:rPr>
          <w:rFonts w:hint="eastAsia" w:ascii="宋体" w:hAnsi="宋体" w:cs="Times New Roman"/>
          <w:b/>
          <w:color w:val="auto"/>
          <w:kern w:val="2"/>
          <w:sz w:val="21"/>
          <w:szCs w:val="21"/>
          <w:highlight w:val="none"/>
          <w:u w:val="none"/>
          <w:lang w:eastAsia="zh-CN"/>
        </w:rPr>
        <w:t>交货与验收</w:t>
      </w:r>
    </w:p>
    <w:p w14:paraId="7840E41D">
      <w:pPr>
        <w:pStyle w:val="21"/>
        <w:numPr>
          <w:ilvl w:val="0"/>
          <w:numId w:val="0"/>
        </w:numPr>
        <w:spacing w:before="120" w:line="360" w:lineRule="exact"/>
        <w:ind w:left="66" w:leftChars="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w:t>
      </w:r>
    </w:p>
    <w:p w14:paraId="2D843CDF">
      <w:pPr>
        <w:pStyle w:val="21"/>
        <w:numPr>
          <w:ilvl w:val="0"/>
          <w:numId w:val="0"/>
        </w:numPr>
        <w:tabs>
          <w:tab w:val="left" w:pos="993"/>
        </w:tabs>
        <w:spacing w:before="120" w:line="360" w:lineRule="exact"/>
        <w:ind w:left="567" w:leftChars="0" w:hanging="567" w:firstLineChars="0"/>
        <w:rPr>
          <w:rFonts w:ascii="宋体" w:hAnsi="宋体"/>
          <w:color w:val="auto"/>
          <w:szCs w:val="21"/>
          <w:highlight w:val="none"/>
        </w:rPr>
      </w:pPr>
      <w:r>
        <w:rPr>
          <w:rFonts w:hint="default" w:ascii="Arial" w:hAnsi="Arial" w:eastAsia="Arial" w:cs="Arial"/>
          <w:snapToGrid w:val="0"/>
          <w:color w:val="auto"/>
          <w:sz w:val="21"/>
          <w:szCs w:val="21"/>
          <w:lang w:val="en-US" w:eastAsia="zh-CN" w:bidi="ar-SA"/>
        </w:rPr>
        <w:t>（1）</w:t>
      </w:r>
      <w:r>
        <w:rPr>
          <w:rFonts w:hint="eastAsia" w:ascii="宋体" w:hAnsi="宋体"/>
          <w:color w:val="auto"/>
          <w:szCs w:val="21"/>
          <w:highlight w:val="none"/>
          <w:lang w:eastAsia="zh-CN"/>
        </w:rPr>
        <w:t>乙方</w:t>
      </w:r>
      <w:r>
        <w:rPr>
          <w:rFonts w:hint="eastAsia" w:ascii="宋体" w:hAnsi="宋体"/>
          <w:color w:val="auto"/>
          <w:szCs w:val="21"/>
          <w:highlight w:val="none"/>
        </w:rPr>
        <w:t>应当于专用条款</w:t>
      </w:r>
      <w:r>
        <w:rPr>
          <w:rFonts w:ascii="宋体" w:hAnsi="宋体"/>
          <w:color w:val="auto"/>
          <w:szCs w:val="21"/>
          <w:highlight w:val="none"/>
        </w:rPr>
        <w:t>约定的</w:t>
      </w:r>
      <w:r>
        <w:rPr>
          <w:rFonts w:hint="eastAsia" w:ascii="宋体" w:hAnsi="宋体"/>
          <w:color w:val="auto"/>
          <w:szCs w:val="21"/>
          <w:highlight w:val="none"/>
        </w:rPr>
        <w:t>交货日前</w:t>
      </w:r>
      <w:r>
        <w:rPr>
          <w:rFonts w:ascii="宋体" w:hAnsi="宋体"/>
          <w:color w:val="auto"/>
          <w:szCs w:val="21"/>
          <w:highlight w:val="none"/>
        </w:rPr>
        <w:t>将合同产品运送至</w:t>
      </w:r>
      <w:r>
        <w:rPr>
          <w:rFonts w:hint="eastAsia" w:ascii="宋体" w:hAnsi="宋体"/>
          <w:color w:val="auto"/>
          <w:szCs w:val="21"/>
          <w:highlight w:val="none"/>
          <w:lang w:eastAsia="zh-CN"/>
        </w:rPr>
        <w:t>甲方</w:t>
      </w:r>
      <w:r>
        <w:rPr>
          <w:rFonts w:ascii="宋体" w:hAnsi="宋体"/>
          <w:color w:val="auto"/>
          <w:szCs w:val="21"/>
          <w:highlight w:val="none"/>
        </w:rPr>
        <w:t>指定收货地点</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在交货前应通知</w:t>
      </w:r>
      <w:r>
        <w:rPr>
          <w:rFonts w:hint="eastAsia" w:ascii="宋体" w:hAnsi="宋体"/>
          <w:color w:val="auto"/>
          <w:szCs w:val="21"/>
          <w:highlight w:val="none"/>
          <w:lang w:eastAsia="zh-CN"/>
        </w:rPr>
        <w:t>甲方</w:t>
      </w:r>
      <w:r>
        <w:rPr>
          <w:rFonts w:hint="eastAsia" w:ascii="宋体" w:hAnsi="宋体"/>
          <w:color w:val="auto"/>
          <w:szCs w:val="21"/>
          <w:highlight w:val="none"/>
        </w:rPr>
        <w:t>准备收货</w:t>
      </w:r>
      <w:r>
        <w:rPr>
          <w:rFonts w:ascii="宋体" w:hAnsi="宋体"/>
          <w:color w:val="auto"/>
          <w:szCs w:val="21"/>
          <w:highlight w:val="none"/>
        </w:rPr>
        <w:t>,否则</w:t>
      </w:r>
      <w:r>
        <w:rPr>
          <w:rFonts w:hint="eastAsia" w:ascii="宋体" w:hAnsi="宋体"/>
          <w:color w:val="auto"/>
          <w:szCs w:val="21"/>
          <w:highlight w:val="none"/>
          <w:lang w:eastAsia="zh-CN"/>
        </w:rPr>
        <w:t>甲方</w:t>
      </w:r>
      <w:r>
        <w:rPr>
          <w:rFonts w:ascii="宋体" w:hAnsi="宋体"/>
          <w:color w:val="auto"/>
          <w:szCs w:val="21"/>
          <w:highlight w:val="none"/>
        </w:rPr>
        <w:t>有权拒绝接收。</w:t>
      </w:r>
      <w:r>
        <w:rPr>
          <w:rFonts w:hint="eastAsia" w:ascii="宋体" w:hAnsi="宋体"/>
          <w:color w:val="auto"/>
          <w:szCs w:val="21"/>
          <w:highlight w:val="none"/>
          <w:lang w:eastAsia="zh-CN"/>
        </w:rPr>
        <w:t>甲方</w:t>
      </w:r>
      <w:r>
        <w:rPr>
          <w:rFonts w:hint="eastAsia" w:ascii="宋体" w:hAnsi="宋体"/>
          <w:color w:val="auto"/>
          <w:szCs w:val="21"/>
          <w:highlight w:val="none"/>
        </w:rPr>
        <w:t>要求延迟交货的应当在交货日前三</w:t>
      </w:r>
      <w:r>
        <w:rPr>
          <w:rFonts w:ascii="宋体" w:hAnsi="宋体"/>
          <w:color w:val="auto"/>
          <w:szCs w:val="21"/>
          <w:highlight w:val="none"/>
        </w:rPr>
        <w:t>天通知</w:t>
      </w:r>
      <w:r>
        <w:rPr>
          <w:rFonts w:hint="eastAsia" w:ascii="宋体" w:hAnsi="宋体"/>
          <w:color w:val="auto"/>
          <w:szCs w:val="21"/>
          <w:highlight w:val="none"/>
          <w:lang w:eastAsia="zh-CN"/>
        </w:rPr>
        <w:t>乙方</w:t>
      </w:r>
      <w:r>
        <w:rPr>
          <w:rFonts w:ascii="宋体" w:hAnsi="宋体"/>
          <w:color w:val="auto"/>
          <w:szCs w:val="21"/>
          <w:highlight w:val="none"/>
        </w:rPr>
        <w:t>。</w:t>
      </w:r>
    </w:p>
    <w:p w14:paraId="31293AA5">
      <w:pPr>
        <w:pStyle w:val="21"/>
        <w:numPr>
          <w:ilvl w:val="0"/>
          <w:numId w:val="0"/>
        </w:numPr>
        <w:spacing w:before="120" w:line="360" w:lineRule="exact"/>
        <w:ind w:left="567" w:leftChars="0" w:hanging="567" w:firstLineChars="0"/>
        <w:rPr>
          <w:rFonts w:ascii="宋体" w:hAnsi="宋体"/>
          <w:color w:val="auto"/>
          <w:szCs w:val="21"/>
          <w:highlight w:val="none"/>
        </w:rPr>
      </w:pPr>
      <w:r>
        <w:rPr>
          <w:rFonts w:hint="default" w:ascii="Arial" w:hAnsi="Arial" w:eastAsia="Arial" w:cs="Arial"/>
          <w:snapToGrid w:val="0"/>
          <w:color w:val="auto"/>
          <w:sz w:val="21"/>
          <w:szCs w:val="21"/>
          <w:lang w:val="en-US" w:eastAsia="zh-CN" w:bidi="ar-SA"/>
        </w:rPr>
        <w:t>（2）</w:t>
      </w:r>
      <w:r>
        <w:rPr>
          <w:rFonts w:hint="eastAsia" w:ascii="宋体" w:hAnsi="宋体"/>
          <w:color w:val="auto"/>
          <w:szCs w:val="21"/>
          <w:highlight w:val="none"/>
        </w:rPr>
        <w:t>交货时，合</w:t>
      </w:r>
      <w:r>
        <w:rPr>
          <w:rFonts w:ascii="宋体" w:hAnsi="宋体"/>
          <w:color w:val="auto"/>
          <w:szCs w:val="21"/>
          <w:highlight w:val="none"/>
        </w:rPr>
        <w:t>同</w:t>
      </w:r>
      <w:r>
        <w:rPr>
          <w:rFonts w:hint="eastAsia" w:ascii="宋体" w:hAnsi="宋体"/>
          <w:color w:val="auto"/>
          <w:szCs w:val="21"/>
          <w:highlight w:val="none"/>
        </w:rPr>
        <w:t>产品须带有包含合同</w:t>
      </w:r>
      <w:r>
        <w:rPr>
          <w:rFonts w:ascii="宋体" w:hAnsi="宋体"/>
          <w:color w:val="auto"/>
          <w:szCs w:val="21"/>
          <w:highlight w:val="none"/>
        </w:rPr>
        <w:t>产品</w:t>
      </w:r>
      <w:r>
        <w:rPr>
          <w:rFonts w:hint="eastAsia" w:ascii="宋体" w:hAnsi="宋体"/>
          <w:color w:val="auto"/>
          <w:szCs w:val="21"/>
          <w:highlight w:val="none"/>
        </w:rPr>
        <w:t>名称、数量、机组号、图号等</w:t>
      </w:r>
      <w:r>
        <w:rPr>
          <w:rFonts w:ascii="宋体" w:hAnsi="宋体"/>
          <w:color w:val="auto"/>
          <w:szCs w:val="21"/>
          <w:highlight w:val="none"/>
        </w:rPr>
        <w:t>相关</w:t>
      </w:r>
      <w:r>
        <w:rPr>
          <w:rFonts w:hint="eastAsia" w:ascii="宋体" w:hAnsi="宋体"/>
          <w:color w:val="auto"/>
          <w:szCs w:val="21"/>
          <w:highlight w:val="none"/>
        </w:rPr>
        <w:t>信息的详细送货</w:t>
      </w:r>
      <w:r>
        <w:rPr>
          <w:rFonts w:ascii="宋体" w:hAnsi="宋体"/>
          <w:color w:val="auto"/>
          <w:szCs w:val="21"/>
          <w:highlight w:val="none"/>
        </w:rPr>
        <w:t>单</w:t>
      </w:r>
      <w:r>
        <w:rPr>
          <w:rFonts w:hint="eastAsia" w:ascii="宋体" w:hAnsi="宋体"/>
          <w:color w:val="auto"/>
          <w:szCs w:val="21"/>
          <w:highlight w:val="none"/>
        </w:rPr>
        <w:t>、产</w:t>
      </w:r>
      <w:r>
        <w:rPr>
          <w:rFonts w:ascii="宋体" w:hAnsi="宋体"/>
          <w:color w:val="auto"/>
          <w:szCs w:val="21"/>
          <w:highlight w:val="none"/>
        </w:rPr>
        <w:t>品</w:t>
      </w:r>
      <w:r>
        <w:rPr>
          <w:rFonts w:hint="eastAsia" w:ascii="宋体" w:hAnsi="宋体"/>
          <w:color w:val="auto"/>
          <w:szCs w:val="21"/>
          <w:highlight w:val="none"/>
        </w:rPr>
        <w:t>合格证及产品出厂检测报告（如有）、发货证明等相</w:t>
      </w:r>
      <w:r>
        <w:rPr>
          <w:rFonts w:ascii="宋体" w:hAnsi="宋体"/>
          <w:color w:val="auto"/>
          <w:szCs w:val="21"/>
          <w:highlight w:val="none"/>
        </w:rPr>
        <w:t>关附属材料</w:t>
      </w:r>
      <w:r>
        <w:rPr>
          <w:rFonts w:hint="eastAsia" w:ascii="宋体" w:hAnsi="宋体"/>
          <w:color w:val="auto"/>
          <w:szCs w:val="21"/>
          <w:highlight w:val="none"/>
        </w:rPr>
        <w:t>。</w:t>
      </w:r>
    </w:p>
    <w:p w14:paraId="0724F968">
      <w:pPr>
        <w:pStyle w:val="21"/>
        <w:numPr>
          <w:ilvl w:val="0"/>
          <w:numId w:val="0"/>
        </w:numPr>
        <w:spacing w:before="120" w:line="360" w:lineRule="exact"/>
        <w:ind w:left="567" w:leftChars="0" w:hanging="567" w:firstLineChars="0"/>
        <w:rPr>
          <w:rFonts w:ascii="宋体" w:hAnsi="宋体"/>
          <w:color w:val="auto"/>
          <w:szCs w:val="21"/>
          <w:highlight w:val="none"/>
        </w:rPr>
      </w:pPr>
      <w:r>
        <w:rPr>
          <w:rFonts w:hint="default" w:ascii="Arial" w:hAnsi="Arial" w:eastAsia="Arial" w:cs="Arial"/>
          <w:snapToGrid w:val="0"/>
          <w:color w:val="auto"/>
          <w:sz w:val="21"/>
          <w:szCs w:val="21"/>
          <w:lang w:val="en-US" w:eastAsia="zh-CN" w:bidi="ar-SA"/>
        </w:rPr>
        <w:t>（3）</w:t>
      </w:r>
      <w:r>
        <w:rPr>
          <w:rFonts w:hint="eastAsia" w:ascii="宋体" w:hAnsi="宋体"/>
          <w:color w:val="auto"/>
          <w:szCs w:val="21"/>
          <w:highlight w:val="none"/>
        </w:rPr>
        <w:t>如是进口产品，</w:t>
      </w:r>
      <w:r>
        <w:rPr>
          <w:rFonts w:hint="eastAsia" w:ascii="宋体" w:hAnsi="宋体"/>
          <w:color w:val="auto"/>
          <w:szCs w:val="21"/>
          <w:highlight w:val="none"/>
          <w:lang w:eastAsia="zh-CN"/>
        </w:rPr>
        <w:t>乙方</w:t>
      </w:r>
      <w:r>
        <w:rPr>
          <w:rFonts w:hint="eastAsia" w:ascii="宋体" w:hAnsi="宋体"/>
          <w:color w:val="auto"/>
          <w:szCs w:val="21"/>
          <w:highlight w:val="none"/>
        </w:rPr>
        <w:t>应于</w:t>
      </w:r>
      <w:r>
        <w:rPr>
          <w:rFonts w:ascii="宋体" w:hAnsi="宋体"/>
          <w:color w:val="auto"/>
          <w:szCs w:val="21"/>
          <w:highlight w:val="none"/>
        </w:rPr>
        <w:t>交货时</w:t>
      </w:r>
      <w:r>
        <w:rPr>
          <w:rFonts w:hint="eastAsia" w:ascii="宋体" w:hAnsi="宋体"/>
          <w:color w:val="auto"/>
          <w:szCs w:val="21"/>
          <w:highlight w:val="none"/>
        </w:rPr>
        <w:t>提供原产地证明、原厂测试报告、报关单等相关文件，并负责清关事宜。</w:t>
      </w:r>
    </w:p>
    <w:p w14:paraId="2877EFAC">
      <w:pPr>
        <w:pStyle w:val="21"/>
        <w:numPr>
          <w:ilvl w:val="0"/>
          <w:numId w:val="0"/>
        </w:numPr>
        <w:spacing w:before="120" w:line="360" w:lineRule="exac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安装调试</w:t>
      </w:r>
    </w:p>
    <w:p w14:paraId="5878F9E0">
      <w:pPr>
        <w:pStyle w:val="21"/>
        <w:spacing w:before="120" w:line="360" w:lineRule="exact"/>
        <w:ind w:left="426" w:firstLine="0" w:firstLineChars="0"/>
        <w:rPr>
          <w:rFonts w:hint="eastAsia" w:ascii="宋体" w:hAnsi="宋体"/>
          <w:color w:val="auto"/>
          <w:szCs w:val="21"/>
          <w:highlight w:val="none"/>
        </w:rPr>
      </w:pPr>
      <w:r>
        <w:rPr>
          <w:rFonts w:hint="eastAsia" w:ascii="宋体" w:hAnsi="宋体"/>
          <w:color w:val="auto"/>
          <w:szCs w:val="21"/>
          <w:highlight w:val="none"/>
        </w:rPr>
        <w:t>如双方约定由</w:t>
      </w:r>
      <w:r>
        <w:rPr>
          <w:rFonts w:hint="eastAsia" w:ascii="宋体" w:hAnsi="宋体"/>
          <w:color w:val="auto"/>
          <w:szCs w:val="21"/>
          <w:highlight w:val="none"/>
          <w:lang w:eastAsia="zh-CN"/>
        </w:rPr>
        <w:t>乙方</w:t>
      </w:r>
      <w:r>
        <w:rPr>
          <w:rFonts w:hint="eastAsia" w:ascii="宋体" w:hAnsi="宋体"/>
          <w:color w:val="auto"/>
          <w:szCs w:val="21"/>
          <w:highlight w:val="none"/>
        </w:rPr>
        <w:t>安装、调试的，</w:t>
      </w:r>
      <w:r>
        <w:rPr>
          <w:rFonts w:hint="eastAsia" w:ascii="宋体" w:hAnsi="宋体"/>
          <w:color w:val="auto"/>
          <w:szCs w:val="21"/>
          <w:highlight w:val="none"/>
          <w:lang w:eastAsia="zh-CN"/>
        </w:rPr>
        <w:t>乙方</w:t>
      </w:r>
      <w:r>
        <w:rPr>
          <w:rFonts w:hint="eastAsia" w:ascii="宋体" w:hAnsi="宋体"/>
          <w:color w:val="auto"/>
          <w:szCs w:val="21"/>
          <w:highlight w:val="none"/>
        </w:rPr>
        <w:t>应指定符合资质的专业人员严格按照相关安装技术规程及调试规程进行产品的全程安装和调试。</w:t>
      </w:r>
    </w:p>
    <w:p w14:paraId="4B238D60">
      <w:pPr>
        <w:pStyle w:val="21"/>
        <w:spacing w:before="120" w:line="360" w:lineRule="exact"/>
        <w:ind w:left="0" w:leftChars="0" w:firstLine="0" w:firstLineChars="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验收</w:t>
      </w:r>
    </w:p>
    <w:p w14:paraId="38893C0E">
      <w:pPr>
        <w:pStyle w:val="21"/>
        <w:numPr>
          <w:ilvl w:val="0"/>
          <w:numId w:val="7"/>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外观验收：合同</w:t>
      </w:r>
      <w:r>
        <w:rPr>
          <w:rFonts w:ascii="宋体" w:hAnsi="宋体"/>
          <w:color w:val="auto"/>
          <w:szCs w:val="21"/>
          <w:highlight w:val="none"/>
        </w:rPr>
        <w:t>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w:t>
      </w:r>
      <w:r>
        <w:rPr>
          <w:rFonts w:ascii="宋体" w:hAnsi="宋体"/>
          <w:color w:val="auto"/>
          <w:szCs w:val="21"/>
          <w:highlight w:val="none"/>
        </w:rPr>
        <w:t>地点后</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应对产品数量、包装等外观质量进行初步检验，确认与合同标的相符后在相应</w:t>
      </w:r>
      <w:r>
        <w:rPr>
          <w:rFonts w:ascii="宋体" w:hAnsi="宋体"/>
          <w:color w:val="auto"/>
          <w:szCs w:val="21"/>
          <w:highlight w:val="none"/>
        </w:rPr>
        <w:t>的送货单据上签收</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的签收将不视为对合同产品质量的最终确认。</w:t>
      </w:r>
    </w:p>
    <w:p w14:paraId="6BB178DF">
      <w:pPr>
        <w:pStyle w:val="21"/>
        <w:numPr>
          <w:ilvl w:val="0"/>
          <w:numId w:val="7"/>
        </w:numPr>
        <w:tabs>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在</w:t>
      </w:r>
      <w:r>
        <w:rPr>
          <w:rFonts w:ascii="宋体" w:hAnsi="宋体"/>
          <w:color w:val="auto"/>
          <w:szCs w:val="21"/>
          <w:highlight w:val="none"/>
        </w:rPr>
        <w:t>签收过程中</w:t>
      </w:r>
      <w:r>
        <w:rPr>
          <w:rFonts w:hint="eastAsia" w:ascii="宋体" w:hAnsi="宋体"/>
          <w:color w:val="auto"/>
          <w:szCs w:val="21"/>
          <w:highlight w:val="none"/>
        </w:rPr>
        <w:t>如发现任何短缺、故障、损坏或与合同规定不符之处，</w:t>
      </w:r>
      <w:r>
        <w:rPr>
          <w:rFonts w:hint="eastAsia" w:ascii="宋体" w:hAnsi="宋体"/>
          <w:color w:val="auto"/>
          <w:szCs w:val="21"/>
          <w:highlight w:val="none"/>
          <w:lang w:eastAsia="zh-CN"/>
        </w:rPr>
        <w:t>甲方</w:t>
      </w:r>
      <w:r>
        <w:rPr>
          <w:rFonts w:hint="eastAsia" w:ascii="宋体" w:hAnsi="宋体"/>
          <w:color w:val="auto"/>
          <w:szCs w:val="21"/>
          <w:highlight w:val="none"/>
        </w:rPr>
        <w:t>有权</w:t>
      </w:r>
      <w:r>
        <w:rPr>
          <w:rFonts w:ascii="宋体" w:hAnsi="宋体"/>
          <w:color w:val="auto"/>
          <w:szCs w:val="21"/>
          <w:highlight w:val="none"/>
        </w:rPr>
        <w:t>拒收或在</w:t>
      </w:r>
      <w:r>
        <w:rPr>
          <w:rFonts w:hint="eastAsia" w:ascii="宋体" w:hAnsi="宋体"/>
          <w:color w:val="auto"/>
          <w:szCs w:val="21"/>
          <w:highlight w:val="none"/>
        </w:rPr>
        <w:t>送货</w:t>
      </w:r>
      <w:r>
        <w:rPr>
          <w:rFonts w:ascii="宋体" w:hAnsi="宋体"/>
          <w:color w:val="auto"/>
          <w:szCs w:val="21"/>
          <w:highlight w:val="none"/>
        </w:rPr>
        <w:t>单</w:t>
      </w:r>
      <w:r>
        <w:rPr>
          <w:rFonts w:hint="eastAsia" w:ascii="宋体" w:hAnsi="宋体"/>
          <w:color w:val="auto"/>
          <w:szCs w:val="21"/>
          <w:highlight w:val="none"/>
        </w:rPr>
        <w:t>据</w:t>
      </w:r>
      <w:r>
        <w:rPr>
          <w:rFonts w:ascii="宋体" w:hAnsi="宋体"/>
          <w:color w:val="auto"/>
          <w:szCs w:val="21"/>
          <w:highlight w:val="none"/>
        </w:rPr>
        <w:t>中注明</w:t>
      </w:r>
      <w:r>
        <w:rPr>
          <w:rFonts w:hint="eastAsia" w:ascii="宋体" w:hAnsi="宋体"/>
          <w:color w:val="auto"/>
          <w:szCs w:val="21"/>
          <w:highlight w:val="none"/>
        </w:rPr>
        <w:t>短缺、故障、损坏、与</w:t>
      </w:r>
      <w:r>
        <w:rPr>
          <w:rFonts w:ascii="宋体" w:hAnsi="宋体"/>
          <w:color w:val="auto"/>
          <w:szCs w:val="21"/>
          <w:highlight w:val="none"/>
        </w:rPr>
        <w:t>合同不符的情况后</w:t>
      </w:r>
      <w:r>
        <w:rPr>
          <w:rFonts w:hint="eastAsia" w:ascii="宋体" w:hAnsi="宋体"/>
          <w:color w:val="auto"/>
          <w:szCs w:val="21"/>
          <w:highlight w:val="none"/>
        </w:rPr>
        <w:t>部分</w:t>
      </w:r>
      <w:r>
        <w:rPr>
          <w:rFonts w:ascii="宋体" w:hAnsi="宋体"/>
          <w:color w:val="auto"/>
          <w:szCs w:val="21"/>
          <w:highlight w:val="none"/>
        </w:rPr>
        <w:t>签收</w:t>
      </w:r>
      <w:r>
        <w:rPr>
          <w:rFonts w:hint="eastAsia" w:ascii="宋体" w:hAnsi="宋体"/>
          <w:color w:val="auto"/>
          <w:szCs w:val="21"/>
          <w:highlight w:val="none"/>
        </w:rPr>
        <w:t>，双方签字确认的送货</w:t>
      </w:r>
      <w:r>
        <w:rPr>
          <w:rFonts w:ascii="宋体" w:hAnsi="宋体"/>
          <w:color w:val="auto"/>
          <w:szCs w:val="21"/>
          <w:highlight w:val="none"/>
        </w:rPr>
        <w:t>单</w:t>
      </w:r>
      <w:r>
        <w:rPr>
          <w:rFonts w:hint="eastAsia" w:ascii="宋体" w:hAnsi="宋体"/>
          <w:color w:val="auto"/>
          <w:szCs w:val="21"/>
          <w:highlight w:val="none"/>
        </w:rPr>
        <w:t>据作为更换、修理及赔偿的有效证据；经</w:t>
      </w:r>
      <w:r>
        <w:rPr>
          <w:rFonts w:hint="eastAsia" w:ascii="宋体" w:hAnsi="宋体"/>
          <w:color w:val="auto"/>
          <w:szCs w:val="21"/>
          <w:highlight w:val="none"/>
          <w:lang w:eastAsia="zh-CN"/>
        </w:rPr>
        <w:t>乙方</w:t>
      </w:r>
      <w:r>
        <w:rPr>
          <w:rFonts w:hint="eastAsia" w:ascii="宋体" w:hAnsi="宋体"/>
          <w:color w:val="auto"/>
          <w:szCs w:val="21"/>
          <w:highlight w:val="none"/>
        </w:rPr>
        <w:t>更换、修理达到要求后，</w:t>
      </w:r>
      <w:r>
        <w:rPr>
          <w:rFonts w:hint="eastAsia" w:ascii="宋体" w:hAnsi="宋体"/>
          <w:color w:val="auto"/>
          <w:szCs w:val="21"/>
          <w:highlight w:val="none"/>
          <w:lang w:eastAsia="zh-CN"/>
        </w:rPr>
        <w:t>甲方</w:t>
      </w:r>
      <w:r>
        <w:rPr>
          <w:rFonts w:hint="eastAsia" w:ascii="宋体" w:hAnsi="宋体"/>
          <w:color w:val="auto"/>
          <w:szCs w:val="21"/>
          <w:highlight w:val="none"/>
        </w:rPr>
        <w:t>对</w:t>
      </w:r>
      <w:r>
        <w:rPr>
          <w:rFonts w:ascii="宋体" w:hAnsi="宋体"/>
          <w:color w:val="auto"/>
          <w:szCs w:val="21"/>
          <w:highlight w:val="none"/>
        </w:rPr>
        <w:t>更换、修理后的合同产品重新签收</w:t>
      </w:r>
      <w:r>
        <w:rPr>
          <w:rFonts w:hint="eastAsia" w:ascii="宋体" w:hAnsi="宋体"/>
          <w:color w:val="auto"/>
          <w:szCs w:val="21"/>
          <w:highlight w:val="none"/>
        </w:rPr>
        <w:t>。</w:t>
      </w:r>
    </w:p>
    <w:p w14:paraId="2A523BD0">
      <w:pPr>
        <w:pStyle w:val="21"/>
        <w:numPr>
          <w:ilvl w:val="0"/>
          <w:numId w:val="7"/>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应在合同产品签收且</w:t>
      </w:r>
      <w:r>
        <w:rPr>
          <w:rFonts w:ascii="宋体" w:hAnsi="宋体"/>
          <w:color w:val="auto"/>
          <w:szCs w:val="21"/>
          <w:highlight w:val="none"/>
        </w:rPr>
        <w:t>安装、</w:t>
      </w:r>
      <w:r>
        <w:rPr>
          <w:rFonts w:hint="eastAsia" w:ascii="宋体" w:hAnsi="宋体"/>
          <w:color w:val="auto"/>
          <w:szCs w:val="21"/>
          <w:highlight w:val="none"/>
        </w:rPr>
        <w:t>调试</w:t>
      </w:r>
      <w:r>
        <w:rPr>
          <w:rFonts w:ascii="宋体" w:hAnsi="宋体"/>
          <w:color w:val="auto"/>
          <w:szCs w:val="21"/>
          <w:highlight w:val="none"/>
        </w:rPr>
        <w:t>完成</w:t>
      </w:r>
      <w:r>
        <w:rPr>
          <w:rFonts w:hint="eastAsia" w:ascii="宋体" w:hAnsi="宋体"/>
          <w:color w:val="auto"/>
          <w:szCs w:val="21"/>
          <w:highlight w:val="none"/>
        </w:rPr>
        <w:t>后（</w:t>
      </w:r>
      <w:r>
        <w:rPr>
          <w:rFonts w:ascii="宋体" w:hAnsi="宋体"/>
          <w:color w:val="auto"/>
          <w:szCs w:val="21"/>
          <w:highlight w:val="none"/>
        </w:rPr>
        <w:t>如需</w:t>
      </w:r>
      <w:r>
        <w:rPr>
          <w:rFonts w:hint="eastAsia" w:ascii="宋体" w:hAnsi="宋体"/>
          <w:color w:val="auto"/>
          <w:szCs w:val="21"/>
          <w:highlight w:val="none"/>
        </w:rPr>
        <w:t>要</w:t>
      </w:r>
      <w:r>
        <w:rPr>
          <w:rFonts w:ascii="宋体" w:hAnsi="宋体"/>
          <w:color w:val="auto"/>
          <w:szCs w:val="21"/>
          <w:highlight w:val="none"/>
        </w:rPr>
        <w:t>）</w:t>
      </w:r>
      <w:r>
        <w:rPr>
          <w:rFonts w:hint="eastAsia" w:ascii="宋体" w:hAnsi="宋体"/>
          <w:color w:val="auto"/>
          <w:szCs w:val="21"/>
          <w:highlight w:val="none"/>
        </w:rPr>
        <w:t>尽快根据本合同约定的质量标准对产品进行最终验收，如有任何异议，应及时向</w:t>
      </w:r>
      <w:r>
        <w:rPr>
          <w:rFonts w:hint="eastAsia" w:ascii="宋体" w:hAnsi="宋体"/>
          <w:color w:val="auto"/>
          <w:szCs w:val="21"/>
          <w:highlight w:val="none"/>
          <w:lang w:eastAsia="zh-CN"/>
        </w:rPr>
        <w:t>乙方</w:t>
      </w:r>
      <w:r>
        <w:rPr>
          <w:rFonts w:hint="eastAsia" w:ascii="宋体" w:hAnsi="宋体"/>
          <w:color w:val="auto"/>
          <w:szCs w:val="21"/>
          <w:highlight w:val="none"/>
        </w:rPr>
        <w:t>提出，</w:t>
      </w:r>
      <w:r>
        <w:rPr>
          <w:rFonts w:hint="eastAsia" w:ascii="宋体" w:hAnsi="宋体"/>
          <w:color w:val="auto"/>
          <w:szCs w:val="21"/>
          <w:highlight w:val="none"/>
          <w:lang w:eastAsia="zh-CN"/>
        </w:rPr>
        <w:t>乙方</w:t>
      </w:r>
      <w:r>
        <w:rPr>
          <w:rFonts w:hint="eastAsia" w:ascii="宋体" w:hAnsi="宋体"/>
          <w:color w:val="auto"/>
          <w:szCs w:val="21"/>
          <w:highlight w:val="none"/>
        </w:rPr>
        <w:t>应当在收到</w:t>
      </w:r>
      <w:r>
        <w:rPr>
          <w:rFonts w:hint="eastAsia" w:ascii="宋体" w:hAnsi="宋体"/>
          <w:color w:val="auto"/>
          <w:szCs w:val="21"/>
          <w:highlight w:val="none"/>
          <w:lang w:eastAsia="zh-CN"/>
        </w:rPr>
        <w:t>甲方</w:t>
      </w:r>
      <w:r>
        <w:rPr>
          <w:rFonts w:hint="eastAsia" w:ascii="宋体" w:hAnsi="宋体"/>
          <w:color w:val="auto"/>
          <w:szCs w:val="21"/>
          <w:highlight w:val="none"/>
        </w:rPr>
        <w:t>异议通知后五（</w:t>
      </w:r>
      <w:r>
        <w:rPr>
          <w:rFonts w:ascii="宋体" w:hAnsi="宋体"/>
          <w:color w:val="auto"/>
          <w:szCs w:val="21"/>
          <w:highlight w:val="none"/>
        </w:rPr>
        <w:t>5）个工作日内根据</w:t>
      </w:r>
      <w:r>
        <w:rPr>
          <w:rFonts w:hint="eastAsia" w:ascii="宋体" w:hAnsi="宋体"/>
          <w:color w:val="auto"/>
          <w:szCs w:val="21"/>
          <w:highlight w:val="none"/>
          <w:lang w:eastAsia="zh-CN"/>
        </w:rPr>
        <w:t>甲方</w:t>
      </w:r>
      <w:r>
        <w:rPr>
          <w:rFonts w:ascii="宋体" w:hAnsi="宋体"/>
          <w:color w:val="auto"/>
          <w:szCs w:val="21"/>
          <w:highlight w:val="none"/>
        </w:rPr>
        <w:t>的指示进行补足或更换，否则视为</w:t>
      </w:r>
      <w:r>
        <w:rPr>
          <w:rFonts w:hint="eastAsia" w:ascii="宋体" w:hAnsi="宋体"/>
          <w:color w:val="auto"/>
          <w:szCs w:val="21"/>
          <w:highlight w:val="none"/>
          <w:lang w:eastAsia="zh-CN"/>
        </w:rPr>
        <w:t>乙方</w:t>
      </w:r>
      <w:r>
        <w:rPr>
          <w:rFonts w:ascii="宋体" w:hAnsi="宋体"/>
          <w:color w:val="auto"/>
          <w:szCs w:val="21"/>
          <w:highlight w:val="none"/>
        </w:rPr>
        <w:t>交付的产品不符合本合同约定</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应积极与</w:t>
      </w:r>
      <w:r>
        <w:rPr>
          <w:rFonts w:hint="eastAsia" w:ascii="宋体" w:hAnsi="宋体"/>
          <w:color w:val="auto"/>
          <w:szCs w:val="21"/>
          <w:highlight w:val="none"/>
          <w:lang w:eastAsia="zh-CN"/>
        </w:rPr>
        <w:t>甲方</w:t>
      </w:r>
      <w:r>
        <w:rPr>
          <w:rFonts w:hint="eastAsia" w:ascii="宋体" w:hAnsi="宋体"/>
          <w:color w:val="auto"/>
          <w:szCs w:val="21"/>
          <w:highlight w:val="none"/>
        </w:rPr>
        <w:t>联系，共同签署《验收单》。</w:t>
      </w:r>
    </w:p>
    <w:p w14:paraId="75656B20">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五、</w:t>
      </w:r>
      <w:r>
        <w:rPr>
          <w:rFonts w:hint="eastAsia" w:ascii="宋体" w:hAnsi="宋体" w:cs="Times New Roman"/>
          <w:b/>
          <w:color w:val="auto"/>
          <w:kern w:val="2"/>
          <w:sz w:val="21"/>
          <w:szCs w:val="21"/>
          <w:highlight w:val="none"/>
          <w:u w:val="none"/>
          <w:lang w:eastAsia="zh-CN"/>
        </w:rPr>
        <w:t>质量、权利保证和保修</w:t>
      </w:r>
    </w:p>
    <w:p w14:paraId="22935C62">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hint="eastAsia" w:ascii="宋体" w:hAnsi="宋体"/>
          <w:color w:val="auto"/>
          <w:szCs w:val="21"/>
          <w:highlight w:val="none"/>
        </w:rPr>
        <w:t>在此承诺，其向</w:t>
      </w:r>
      <w:r>
        <w:rPr>
          <w:rFonts w:hint="eastAsia" w:ascii="宋体" w:hAnsi="宋体"/>
          <w:color w:val="auto"/>
          <w:szCs w:val="21"/>
          <w:highlight w:val="none"/>
          <w:lang w:eastAsia="zh-CN"/>
        </w:rPr>
        <w:t>甲方</w:t>
      </w:r>
      <w:r>
        <w:rPr>
          <w:rFonts w:hint="eastAsia" w:ascii="宋体" w:hAnsi="宋体"/>
          <w:color w:val="auto"/>
          <w:szCs w:val="21"/>
          <w:highlight w:val="none"/>
        </w:rPr>
        <w:t>提供的合同产品是全新、完整、未经使用</w:t>
      </w:r>
      <w:r>
        <w:rPr>
          <w:rFonts w:hint="eastAsia" w:ascii="宋体" w:hAnsi="宋体"/>
          <w:color w:val="auto"/>
          <w:szCs w:val="21"/>
          <w:highlight w:val="none"/>
          <w:lang w:eastAsia="zh-CN"/>
        </w:rPr>
        <w:t>。乙方</w:t>
      </w:r>
      <w:r>
        <w:rPr>
          <w:rFonts w:ascii="宋体" w:hAnsi="宋体"/>
          <w:color w:val="auto"/>
          <w:szCs w:val="21"/>
          <w:highlight w:val="none"/>
        </w:rPr>
        <w:t>承诺于</w:t>
      </w:r>
      <w:r>
        <w:rPr>
          <w:rFonts w:hint="eastAsia" w:ascii="宋体" w:hAnsi="宋体"/>
          <w:color w:val="auto"/>
          <w:szCs w:val="21"/>
          <w:highlight w:val="none"/>
          <w:lang w:eastAsia="zh-CN"/>
        </w:rPr>
        <w:t>甲方</w:t>
      </w:r>
      <w:r>
        <w:rPr>
          <w:rFonts w:ascii="宋体" w:hAnsi="宋体"/>
          <w:color w:val="auto"/>
          <w:szCs w:val="21"/>
          <w:highlight w:val="none"/>
        </w:rPr>
        <w:t>使用合同产品期间将不受任何第三方提出侵犯知识产权之诉讼。如任何第三方向</w:t>
      </w:r>
      <w:r>
        <w:rPr>
          <w:rFonts w:hint="eastAsia" w:ascii="宋体" w:hAnsi="宋体"/>
          <w:color w:val="auto"/>
          <w:szCs w:val="21"/>
          <w:highlight w:val="none"/>
          <w:lang w:eastAsia="zh-CN"/>
        </w:rPr>
        <w:t>甲方</w:t>
      </w:r>
      <w:r>
        <w:rPr>
          <w:rFonts w:ascii="宋体" w:hAnsi="宋体"/>
          <w:color w:val="auto"/>
          <w:szCs w:val="21"/>
          <w:highlight w:val="none"/>
        </w:rPr>
        <w:t>提起侵权指控，</w:t>
      </w:r>
      <w:r>
        <w:rPr>
          <w:rFonts w:hint="eastAsia" w:ascii="宋体" w:hAnsi="宋体"/>
          <w:color w:val="auto"/>
          <w:szCs w:val="21"/>
          <w:highlight w:val="none"/>
          <w:lang w:eastAsia="zh-CN"/>
        </w:rPr>
        <w:t>乙方</w:t>
      </w:r>
      <w:r>
        <w:rPr>
          <w:rFonts w:ascii="宋体" w:hAnsi="宋体"/>
          <w:color w:val="auto"/>
          <w:szCs w:val="21"/>
          <w:highlight w:val="none"/>
        </w:rPr>
        <w:t>须与第三方交涉并承担可能发生的法律责任和费用，包括为</w:t>
      </w:r>
      <w:r>
        <w:rPr>
          <w:rFonts w:hint="eastAsia" w:ascii="宋体" w:hAnsi="宋体"/>
          <w:color w:val="auto"/>
          <w:szCs w:val="21"/>
          <w:highlight w:val="none"/>
          <w:lang w:eastAsia="zh-CN"/>
        </w:rPr>
        <w:t>甲方</w:t>
      </w:r>
      <w:r>
        <w:rPr>
          <w:rFonts w:ascii="宋体" w:hAnsi="宋体"/>
          <w:color w:val="auto"/>
          <w:szCs w:val="21"/>
          <w:highlight w:val="none"/>
        </w:rPr>
        <w:t>委托律师、应诉费用及最终须承担的侵权赔偿费用。如由于上述瑕疵，</w:t>
      </w:r>
      <w:r>
        <w:rPr>
          <w:rFonts w:hint="eastAsia" w:ascii="宋体" w:hAnsi="宋体"/>
          <w:color w:val="auto"/>
          <w:szCs w:val="21"/>
          <w:highlight w:val="none"/>
          <w:lang w:eastAsia="zh-CN"/>
        </w:rPr>
        <w:t>甲方</w:t>
      </w:r>
      <w:r>
        <w:rPr>
          <w:rFonts w:ascii="宋体" w:hAnsi="宋体"/>
          <w:color w:val="auto"/>
          <w:szCs w:val="21"/>
          <w:highlight w:val="none"/>
        </w:rPr>
        <w:t>需向任何第三方实施赔礼道歉等可能给</w:t>
      </w:r>
      <w:r>
        <w:rPr>
          <w:rFonts w:hint="eastAsia" w:ascii="宋体" w:hAnsi="宋体"/>
          <w:color w:val="auto"/>
          <w:szCs w:val="21"/>
          <w:highlight w:val="none"/>
          <w:lang w:eastAsia="zh-CN"/>
        </w:rPr>
        <w:t>甲方</w:t>
      </w:r>
      <w:r>
        <w:rPr>
          <w:rFonts w:ascii="宋体" w:hAnsi="宋体"/>
          <w:color w:val="auto"/>
          <w:szCs w:val="21"/>
          <w:highlight w:val="none"/>
        </w:rPr>
        <w:t>名誉造成损失的行为，</w:t>
      </w:r>
      <w:r>
        <w:rPr>
          <w:rFonts w:hint="eastAsia" w:ascii="宋体" w:hAnsi="宋体"/>
          <w:color w:val="auto"/>
          <w:szCs w:val="21"/>
          <w:highlight w:val="none"/>
          <w:lang w:eastAsia="zh-CN"/>
        </w:rPr>
        <w:t>乙方</w:t>
      </w:r>
      <w:r>
        <w:rPr>
          <w:rFonts w:ascii="宋体" w:hAnsi="宋体"/>
          <w:color w:val="auto"/>
          <w:szCs w:val="21"/>
          <w:highlight w:val="none"/>
        </w:rPr>
        <w:t>应与第三</w:t>
      </w:r>
      <w:r>
        <w:rPr>
          <w:rFonts w:hint="eastAsia" w:ascii="宋体" w:hAnsi="宋体"/>
          <w:color w:val="auto"/>
          <w:szCs w:val="21"/>
          <w:highlight w:val="none"/>
        </w:rPr>
        <w:t>方积极协商，由</w:t>
      </w:r>
      <w:r>
        <w:rPr>
          <w:rFonts w:hint="eastAsia" w:ascii="宋体" w:hAnsi="宋体"/>
          <w:color w:val="auto"/>
          <w:szCs w:val="21"/>
          <w:highlight w:val="none"/>
          <w:lang w:eastAsia="zh-CN"/>
        </w:rPr>
        <w:t>乙方</w:t>
      </w:r>
      <w:r>
        <w:rPr>
          <w:rFonts w:hint="eastAsia" w:ascii="宋体" w:hAnsi="宋体"/>
          <w:color w:val="auto"/>
          <w:szCs w:val="21"/>
          <w:highlight w:val="none"/>
        </w:rPr>
        <w:t>另行采用其他赔偿方式予以替代。如因此导致</w:t>
      </w:r>
      <w:r>
        <w:rPr>
          <w:rFonts w:hint="eastAsia" w:ascii="宋体" w:hAnsi="宋体"/>
          <w:color w:val="auto"/>
          <w:szCs w:val="21"/>
          <w:highlight w:val="none"/>
          <w:lang w:eastAsia="zh-CN"/>
        </w:rPr>
        <w:t>甲方</w:t>
      </w:r>
      <w:r>
        <w:rPr>
          <w:rFonts w:hint="eastAsia" w:ascii="宋体" w:hAnsi="宋体"/>
          <w:color w:val="auto"/>
          <w:szCs w:val="21"/>
          <w:highlight w:val="none"/>
        </w:rPr>
        <w:t>无法继续使用合同产品，</w:t>
      </w:r>
      <w:r>
        <w:rPr>
          <w:rFonts w:hint="eastAsia" w:ascii="宋体" w:hAnsi="宋体"/>
          <w:color w:val="auto"/>
          <w:szCs w:val="21"/>
          <w:highlight w:val="none"/>
          <w:lang w:eastAsia="zh-CN"/>
        </w:rPr>
        <w:t>乙方</w:t>
      </w:r>
      <w:r>
        <w:rPr>
          <w:rFonts w:hint="eastAsia" w:ascii="宋体" w:hAnsi="宋体"/>
          <w:color w:val="auto"/>
          <w:szCs w:val="21"/>
          <w:highlight w:val="none"/>
        </w:rPr>
        <w:t>应及时提供相应替代品或使</w:t>
      </w:r>
      <w:r>
        <w:rPr>
          <w:rFonts w:hint="eastAsia" w:ascii="宋体" w:hAnsi="宋体"/>
          <w:color w:val="auto"/>
          <w:szCs w:val="21"/>
          <w:highlight w:val="none"/>
          <w:lang w:eastAsia="zh-CN"/>
        </w:rPr>
        <w:t>甲方</w:t>
      </w:r>
      <w:r>
        <w:rPr>
          <w:rFonts w:hint="eastAsia" w:ascii="宋体" w:hAnsi="宋体"/>
          <w:color w:val="auto"/>
          <w:szCs w:val="21"/>
          <w:highlight w:val="none"/>
        </w:rPr>
        <w:t>于限期内重新获得使用许可，并按照本合同通用条款第八条之约定向</w:t>
      </w:r>
      <w:r>
        <w:rPr>
          <w:rFonts w:hint="eastAsia" w:ascii="宋体" w:hAnsi="宋体"/>
          <w:color w:val="auto"/>
          <w:szCs w:val="21"/>
          <w:highlight w:val="none"/>
          <w:lang w:eastAsia="zh-CN"/>
        </w:rPr>
        <w:t>甲方</w:t>
      </w:r>
      <w:r>
        <w:rPr>
          <w:rFonts w:hint="eastAsia" w:ascii="宋体" w:hAnsi="宋体"/>
          <w:color w:val="auto"/>
          <w:szCs w:val="21"/>
          <w:highlight w:val="none"/>
        </w:rPr>
        <w:t>承担因无法使用合同产品所造成的全部赔偿责任。</w:t>
      </w:r>
    </w:p>
    <w:p w14:paraId="5040C57F">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w:t>
      </w:r>
      <w:r>
        <w:rPr>
          <w:rFonts w:ascii="宋体" w:hAnsi="宋体"/>
          <w:color w:val="auto"/>
          <w:szCs w:val="21"/>
          <w:highlight w:val="none"/>
        </w:rPr>
        <w:t>同产品的质量标准</w:t>
      </w:r>
    </w:p>
    <w:p w14:paraId="3F86BB39">
      <w:pPr>
        <w:widowControl w:val="0"/>
        <w:autoSpaceDE w:val="0"/>
        <w:autoSpaceDN w:val="0"/>
        <w:adjustRightInd w:val="0"/>
        <w:snapToGrid w:val="0"/>
        <w:spacing w:before="120" w:after="0" w:line="360" w:lineRule="exact"/>
        <w:ind w:right="-16" w:firstLine="420" w:firstLineChars="200"/>
        <w:jc w:val="both"/>
        <w:rPr>
          <w:rFonts w:ascii="宋体" w:hAnsi="宋体" w:cs="宋体"/>
          <w:color w:val="auto"/>
          <w:sz w:val="21"/>
          <w:szCs w:val="21"/>
          <w:highlight w:val="none"/>
          <w:lang w:eastAsia="zh-CN"/>
        </w:rPr>
      </w:pPr>
      <w:r>
        <w:rPr>
          <w:rFonts w:hint="eastAsia" w:ascii="宋体" w:hAnsi="宋体" w:cs="Times New Roman"/>
          <w:color w:val="auto"/>
          <w:kern w:val="2"/>
          <w:sz w:val="21"/>
          <w:szCs w:val="21"/>
          <w:highlight w:val="none"/>
          <w:lang w:eastAsia="zh-CN"/>
        </w:rPr>
        <w:t>如双方对产品质量标准未做特别约定的，合同产品质量标准适用下列较高的技术和质量标准：</w:t>
      </w:r>
      <w:r>
        <w:rPr>
          <w:rFonts w:hint="eastAsia" w:ascii="宋体" w:hAnsi="宋体" w:cs="宋体"/>
          <w:color w:val="auto"/>
          <w:sz w:val="21"/>
          <w:szCs w:val="21"/>
          <w:highlight w:val="none"/>
          <w:lang w:eastAsia="zh-CN"/>
        </w:rPr>
        <w:t>同类产品国家标准；同类产品部颁标准；同类产品行业标准；乙方</w:t>
      </w:r>
      <w:r>
        <w:rPr>
          <w:rFonts w:ascii="宋体" w:hAnsi="宋体" w:cs="宋体"/>
          <w:color w:val="auto"/>
          <w:sz w:val="21"/>
          <w:szCs w:val="21"/>
          <w:highlight w:val="none"/>
          <w:lang w:eastAsia="zh-CN"/>
        </w:rPr>
        <w:t>提供的</w:t>
      </w:r>
      <w:r>
        <w:rPr>
          <w:rFonts w:hint="eastAsia" w:ascii="宋体" w:hAnsi="宋体" w:cs="Times New Roman"/>
          <w:color w:val="auto"/>
          <w:kern w:val="2"/>
          <w:sz w:val="21"/>
          <w:szCs w:val="21"/>
          <w:highlight w:val="none"/>
          <w:lang w:eastAsia="zh-CN"/>
        </w:rPr>
        <w:t>产品标准或技术参数；</w:t>
      </w:r>
      <w:r>
        <w:rPr>
          <w:rFonts w:hint="eastAsia" w:ascii="宋体" w:hAnsi="宋体" w:cs="宋体"/>
          <w:color w:val="auto"/>
          <w:sz w:val="21"/>
          <w:szCs w:val="21"/>
          <w:highlight w:val="none"/>
          <w:lang w:eastAsia="zh-CN"/>
        </w:rPr>
        <w:t>没有上述标准或虽有上述标准，但双方同意按双方</w:t>
      </w:r>
      <w:r>
        <w:rPr>
          <w:rFonts w:ascii="宋体" w:hAnsi="宋体" w:cs="宋体"/>
          <w:color w:val="auto"/>
          <w:sz w:val="21"/>
          <w:szCs w:val="21"/>
          <w:highlight w:val="none"/>
          <w:lang w:eastAsia="zh-CN"/>
        </w:rPr>
        <w:t>另行</w:t>
      </w:r>
      <w:r>
        <w:rPr>
          <w:rFonts w:hint="eastAsia" w:ascii="宋体" w:hAnsi="宋体" w:cs="宋体"/>
          <w:color w:val="auto"/>
          <w:sz w:val="21"/>
          <w:szCs w:val="21"/>
          <w:highlight w:val="none"/>
          <w:lang w:eastAsia="zh-CN"/>
        </w:rPr>
        <w:t>确定</w:t>
      </w:r>
      <w:r>
        <w:rPr>
          <w:rFonts w:ascii="宋体" w:hAnsi="宋体" w:cs="宋体"/>
          <w:color w:val="auto"/>
          <w:sz w:val="21"/>
          <w:szCs w:val="21"/>
          <w:highlight w:val="none"/>
          <w:lang w:eastAsia="zh-CN"/>
        </w:rPr>
        <w:t>的</w:t>
      </w:r>
      <w:r>
        <w:rPr>
          <w:rFonts w:hint="eastAsia" w:ascii="宋体" w:hAnsi="宋体" w:cs="宋体"/>
          <w:color w:val="auto"/>
          <w:sz w:val="21"/>
          <w:szCs w:val="21"/>
          <w:highlight w:val="none"/>
          <w:lang w:eastAsia="zh-CN"/>
        </w:rPr>
        <w:t>文件约定的标准。</w:t>
      </w:r>
    </w:p>
    <w:p w14:paraId="562B0659">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s="Arial"/>
          <w:color w:val="auto"/>
          <w:szCs w:val="21"/>
          <w:highlight w:val="none"/>
        </w:rPr>
        <w:t>承诺于正确安装、正常使用和经维修情况下，产品在本合同所列明质保期内始终是良好的、可正常使用的。</w:t>
      </w:r>
    </w:p>
    <w:p w14:paraId="7ACCD2BC">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质保/</w:t>
      </w:r>
      <w:r>
        <w:rPr>
          <w:rFonts w:hint="eastAsia" w:ascii="宋体" w:hAnsi="宋体"/>
          <w:color w:val="auto"/>
          <w:szCs w:val="21"/>
          <w:highlight w:val="none"/>
        </w:rPr>
        <w:t>保修：</w:t>
      </w:r>
    </w:p>
    <w:p w14:paraId="647DFC72">
      <w:pPr>
        <w:pStyle w:val="21"/>
        <w:numPr>
          <w:ilvl w:val="0"/>
          <w:numId w:val="8"/>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质保期自产品最终验收之日起算</w:t>
      </w:r>
      <w:r>
        <w:rPr>
          <w:rFonts w:ascii="宋体" w:hAnsi="宋体"/>
          <w:color w:val="auto"/>
          <w:szCs w:val="21"/>
          <w:highlight w:val="none"/>
        </w:rPr>
        <w:t>。</w:t>
      </w:r>
      <w:r>
        <w:rPr>
          <w:rFonts w:hint="eastAsia" w:ascii="宋体" w:hAnsi="宋体"/>
          <w:color w:val="auto"/>
          <w:szCs w:val="21"/>
          <w:highlight w:val="none"/>
        </w:rPr>
        <w:t>质保期内，如生产厂家不提供质保服务的，由</w:t>
      </w:r>
      <w:r>
        <w:rPr>
          <w:rFonts w:hint="eastAsia" w:ascii="宋体" w:hAnsi="宋体"/>
          <w:color w:val="auto"/>
          <w:szCs w:val="21"/>
          <w:highlight w:val="none"/>
          <w:lang w:eastAsia="zh-CN"/>
        </w:rPr>
        <w:t>乙方</w:t>
      </w:r>
      <w:r>
        <w:rPr>
          <w:rFonts w:hint="eastAsia" w:ascii="宋体" w:hAnsi="宋体"/>
          <w:color w:val="auto"/>
          <w:szCs w:val="21"/>
          <w:highlight w:val="none"/>
        </w:rPr>
        <w:t>提供质保服务。</w:t>
      </w:r>
    </w:p>
    <w:p w14:paraId="585BDF62">
      <w:pPr>
        <w:pStyle w:val="21"/>
        <w:numPr>
          <w:ilvl w:val="0"/>
          <w:numId w:val="8"/>
        </w:numPr>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产品质保期内</w:t>
      </w:r>
      <w:r>
        <w:rPr>
          <w:rFonts w:ascii="宋体" w:hAnsi="宋体" w:cs="Arial"/>
          <w:color w:val="auto"/>
          <w:szCs w:val="21"/>
          <w:highlight w:val="none"/>
        </w:rPr>
        <w:t>，除非</w:t>
      </w:r>
      <w:r>
        <w:rPr>
          <w:rFonts w:hint="eastAsia" w:ascii="宋体" w:hAnsi="宋体" w:cs="Arial"/>
          <w:color w:val="auto"/>
          <w:szCs w:val="21"/>
          <w:highlight w:val="none"/>
          <w:lang w:eastAsia="zh-CN"/>
        </w:rPr>
        <w:t>乙方</w:t>
      </w:r>
      <w:r>
        <w:rPr>
          <w:rFonts w:ascii="宋体" w:hAnsi="宋体" w:cs="Arial"/>
          <w:color w:val="auto"/>
          <w:szCs w:val="21"/>
          <w:highlight w:val="none"/>
        </w:rPr>
        <w:t>证明系因</w:t>
      </w:r>
      <w:r>
        <w:rPr>
          <w:rFonts w:hint="eastAsia" w:ascii="宋体" w:hAnsi="宋体" w:cs="Arial"/>
          <w:color w:val="auto"/>
          <w:szCs w:val="21"/>
          <w:highlight w:val="none"/>
          <w:lang w:eastAsia="zh-CN"/>
        </w:rPr>
        <w:t>甲方</w:t>
      </w:r>
      <w:r>
        <w:rPr>
          <w:rFonts w:ascii="宋体" w:hAnsi="宋体" w:cs="Arial"/>
          <w:color w:val="auto"/>
          <w:szCs w:val="21"/>
          <w:highlight w:val="none"/>
        </w:rPr>
        <w:t>使用不当或第三人故意破坏，</w:t>
      </w:r>
      <w:r>
        <w:rPr>
          <w:rFonts w:hint="eastAsia" w:ascii="宋体" w:hAnsi="宋体" w:cs="Arial"/>
          <w:color w:val="auto"/>
          <w:szCs w:val="21"/>
          <w:highlight w:val="none"/>
          <w:lang w:eastAsia="zh-CN"/>
        </w:rPr>
        <w:t>乙方</w:t>
      </w:r>
      <w:r>
        <w:rPr>
          <w:rFonts w:ascii="宋体" w:hAnsi="宋体" w:cs="Arial"/>
          <w:color w:val="auto"/>
          <w:szCs w:val="21"/>
          <w:highlight w:val="none"/>
        </w:rPr>
        <w:t>应免费维修或更换发生故障或损坏之产品。</w:t>
      </w:r>
    </w:p>
    <w:p w14:paraId="137E34DC">
      <w:pPr>
        <w:pStyle w:val="21"/>
        <w:numPr>
          <w:ilvl w:val="0"/>
          <w:numId w:val="8"/>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产品应附所有易损件清单、价格及更换周期等相关信息，并于质保期内负责免费保养及更换清单所列的零部件。</w:t>
      </w:r>
    </w:p>
    <w:p w14:paraId="70C936AA">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响应</w:t>
      </w:r>
      <w:r>
        <w:rPr>
          <w:rFonts w:ascii="宋体" w:hAnsi="宋体"/>
          <w:color w:val="auto"/>
          <w:szCs w:val="21"/>
          <w:highlight w:val="none"/>
        </w:rPr>
        <w:t xml:space="preserve"> </w:t>
      </w:r>
    </w:p>
    <w:p w14:paraId="61C62E7E">
      <w:pPr>
        <w:pStyle w:val="21"/>
        <w:numPr>
          <w:ilvl w:val="0"/>
          <w:numId w:val="9"/>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在接到</w:t>
      </w:r>
      <w:r>
        <w:rPr>
          <w:rFonts w:hint="eastAsia" w:ascii="宋体" w:hAnsi="宋体"/>
          <w:color w:val="auto"/>
          <w:szCs w:val="21"/>
          <w:highlight w:val="none"/>
          <w:lang w:eastAsia="zh-CN"/>
        </w:rPr>
        <w:t>甲方</w:t>
      </w:r>
      <w:r>
        <w:rPr>
          <w:rFonts w:ascii="宋体" w:hAnsi="宋体"/>
          <w:color w:val="auto"/>
          <w:szCs w:val="21"/>
          <w:highlight w:val="none"/>
        </w:rPr>
        <w:t>报修</w:t>
      </w:r>
      <w:r>
        <w:rPr>
          <w:rFonts w:hint="eastAsia" w:ascii="宋体" w:hAnsi="宋体"/>
          <w:color w:val="auto"/>
          <w:szCs w:val="21"/>
          <w:highlight w:val="none"/>
        </w:rPr>
        <w:t>通知后</w:t>
      </w:r>
      <w:r>
        <w:rPr>
          <w:rFonts w:ascii="宋体" w:hAnsi="宋体"/>
          <w:color w:val="auto"/>
          <w:szCs w:val="21"/>
          <w:highlight w:val="none"/>
        </w:rPr>
        <w:t>24</w:t>
      </w:r>
      <w:r>
        <w:rPr>
          <w:rFonts w:hint="eastAsia" w:ascii="宋体" w:hAnsi="宋体"/>
          <w:color w:val="auto"/>
          <w:szCs w:val="21"/>
          <w:highlight w:val="none"/>
        </w:rPr>
        <w:t>小时内响应；</w:t>
      </w:r>
      <w:r>
        <w:rPr>
          <w:rFonts w:ascii="宋体" w:hAnsi="宋体"/>
          <w:color w:val="auto"/>
          <w:szCs w:val="21"/>
          <w:highlight w:val="none"/>
        </w:rPr>
        <w:t xml:space="preserve"> </w:t>
      </w:r>
    </w:p>
    <w:p w14:paraId="6A37AFB3">
      <w:pPr>
        <w:pStyle w:val="21"/>
        <w:numPr>
          <w:ilvl w:val="0"/>
          <w:numId w:val="9"/>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产品未及时得到维修，导致不能正常工作而影响</w:t>
      </w:r>
      <w:r>
        <w:rPr>
          <w:rFonts w:hint="eastAsia" w:ascii="宋体" w:hAnsi="宋体"/>
          <w:color w:val="auto"/>
          <w:szCs w:val="21"/>
          <w:highlight w:val="none"/>
          <w:lang w:eastAsia="zh-CN"/>
        </w:rPr>
        <w:t>甲方</w:t>
      </w:r>
      <w:r>
        <w:rPr>
          <w:rFonts w:hint="eastAsia" w:ascii="宋体" w:hAnsi="宋体"/>
          <w:color w:val="auto"/>
          <w:szCs w:val="21"/>
          <w:highlight w:val="none"/>
        </w:rPr>
        <w:t>使用和生产的，</w:t>
      </w:r>
      <w:r>
        <w:rPr>
          <w:rFonts w:hint="eastAsia" w:ascii="宋体" w:hAnsi="宋体"/>
          <w:color w:val="auto"/>
          <w:szCs w:val="21"/>
          <w:highlight w:val="none"/>
          <w:lang w:eastAsia="zh-CN"/>
        </w:rPr>
        <w:t>甲方</w:t>
      </w:r>
      <w:r>
        <w:rPr>
          <w:rFonts w:hint="eastAsia" w:ascii="宋体" w:hAnsi="宋体"/>
          <w:color w:val="auto"/>
          <w:szCs w:val="21"/>
          <w:highlight w:val="none"/>
        </w:rPr>
        <w:t>有权委托第三方维修，所产生的维修费用由</w:t>
      </w:r>
      <w:r>
        <w:rPr>
          <w:rFonts w:hint="eastAsia" w:ascii="宋体" w:hAnsi="宋体"/>
          <w:color w:val="auto"/>
          <w:szCs w:val="21"/>
          <w:highlight w:val="none"/>
          <w:lang w:eastAsia="zh-CN"/>
        </w:rPr>
        <w:t>乙方</w:t>
      </w:r>
      <w:r>
        <w:rPr>
          <w:rFonts w:hint="eastAsia" w:ascii="宋体" w:hAnsi="宋体"/>
          <w:color w:val="auto"/>
          <w:szCs w:val="21"/>
          <w:highlight w:val="none"/>
        </w:rPr>
        <w:t>承担。</w:t>
      </w:r>
    </w:p>
    <w:p w14:paraId="337252DF">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缺陷处理：</w:t>
      </w:r>
    </w:p>
    <w:p w14:paraId="30A9838A">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在</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内，若发现产品存有任何缺陷，</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应在收到</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发出书面</w:t>
      </w:r>
      <w:r>
        <w:rPr>
          <w:rFonts w:ascii="宋体" w:hAnsi="宋体" w:cs="Arial"/>
          <w:color w:val="auto"/>
          <w:szCs w:val="21"/>
          <w:highlight w:val="none"/>
        </w:rPr>
        <w:t>通知</w:t>
      </w:r>
      <w:r>
        <w:rPr>
          <w:rFonts w:hint="eastAsia" w:ascii="宋体" w:hAnsi="宋体" w:cs="Arial"/>
          <w:color w:val="auto"/>
          <w:szCs w:val="21"/>
          <w:highlight w:val="none"/>
        </w:rPr>
        <w:t>所列更换需求后合理时间内进行更换。</w:t>
      </w:r>
    </w:p>
    <w:p w14:paraId="03E6D567">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若上述缺陷，系由于合同产品所使用基础材料或生产技术不符合本合同约定</w:t>
      </w:r>
      <w:r>
        <w:rPr>
          <w:rFonts w:ascii="宋体" w:hAnsi="宋体" w:cs="Arial"/>
          <w:color w:val="auto"/>
          <w:szCs w:val="21"/>
          <w:highlight w:val="none"/>
        </w:rPr>
        <w:t>/行业规定，或是由于</w:t>
      </w:r>
      <w:r>
        <w:rPr>
          <w:rFonts w:hint="eastAsia" w:ascii="宋体" w:hAnsi="宋体" w:cs="Arial"/>
          <w:color w:val="auto"/>
          <w:szCs w:val="21"/>
          <w:highlight w:val="none"/>
          <w:lang w:eastAsia="zh-CN"/>
        </w:rPr>
        <w:t>乙方</w:t>
      </w:r>
      <w:r>
        <w:rPr>
          <w:rFonts w:ascii="宋体" w:hAnsi="宋体" w:cs="Arial"/>
          <w:color w:val="auto"/>
          <w:szCs w:val="21"/>
          <w:highlight w:val="none"/>
        </w:rPr>
        <w:t>责任而造成，合同产品本身的拆除及更换费用及由此引起的其它拆除、搬位及修复的费用等均由</w:t>
      </w:r>
      <w:r>
        <w:rPr>
          <w:rFonts w:hint="eastAsia" w:ascii="宋体" w:hAnsi="宋体" w:cs="Arial"/>
          <w:color w:val="auto"/>
          <w:szCs w:val="21"/>
          <w:highlight w:val="none"/>
          <w:lang w:eastAsia="zh-CN"/>
        </w:rPr>
        <w:t>乙方</w:t>
      </w:r>
      <w:r>
        <w:rPr>
          <w:rFonts w:ascii="宋体" w:hAnsi="宋体" w:cs="Arial"/>
          <w:color w:val="auto"/>
          <w:szCs w:val="21"/>
          <w:highlight w:val="none"/>
        </w:rPr>
        <w:t>负担。</w:t>
      </w:r>
    </w:p>
    <w:p w14:paraId="6C3EBBA2">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满，</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未提出合同产品存有缺陷或</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已对相关缺陷予以修复并经</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确认的，</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相关质保责任已完成，但隐蔽性、合理的检查和试验都不能发觉的缺陷除外。</w:t>
      </w:r>
    </w:p>
    <w:p w14:paraId="04DAB1D4">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仅就整体合同产品而言，若合同产品个别零部件规定有较长质保期的，则</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应按照相关规定提供质保服务。</w:t>
      </w:r>
    </w:p>
    <w:p w14:paraId="2C43D092">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在质保</w:t>
      </w:r>
      <w:r>
        <w:rPr>
          <w:rFonts w:ascii="宋体" w:hAnsi="宋体"/>
          <w:color w:val="auto"/>
          <w:szCs w:val="21"/>
          <w:highlight w:val="none"/>
        </w:rPr>
        <w:t>/保修期内，如</w:t>
      </w:r>
      <w:r>
        <w:rPr>
          <w:rFonts w:hint="eastAsia" w:ascii="宋体" w:hAnsi="宋体"/>
          <w:color w:val="auto"/>
          <w:szCs w:val="21"/>
          <w:highlight w:val="none"/>
          <w:lang w:eastAsia="zh-CN"/>
        </w:rPr>
        <w:t>乙方</w:t>
      </w:r>
      <w:r>
        <w:rPr>
          <w:rFonts w:ascii="宋体" w:hAnsi="宋体"/>
          <w:color w:val="auto"/>
          <w:szCs w:val="21"/>
          <w:highlight w:val="none"/>
        </w:rPr>
        <w:t>对合同产品进行了技术改进，且</w:t>
      </w:r>
      <w:r>
        <w:rPr>
          <w:rFonts w:hint="eastAsia" w:ascii="宋体" w:hAnsi="宋体"/>
          <w:color w:val="auto"/>
          <w:szCs w:val="21"/>
          <w:highlight w:val="none"/>
          <w:lang w:eastAsia="zh-CN"/>
        </w:rPr>
        <w:t>甲方</w:t>
      </w:r>
      <w:r>
        <w:rPr>
          <w:rFonts w:ascii="宋体" w:hAnsi="宋体"/>
          <w:color w:val="auto"/>
          <w:szCs w:val="21"/>
          <w:highlight w:val="none"/>
        </w:rPr>
        <w:t>认为这项改进对</w:t>
      </w:r>
      <w:r>
        <w:rPr>
          <w:rFonts w:hint="eastAsia" w:ascii="宋体" w:hAnsi="宋体"/>
          <w:color w:val="auto"/>
          <w:szCs w:val="21"/>
          <w:highlight w:val="none"/>
          <w:lang w:eastAsia="zh-CN"/>
        </w:rPr>
        <w:t>甲方</w:t>
      </w:r>
      <w:r>
        <w:rPr>
          <w:rFonts w:ascii="宋体" w:hAnsi="宋体"/>
          <w:color w:val="auto"/>
          <w:szCs w:val="21"/>
          <w:highlight w:val="none"/>
        </w:rPr>
        <w:t>有重要意义并对产品运行维护具有实用价值，</w:t>
      </w:r>
      <w:r>
        <w:rPr>
          <w:rFonts w:hint="eastAsia" w:ascii="宋体" w:hAnsi="宋体"/>
          <w:color w:val="auto"/>
          <w:szCs w:val="21"/>
          <w:highlight w:val="none"/>
          <w:lang w:eastAsia="zh-CN"/>
        </w:rPr>
        <w:t>乙方</w:t>
      </w:r>
      <w:r>
        <w:rPr>
          <w:rFonts w:ascii="宋体" w:hAnsi="宋体"/>
          <w:color w:val="auto"/>
          <w:szCs w:val="21"/>
          <w:highlight w:val="none"/>
        </w:rPr>
        <w:t>应向</w:t>
      </w:r>
      <w:r>
        <w:rPr>
          <w:rFonts w:hint="eastAsia" w:ascii="宋体" w:hAnsi="宋体"/>
          <w:color w:val="auto"/>
          <w:szCs w:val="21"/>
          <w:highlight w:val="none"/>
          <w:lang w:eastAsia="zh-CN"/>
        </w:rPr>
        <w:t>甲方</w:t>
      </w:r>
      <w:r>
        <w:rPr>
          <w:rFonts w:ascii="宋体" w:hAnsi="宋体"/>
          <w:color w:val="auto"/>
          <w:szCs w:val="21"/>
          <w:highlight w:val="none"/>
        </w:rPr>
        <w:t>提供与这些技术改进有关的详细技术资料。对于增加硬件或合同产品功能所做的技术改进，具体费用由双方进一步协商确定。一旦达成协议，</w:t>
      </w:r>
      <w:r>
        <w:rPr>
          <w:rFonts w:hint="eastAsia" w:ascii="宋体" w:hAnsi="宋体"/>
          <w:color w:val="auto"/>
          <w:szCs w:val="21"/>
          <w:highlight w:val="none"/>
          <w:lang w:eastAsia="zh-CN"/>
        </w:rPr>
        <w:t>甲方</w:t>
      </w:r>
      <w:r>
        <w:rPr>
          <w:rFonts w:ascii="宋体" w:hAnsi="宋体"/>
          <w:color w:val="auto"/>
          <w:szCs w:val="21"/>
          <w:highlight w:val="none"/>
        </w:rPr>
        <w:t>将按照双方约定的交易条件与</w:t>
      </w:r>
      <w:r>
        <w:rPr>
          <w:rFonts w:hint="eastAsia" w:ascii="宋体" w:hAnsi="宋体"/>
          <w:color w:val="auto"/>
          <w:szCs w:val="21"/>
          <w:highlight w:val="none"/>
          <w:lang w:eastAsia="zh-CN"/>
        </w:rPr>
        <w:t>乙方</w:t>
      </w:r>
      <w:r>
        <w:rPr>
          <w:rFonts w:ascii="宋体" w:hAnsi="宋体"/>
          <w:color w:val="auto"/>
          <w:szCs w:val="21"/>
          <w:highlight w:val="none"/>
        </w:rPr>
        <w:t>签订补充协议。</w:t>
      </w:r>
    </w:p>
    <w:p w14:paraId="153EAE84">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乙方</w:t>
      </w:r>
      <w:r>
        <w:rPr>
          <w:rFonts w:hint="eastAsia" w:ascii="宋体" w:hAnsi="宋体"/>
          <w:color w:val="auto"/>
          <w:szCs w:val="21"/>
          <w:highlight w:val="none"/>
        </w:rPr>
        <w:t>应存有足够供给</w:t>
      </w:r>
      <w:r>
        <w:rPr>
          <w:rFonts w:hint="eastAsia" w:ascii="宋体" w:hAnsi="宋体"/>
          <w:color w:val="auto"/>
          <w:szCs w:val="21"/>
          <w:highlight w:val="none"/>
          <w:lang w:eastAsia="zh-CN"/>
        </w:rPr>
        <w:t>甲方</w:t>
      </w:r>
      <w:r>
        <w:rPr>
          <w:rFonts w:hint="eastAsia" w:ascii="宋体" w:hAnsi="宋体"/>
          <w:color w:val="auto"/>
          <w:szCs w:val="21"/>
          <w:highlight w:val="none"/>
        </w:rPr>
        <w:t>替换或紧急所需之零部件、备品备件及易损件存货以满</w:t>
      </w:r>
      <w:r>
        <w:rPr>
          <w:rFonts w:ascii="宋体" w:hAnsi="宋体"/>
          <w:color w:val="auto"/>
          <w:szCs w:val="21"/>
          <w:highlight w:val="none"/>
        </w:rPr>
        <w:t>足保修期内</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维修</w:t>
      </w:r>
      <w:r>
        <w:rPr>
          <w:rFonts w:ascii="宋体" w:hAnsi="宋体"/>
          <w:color w:val="auto"/>
          <w:szCs w:val="21"/>
          <w:highlight w:val="none"/>
        </w:rPr>
        <w:t>的需求</w:t>
      </w:r>
      <w:r>
        <w:rPr>
          <w:rFonts w:hint="eastAsia" w:ascii="宋体" w:hAnsi="宋体"/>
          <w:color w:val="auto"/>
          <w:szCs w:val="21"/>
          <w:highlight w:val="none"/>
        </w:rPr>
        <w:t>。</w:t>
      </w:r>
    </w:p>
    <w:p w14:paraId="6510D6BB">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六</w:t>
      </w:r>
      <w:r>
        <w:rPr>
          <w:rFonts w:hint="eastAsia" w:ascii="宋体" w:hAnsi="宋体" w:cs="Times New Roman"/>
          <w:b/>
          <w:color w:val="auto"/>
          <w:kern w:val="2"/>
          <w:sz w:val="21"/>
          <w:szCs w:val="21"/>
          <w:highlight w:val="none"/>
          <w:u w:val="none"/>
          <w:lang w:eastAsia="zh-CN"/>
        </w:rPr>
        <w:t>、不可抗力与情势变更</w:t>
      </w:r>
    </w:p>
    <w:p w14:paraId="3403A9D8">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存续期间，如发生火灾、台风、洪水、地震、塌方、海啸、瘟疫、海险、战争（不论是否宣战）、内乱、封锁、军事征用、怠工、罢工、停工、工业设施的事故或瘫痪，以及其他双方共同认为属于不可抗力的原因而被迫停止或推迟合同的执行，则合同执行相应顺延，顺延时间等于不可抗力持续的时间。</w:t>
      </w:r>
    </w:p>
    <w:p w14:paraId="67E7ABC4">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在不可抗力出现之七天内，受影响的一方应尽快通过电传或传真通知另一方，并提供一份有关权威机构出具的证明以便另一方核实和确认。</w:t>
      </w:r>
    </w:p>
    <w:p w14:paraId="48B73999">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受影响的一方在不可抗力终止或被排除后应尽快通过电传或传真通知另一方不可抗力已终止或排除，同时尽全力弥补因遭受不可抗力给另一方造成的延误。</w:t>
      </w:r>
    </w:p>
    <w:p w14:paraId="4E47B55D">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如不可抗力持续作用超过三</w:t>
      </w:r>
      <w:r>
        <w:rPr>
          <w:rFonts w:ascii="宋体" w:hAnsi="宋体"/>
          <w:color w:val="auto"/>
          <w:szCs w:val="21"/>
          <w:highlight w:val="none"/>
        </w:rPr>
        <w:t>十（30</w:t>
      </w:r>
      <w:r>
        <w:rPr>
          <w:rFonts w:hint="eastAsia" w:ascii="宋体" w:hAnsi="宋体"/>
          <w:color w:val="auto"/>
          <w:szCs w:val="21"/>
          <w:highlight w:val="none"/>
        </w:rPr>
        <w:t>）天，双方将通过友好协商解决合同执行问题。</w:t>
      </w:r>
    </w:p>
    <w:p w14:paraId="0B095C0B">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本合同存续期间，如发生政治、经济、金融、法律或其他方面的重大变故，继续履行本合同已无实质意义，双方可协商暂缓或终止本合同，任何一方均不承担责任。</w:t>
      </w:r>
    </w:p>
    <w:p w14:paraId="21D0D19C">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双方签订本合</w:t>
      </w:r>
      <w:r>
        <w:rPr>
          <w:rFonts w:ascii="宋体" w:hAnsi="宋体"/>
          <w:color w:val="auto"/>
          <w:szCs w:val="21"/>
          <w:highlight w:val="none"/>
        </w:rPr>
        <w:t>同</w:t>
      </w:r>
      <w:r>
        <w:rPr>
          <w:rFonts w:hint="eastAsia" w:ascii="宋体" w:hAnsi="宋体"/>
          <w:color w:val="auto"/>
          <w:szCs w:val="21"/>
          <w:highlight w:val="none"/>
        </w:rPr>
        <w:t>是依照协议签订时的国家现行政策、法律法规制定的。如果本合同履行过程中遇法律、法规、政策等的变化致使任何一方无法履行本合同的，双方不负任何法律责任。</w:t>
      </w:r>
    </w:p>
    <w:p w14:paraId="3DF99F58">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七</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保密条款</w:t>
      </w:r>
    </w:p>
    <w:p w14:paraId="676BACE2">
      <w:pPr>
        <w:pStyle w:val="21"/>
        <w:spacing w:before="120" w:line="360" w:lineRule="exact"/>
        <w:rPr>
          <w:rFonts w:ascii="宋体" w:hAnsi="宋体"/>
          <w:color w:val="auto"/>
          <w:szCs w:val="21"/>
          <w:highlight w:val="none"/>
        </w:rPr>
      </w:pPr>
      <w:r>
        <w:rPr>
          <w:rFonts w:hint="eastAsia" w:ascii="宋体" w:hAnsi="宋体"/>
          <w:color w:val="auto"/>
          <w:szCs w:val="21"/>
          <w:highlight w:val="none"/>
        </w:rPr>
        <w:t>双方同意，在签署及实施本合同过程中所知悉的对方所有文件、资料、信息、数据、档案、技术文件、设计方案、市场经营信息等，无论该等信息表现形式为书面的、口头的、电子数据或以其他载体记载的文字、图案和数据等均被视为保密信息，双方承诺并保证其委托参与事务相关人员不将上述保密信息用于本合同之外的任何目的，遵守本条款之约定。</w:t>
      </w:r>
    </w:p>
    <w:p w14:paraId="3B374E86">
      <w:pPr>
        <w:spacing w:before="120" w:after="0" w:line="360" w:lineRule="exact"/>
        <w:jc w:val="both"/>
        <w:outlineLvl w:val="0"/>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八</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抗辩</w:t>
      </w:r>
    </w:p>
    <w:p w14:paraId="706C4CC6">
      <w:pPr>
        <w:spacing w:before="120" w:after="0" w:line="360" w:lineRule="exact"/>
        <w:ind w:firstLine="420" w:firstLineChars="200"/>
        <w:jc w:val="both"/>
        <w:rPr>
          <w:rFonts w:ascii="宋体" w:hAnsi="宋体" w:cs="Times New Roman"/>
          <w:color w:val="auto"/>
          <w:kern w:val="2"/>
          <w:sz w:val="21"/>
          <w:szCs w:val="21"/>
          <w:highlight w:val="none"/>
          <w:lang w:eastAsia="zh-CN"/>
        </w:rPr>
      </w:pPr>
      <w:r>
        <w:rPr>
          <w:rFonts w:hint="eastAsia" w:ascii="宋体" w:hAnsi="宋体" w:cs="Times New Roman"/>
          <w:color w:val="auto"/>
          <w:kern w:val="2"/>
          <w:sz w:val="21"/>
          <w:szCs w:val="21"/>
          <w:highlight w:val="none"/>
          <w:lang w:eastAsia="zh-CN"/>
        </w:rPr>
        <w:t>因乙方及其相关人员违反本合同条款而引起的第三方对乙方</w:t>
      </w:r>
      <w:r>
        <w:rPr>
          <w:rFonts w:ascii="宋体" w:hAnsi="宋体" w:cs="Times New Roman"/>
          <w:color w:val="auto"/>
          <w:kern w:val="2"/>
          <w:sz w:val="21"/>
          <w:szCs w:val="21"/>
          <w:highlight w:val="none"/>
          <w:lang w:eastAsia="zh-CN"/>
        </w:rPr>
        <w:t>的任何交涉、要求、诉讼、索赔或禁止，</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应为</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抗辩，或在</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的要求下合作抗辩，保护</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的利益不受损害，</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应承担因此给</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带来的所有费用、罚款、律师费及损害赔偿等。</w:t>
      </w:r>
    </w:p>
    <w:p w14:paraId="4DF7F21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7F6A707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4C614B8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7D5E796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5652C19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7B594B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（以下无正文）</w:t>
      </w:r>
    </w:p>
    <w:p w14:paraId="189320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甲方名称：                   甲方</w:t>
      </w:r>
      <w:r>
        <w:rPr>
          <w:rFonts w:hint="eastAsia" w:ascii="宋体" w:hAnsi="宋体" w:cs="宋体"/>
          <w:b/>
          <w:bCs/>
          <w:color w:val="auto"/>
          <w:sz w:val="21"/>
          <w:szCs w:val="21"/>
          <w:highlight w:val="none"/>
          <w:lang w:val="en-US" w:eastAsia="zh-CN"/>
        </w:rPr>
        <w:t>盖章：</w:t>
      </w:r>
    </w:p>
    <w:p w14:paraId="1D3034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14:paraId="28F496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14:paraId="18F352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14:paraId="3F24ED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14:paraId="068892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开户行：                      账号： </w:t>
      </w:r>
    </w:p>
    <w:p w14:paraId="1DDC69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14:paraId="211DBE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14:paraId="4048F3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乙方名称：                  乙方</w:t>
      </w:r>
      <w:r>
        <w:rPr>
          <w:rFonts w:hint="eastAsia" w:ascii="宋体" w:hAnsi="宋体" w:cs="宋体"/>
          <w:b/>
          <w:bCs/>
          <w:color w:val="auto"/>
          <w:sz w:val="21"/>
          <w:szCs w:val="21"/>
          <w:highlight w:val="none"/>
          <w:lang w:val="en-US" w:eastAsia="zh-CN"/>
        </w:rPr>
        <w:t xml:space="preserve">盖章： </w:t>
      </w:r>
    </w:p>
    <w:p w14:paraId="64EEC66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14:paraId="3088C51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14:paraId="25BA6B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14:paraId="47CA79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14:paraId="216B2D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开户行：                       账号：</w:t>
      </w:r>
    </w:p>
    <w:p w14:paraId="129F10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3BA64B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18B965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7CCC848D">
      <w:pPr>
        <w:pStyle w:val="17"/>
        <w:rPr>
          <w:rFonts w:hint="eastAsia"/>
          <w:color w:val="auto"/>
          <w:sz w:val="21"/>
          <w:szCs w:val="21"/>
          <w:highlight w:val="none"/>
          <w:vertAlign w:val="baseline"/>
          <w:lang w:val="en-US" w:eastAsia="zh-CN"/>
        </w:rPr>
      </w:pPr>
    </w:p>
    <w:p w14:paraId="45828440">
      <w:pPr>
        <w:pStyle w:val="17"/>
        <w:rPr>
          <w:rFonts w:hint="eastAsia"/>
          <w:color w:val="auto"/>
          <w:sz w:val="21"/>
          <w:szCs w:val="21"/>
          <w:highlight w:val="none"/>
          <w:vertAlign w:val="baseline"/>
          <w:lang w:val="en-US" w:eastAsia="zh-CN"/>
        </w:rPr>
      </w:pPr>
    </w:p>
    <w:p w14:paraId="3D10231F">
      <w:pPr>
        <w:pStyle w:val="17"/>
        <w:rPr>
          <w:rFonts w:hint="eastAsia"/>
          <w:color w:val="auto"/>
          <w:sz w:val="21"/>
          <w:szCs w:val="21"/>
          <w:highlight w:val="none"/>
          <w:vertAlign w:val="baseline"/>
          <w:lang w:val="en-US" w:eastAsia="zh-CN"/>
        </w:rPr>
      </w:pPr>
    </w:p>
    <w:p w14:paraId="6EFC882C">
      <w:pPr>
        <w:pStyle w:val="17"/>
        <w:rPr>
          <w:rFonts w:hint="eastAsia"/>
          <w:color w:val="auto"/>
          <w:sz w:val="21"/>
          <w:szCs w:val="21"/>
          <w:highlight w:val="none"/>
          <w:vertAlign w:val="baseline"/>
          <w:lang w:val="en-US" w:eastAsia="zh-CN"/>
        </w:rPr>
      </w:pPr>
    </w:p>
    <w:p w14:paraId="007DE775">
      <w:pPr>
        <w:pStyle w:val="17"/>
        <w:rPr>
          <w:rFonts w:hint="eastAsia"/>
          <w:color w:val="auto"/>
          <w:sz w:val="21"/>
          <w:szCs w:val="21"/>
          <w:highlight w:val="none"/>
          <w:vertAlign w:val="baseline"/>
          <w:lang w:val="en-US" w:eastAsia="zh-CN"/>
        </w:rPr>
      </w:pPr>
    </w:p>
    <w:p w14:paraId="35FD22D2">
      <w:pPr>
        <w:pStyle w:val="17"/>
        <w:rPr>
          <w:rFonts w:hint="eastAsia"/>
          <w:color w:val="auto"/>
          <w:sz w:val="21"/>
          <w:szCs w:val="21"/>
          <w:highlight w:val="none"/>
          <w:vertAlign w:val="baseline"/>
          <w:lang w:val="en-US" w:eastAsia="zh-CN"/>
        </w:rPr>
      </w:pPr>
    </w:p>
    <w:p w14:paraId="1B57CF1D">
      <w:pPr>
        <w:pStyle w:val="17"/>
        <w:rPr>
          <w:rFonts w:hint="eastAsia"/>
          <w:color w:val="auto"/>
          <w:sz w:val="21"/>
          <w:szCs w:val="21"/>
          <w:highlight w:val="none"/>
          <w:vertAlign w:val="baseline"/>
          <w:lang w:val="en-US" w:eastAsia="zh-CN"/>
        </w:rPr>
      </w:pPr>
    </w:p>
    <w:p w14:paraId="1E60F8C3">
      <w:pPr>
        <w:pStyle w:val="17"/>
        <w:rPr>
          <w:rFonts w:hint="eastAsia"/>
          <w:color w:val="auto"/>
          <w:sz w:val="21"/>
          <w:szCs w:val="21"/>
          <w:highlight w:val="none"/>
          <w:vertAlign w:val="baseline"/>
          <w:lang w:val="en-US" w:eastAsia="zh-CN"/>
        </w:rPr>
      </w:pPr>
    </w:p>
    <w:p w14:paraId="4EA53BEE">
      <w:pPr>
        <w:pStyle w:val="17"/>
        <w:rPr>
          <w:rFonts w:hint="eastAsia"/>
          <w:color w:val="auto"/>
          <w:sz w:val="21"/>
          <w:szCs w:val="21"/>
          <w:highlight w:val="none"/>
          <w:vertAlign w:val="baseline"/>
          <w:lang w:val="en-US" w:eastAsia="zh-CN"/>
        </w:rPr>
      </w:pPr>
    </w:p>
    <w:p w14:paraId="4EA183D7">
      <w:pPr>
        <w:pStyle w:val="17"/>
        <w:rPr>
          <w:rFonts w:hint="eastAsia"/>
          <w:color w:val="auto"/>
          <w:sz w:val="21"/>
          <w:szCs w:val="21"/>
          <w:highlight w:val="none"/>
          <w:vertAlign w:val="baseline"/>
          <w:lang w:val="en-US" w:eastAsia="zh-CN"/>
        </w:rPr>
      </w:pPr>
    </w:p>
    <w:p w14:paraId="4841E383">
      <w:pPr>
        <w:pStyle w:val="17"/>
        <w:rPr>
          <w:rFonts w:hint="eastAsia"/>
          <w:color w:val="auto"/>
          <w:sz w:val="21"/>
          <w:szCs w:val="21"/>
          <w:highlight w:val="none"/>
          <w:vertAlign w:val="baseline"/>
          <w:lang w:val="en-US" w:eastAsia="zh-CN"/>
        </w:rPr>
      </w:pPr>
    </w:p>
    <w:p w14:paraId="5BB543F2">
      <w:pPr>
        <w:pStyle w:val="17"/>
        <w:rPr>
          <w:rFonts w:hint="eastAsia"/>
          <w:color w:val="auto"/>
          <w:sz w:val="21"/>
          <w:szCs w:val="21"/>
          <w:highlight w:val="none"/>
          <w:vertAlign w:val="baseline"/>
          <w:lang w:val="en-US" w:eastAsia="zh-CN"/>
        </w:rPr>
      </w:pPr>
    </w:p>
    <w:p w14:paraId="4734058F">
      <w:pPr>
        <w:pStyle w:val="17"/>
        <w:rPr>
          <w:rFonts w:hint="eastAsia"/>
          <w:color w:val="auto"/>
          <w:sz w:val="21"/>
          <w:szCs w:val="21"/>
          <w:highlight w:val="none"/>
          <w:vertAlign w:val="baseline"/>
          <w:lang w:val="en-US" w:eastAsia="zh-CN"/>
        </w:rPr>
      </w:pPr>
    </w:p>
    <w:p w14:paraId="7FD6FE02">
      <w:pPr>
        <w:pStyle w:val="17"/>
        <w:rPr>
          <w:rFonts w:hint="eastAsia"/>
          <w:color w:val="auto"/>
          <w:sz w:val="21"/>
          <w:szCs w:val="21"/>
          <w:highlight w:val="none"/>
          <w:vertAlign w:val="baseline"/>
          <w:lang w:val="en-US" w:eastAsia="zh-CN"/>
        </w:rPr>
      </w:pPr>
    </w:p>
    <w:p w14:paraId="556ECEC6">
      <w:pPr>
        <w:pStyle w:val="17"/>
        <w:rPr>
          <w:rFonts w:hint="eastAsia"/>
          <w:color w:val="auto"/>
          <w:sz w:val="21"/>
          <w:szCs w:val="21"/>
          <w:highlight w:val="none"/>
          <w:vertAlign w:val="baseline"/>
          <w:lang w:val="en-US" w:eastAsia="zh-CN"/>
        </w:rPr>
      </w:pPr>
    </w:p>
    <w:p w14:paraId="0A10DAC6">
      <w:pPr>
        <w:pStyle w:val="17"/>
        <w:rPr>
          <w:rFonts w:hint="eastAsia"/>
          <w:color w:val="auto"/>
          <w:sz w:val="21"/>
          <w:szCs w:val="21"/>
          <w:highlight w:val="none"/>
          <w:vertAlign w:val="baseline"/>
          <w:lang w:val="en-US" w:eastAsia="zh-CN"/>
        </w:rPr>
      </w:pPr>
    </w:p>
    <w:p w14:paraId="3BC83B7D">
      <w:pPr>
        <w:pStyle w:val="17"/>
        <w:rPr>
          <w:rFonts w:hint="eastAsia"/>
          <w:color w:val="auto"/>
          <w:sz w:val="21"/>
          <w:szCs w:val="21"/>
          <w:highlight w:val="none"/>
          <w:vertAlign w:val="baseline"/>
          <w:lang w:val="en-US" w:eastAsia="zh-CN"/>
        </w:rPr>
      </w:pPr>
    </w:p>
    <w:p w14:paraId="42DA14F4">
      <w:pPr>
        <w:pStyle w:val="17"/>
        <w:rPr>
          <w:rFonts w:hint="eastAsia"/>
          <w:color w:val="auto"/>
          <w:sz w:val="21"/>
          <w:szCs w:val="21"/>
          <w:highlight w:val="none"/>
          <w:vertAlign w:val="baseline"/>
          <w:lang w:val="en-US" w:eastAsia="zh-CN"/>
        </w:rPr>
      </w:pPr>
    </w:p>
    <w:p w14:paraId="3C0810A5">
      <w:pPr>
        <w:pStyle w:val="17"/>
        <w:rPr>
          <w:rFonts w:hint="eastAsia"/>
          <w:color w:val="auto"/>
          <w:sz w:val="21"/>
          <w:szCs w:val="21"/>
          <w:highlight w:val="none"/>
          <w:vertAlign w:val="baseline"/>
          <w:lang w:val="en-US" w:eastAsia="zh-CN"/>
        </w:rPr>
      </w:pPr>
    </w:p>
    <w:p w14:paraId="556154C9">
      <w:pPr>
        <w:pStyle w:val="17"/>
        <w:rPr>
          <w:rFonts w:hint="eastAsia"/>
          <w:color w:val="auto"/>
          <w:sz w:val="21"/>
          <w:szCs w:val="21"/>
          <w:highlight w:val="none"/>
          <w:vertAlign w:val="baseline"/>
          <w:lang w:val="en-US" w:eastAsia="zh-CN"/>
        </w:rPr>
      </w:pPr>
    </w:p>
    <w:p w14:paraId="12F13038">
      <w:pPr>
        <w:rPr>
          <w:rFonts w:hint="eastAsia" w:ascii="黑体"/>
          <w:b/>
          <w:color w:val="auto"/>
          <w:sz w:val="21"/>
          <w:szCs w:val="28"/>
          <w:highlight w:val="none"/>
          <w:lang w:eastAsia="zh-CN"/>
        </w:rPr>
      </w:pPr>
    </w:p>
    <w:p w14:paraId="0F73A710">
      <w:pPr>
        <w:snapToGrid w:val="0"/>
        <w:spacing w:before="156" w:beforeLines="50" w:line="480" w:lineRule="exact"/>
        <w:rPr>
          <w:rFonts w:ascii="黑体"/>
          <w:b/>
          <w:color w:val="auto"/>
          <w:sz w:val="21"/>
          <w:szCs w:val="28"/>
          <w:highlight w:val="none"/>
          <w:lang w:eastAsia="zh-CN"/>
        </w:rPr>
      </w:pPr>
      <w:r>
        <w:rPr>
          <w:rFonts w:hint="eastAsia" w:ascii="黑体"/>
          <w:b/>
          <w:color w:val="auto"/>
          <w:sz w:val="21"/>
          <w:szCs w:val="28"/>
          <w:highlight w:val="none"/>
          <w:lang w:eastAsia="zh-CN"/>
        </w:rPr>
        <w:t>附件：《廉洁协议》</w:t>
      </w:r>
    </w:p>
    <w:p w14:paraId="331B8A5B">
      <w:pPr>
        <w:snapToGrid w:val="0"/>
        <w:spacing w:before="156" w:beforeLines="50" w:line="480" w:lineRule="exact"/>
        <w:jc w:val="center"/>
        <w:rPr>
          <w:rFonts w:ascii="黑体"/>
          <w:b/>
          <w:color w:val="auto"/>
          <w:sz w:val="28"/>
          <w:szCs w:val="28"/>
          <w:highlight w:val="none"/>
          <w:lang w:eastAsia="zh-CN"/>
        </w:rPr>
      </w:pPr>
      <w:r>
        <w:rPr>
          <w:rFonts w:hint="eastAsia" w:ascii="黑体"/>
          <w:b/>
          <w:color w:val="auto"/>
          <w:sz w:val="28"/>
          <w:szCs w:val="28"/>
          <w:highlight w:val="none"/>
          <w:lang w:eastAsia="zh-CN"/>
        </w:rPr>
        <w:t>廉  洁  协  议</w:t>
      </w:r>
    </w:p>
    <w:p w14:paraId="58B994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 w:val="21"/>
          <w:szCs w:val="21"/>
          <w:highlight w:val="none"/>
          <w:vertAlign w:val="baseline"/>
          <w:lang w:val="en-US" w:eastAsia="zh-CN"/>
        </w:rPr>
      </w:pPr>
      <w:r>
        <w:rPr>
          <w:rFonts w:hint="eastAsia"/>
          <w:color w:val="auto"/>
          <w:szCs w:val="21"/>
          <w:highlight w:val="none"/>
          <w:lang w:eastAsia="zh-CN"/>
        </w:rPr>
        <w:t>甲方（采购方）</w:t>
      </w:r>
      <w:r>
        <w:rPr>
          <w:color w:val="auto"/>
          <w:szCs w:val="21"/>
          <w:highlight w:val="none"/>
          <w:lang w:eastAsia="zh-CN"/>
        </w:rPr>
        <w:t>：</w:t>
      </w:r>
      <w:r>
        <w:rPr>
          <w:rFonts w:hint="eastAsia"/>
          <w:color w:val="auto"/>
          <w:szCs w:val="21"/>
          <w:highlight w:val="none"/>
          <w:lang w:val="en-US" w:eastAsia="zh-CN"/>
        </w:rPr>
        <w:t>中国机械总院集团海西（福建）分院有限公司</w:t>
      </w:r>
    </w:p>
    <w:p w14:paraId="796D260B">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Cs w:val="21"/>
          <w:highlight w:val="none"/>
          <w:lang w:eastAsia="zh-CN"/>
        </w:rPr>
      </w:pPr>
      <w:r>
        <w:rPr>
          <w:rFonts w:hint="eastAsia"/>
          <w:color w:val="auto"/>
          <w:szCs w:val="21"/>
          <w:highlight w:val="none"/>
          <w:lang w:eastAsia="zh-CN"/>
        </w:rPr>
        <w:t>乙方（供应商）</w:t>
      </w:r>
      <w:r>
        <w:rPr>
          <w:color w:val="auto"/>
          <w:szCs w:val="21"/>
          <w:highlight w:val="none"/>
          <w:lang w:eastAsia="zh-CN"/>
        </w:rPr>
        <w:t>：</w:t>
      </w:r>
    </w:p>
    <w:p w14:paraId="24E0C7AC">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为促进甲乙双方廉洁高效合作，防止各种不正当行为的发生，促使双方工作人员廉洁从业，按照《中华人民共和国民法典》、《中华人民共和国反不正当竞争法》、《关于禁止商业贿赂行为的暂行规定》和国家其他相关法律法规关于廉政建设的相关规定，经甲乙双方协商一致，自愿签订如下廉洁协议：</w:t>
      </w:r>
    </w:p>
    <w:p w14:paraId="7E67EB6D">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一、双方应当自觉遵守国家和地方关于公平交易、廉洁自律、反腐败的各项规定。</w:t>
      </w:r>
    </w:p>
    <w:p w14:paraId="58E53669">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二、甲方及其工作人员不得以任何形式向乙方索要和收受回扣等好处。</w:t>
      </w:r>
    </w:p>
    <w:p w14:paraId="59EFD3CE">
      <w:pPr>
        <w:tabs>
          <w:tab w:val="left" w:pos="0"/>
          <w:tab w:val="left" w:pos="142"/>
        </w:tabs>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三、甲方工作人员应当保持与乙方的正常业务交往，不得接受乙方的礼金、有价证券和贵重物品，不得在乙方处报销任何应由个人支付的费用。</w:t>
      </w:r>
    </w:p>
    <w:p w14:paraId="204F32F4">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四、甲方工作人员不得参加可能对公正执行职务有影响的宴请和娱乐活动。</w:t>
      </w:r>
    </w:p>
    <w:p w14:paraId="578F8640">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五、甲方工作人员不得要求或者接受乙方为其住房装修、婚丧嫁娶、家属和子女的工作安排以及出国等提乙方便。</w:t>
      </w:r>
    </w:p>
    <w:p w14:paraId="6D0DB915">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六、甲方工作人员不得向乙方介绍家属或者亲友从事与甲方采购有关的材料、设备供应、提供相关服务等经济活动。</w:t>
      </w:r>
    </w:p>
    <w:p w14:paraId="45A54C71">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七、乙方应当通过正常途径开展相对业务工作，不得为获取某些不正当利益而向甲方工作人员赠送礼金、有价证券和贵重物品等。</w:t>
      </w:r>
    </w:p>
    <w:p w14:paraId="41EE67AF">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八、乙方不得为谋取私利擅自与甲方工作人员就双方合同洽谈、签订及履行过程中的相关问题的处理进行私下商谈或者达成默契。</w:t>
      </w:r>
    </w:p>
    <w:p w14:paraId="5C4AB3A9">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九、乙方不得以洽谈业务、签订合同为借口，邀请甲方工作人员外出旅游或/和进入营业性高档娱乐场所。</w:t>
      </w:r>
    </w:p>
    <w:p w14:paraId="284CB923">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十、乙方不得为甲方单位、个人购置或提供通讯工具、交通工具、家电、高档办公用品等物品。</w:t>
      </w:r>
    </w:p>
    <w:p w14:paraId="22EDBF03">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十一、乙方不得与甲方单位或个人及其亲友间进行任何形式之借贷、租赁、投资及任何非直接工作往来的活动。</w:t>
      </w:r>
    </w:p>
    <w:p w14:paraId="73AFC7AB">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二、乙方如发现甲方工作人员在日常业务过程中有任何索贿行为，乙方必须立即拒绝，并向甲方单位举报。若乙方对甲方人员的索贿行为不拒绝、不举报，并满足其要求的，则该行为视同乙方的贿赂行为，乙方应当承担相应的责任。甲方不得以任何借口对乙方的举报行为进行报复。甲方对举报属实和严格遵守廉洁协议的乙方，在同等条件下优先列入甲方合格供应商名录。</w:t>
      </w:r>
    </w:p>
    <w:p w14:paraId="5BA9DDED">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三、甲方发现乙方有违反本协议或者采用不正当的手段行贿甲方工作人员行为的，甲方根据具体情节和造成的后果，将有权：①将乙方列为不合格供应商并不再与乙方开展任何形式的合作；②立即终止与乙方签订的尚未履行完毕的合同；③要求乙方按双方签订的合同总金额的</w:t>
      </w:r>
      <w:r>
        <w:rPr>
          <w:rFonts w:ascii="宋体" w:hAnsi="宋体"/>
          <w:color w:val="auto"/>
          <w:szCs w:val="21"/>
          <w:highlight w:val="none"/>
          <w:lang w:eastAsia="zh-CN"/>
        </w:rPr>
        <w:t>l</w:t>
      </w:r>
      <w:r>
        <w:rPr>
          <w:rFonts w:hint="eastAsia" w:ascii="宋体" w:hAnsi="宋体"/>
          <w:color w:val="auto"/>
          <w:szCs w:val="21"/>
          <w:highlight w:val="none"/>
          <w:lang w:eastAsia="zh-CN"/>
        </w:rPr>
        <w:t>-</w:t>
      </w:r>
      <w:r>
        <w:rPr>
          <w:rFonts w:ascii="宋体" w:hAnsi="宋体"/>
          <w:color w:val="auto"/>
          <w:szCs w:val="21"/>
          <w:highlight w:val="none"/>
          <w:lang w:eastAsia="zh-CN"/>
        </w:rPr>
        <w:t>5</w:t>
      </w:r>
      <w:r>
        <w:rPr>
          <w:rFonts w:hint="eastAsia" w:ascii="宋体" w:hAnsi="宋体"/>
          <w:color w:val="auto"/>
          <w:szCs w:val="21"/>
          <w:highlight w:val="none"/>
          <w:lang w:eastAsia="zh-CN"/>
        </w:rPr>
        <w:t>％的向甲方支付违约金；④如由此给甲方造成其他损失的均由乙方全部承担；⑤乙方用不正当手段获取的非法所得由甲方予以追缴；⑥对涉及的相关人员，由甲方移送有关主管部门按有关规定进行查处。</w:t>
      </w:r>
    </w:p>
    <w:p w14:paraId="5CC97A21">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十四、本《廉洁协议》作为甲乙双方签订的采购合同的有效附件，并与采购合同具有同等法律效力。</w:t>
      </w:r>
    </w:p>
    <w:p w14:paraId="6B5B7F8E">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十五、双方采购业务关系变更或解除，不影响甲方按本协议约定向乙方追究责任及要求赔偿损失的权利。</w:t>
      </w:r>
    </w:p>
    <w:p w14:paraId="01C4F98E">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十六、本协议一式贰份，甲、乙双方各执壹份。</w:t>
      </w:r>
    </w:p>
    <w:p w14:paraId="0E37644F">
      <w:pPr>
        <w:pStyle w:val="17"/>
        <w:spacing w:line="360" w:lineRule="auto"/>
        <w:ind w:left="0" w:leftChars="0" w:firstLine="0" w:firstLineChars="0"/>
        <w:rPr>
          <w:rFonts w:ascii="宋体" w:hAnsi="宋体" w:eastAsia="宋体" w:cs="宋体"/>
          <w:sz w:val="24"/>
          <w:szCs w:val="24"/>
          <w:highlight w:val="none"/>
        </w:rPr>
      </w:pPr>
    </w:p>
    <w:sectPr>
      <w:headerReference r:id="rId8" w:type="default"/>
      <w:footerReference r:id="rId9" w:type="default"/>
      <w:pgSz w:w="11905" w:h="16838"/>
      <w:pgMar w:top="1389" w:right="1202" w:bottom="1389" w:left="1434" w:header="851"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31B4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FC39F">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59663">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2459663">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2EE1A">
    <w:pPr>
      <w:pStyle w:val="10"/>
    </w:pPr>
    <w:r>
      <mc:AlternateContent>
        <mc:Choice Requires="wps">
          <w:drawing>
            <wp:anchor distT="0" distB="0" distL="114300" distR="114300" simplePos="0" relativeHeight="251659264" behindDoc="0" locked="0" layoutInCell="1" allowOverlap="1">
              <wp:simplePos x="0" y="0"/>
              <wp:positionH relativeFrom="margin">
                <wp:posOffset>2907030</wp:posOffset>
              </wp:positionH>
              <wp:positionV relativeFrom="paragraph">
                <wp:posOffset>635</wp:posOffset>
              </wp:positionV>
              <wp:extent cx="289560" cy="171450"/>
              <wp:effectExtent l="0" t="0" r="1524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D868B">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8.9pt;margin-top:0.05pt;height:13.5pt;width:22.8pt;mso-position-horizontal-relative:margin;z-index:251659264;mso-width-relative:page;mso-height-relative:page;" filled="f" stroked="f" coordsize="21600,21600" o:gfxdata="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0BGI1QAAAAcBAAAPAAAAAAAAAAEAIAAAACIAAABkcnMvZG93bnJldi54bWxQSwEC&#10;FAAUAAAACACHTuJArhTFAjACAABXBAAADgAAAAAAAAABACAAAAAkAQAAZHJzL2Uyb0RvYy54bWxQ&#10;SwUGAAAAAAYABgBZAQAAxgUAAAAA&#10;">
              <v:fill on="f" focussize="0,0"/>
              <v:stroke on="f" weight="0.5pt"/>
              <v:imagedata o:title=""/>
              <o:lock v:ext="edit" aspectratio="f"/>
              <v:textbox inset="0mm,0mm,0mm,0mm">
                <w:txbxContent>
                  <w:p w14:paraId="138D868B">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9795D">
    <w:pPr>
      <w:spacing w:before="224" w:line="185" w:lineRule="auto"/>
      <w:ind w:firstLine="1802"/>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2B027">
    <w:pPr>
      <w:spacing w:before="224" w:line="185" w:lineRule="auto"/>
      <w:rPr>
        <w:rFonts w:ascii="宋体" w:hAnsi="宋体" w:eastAsia="宋体" w:cs="宋体"/>
        <w:sz w:val="28"/>
        <w:szCs w:val="28"/>
      </w:rPr>
    </w:pPr>
    <w:r>
      <w:drawing>
        <wp:inline distT="0" distB="0" distL="114300" distR="114300">
          <wp:extent cx="3980815" cy="428625"/>
          <wp:effectExtent l="0" t="0" r="0" b="0"/>
          <wp:docPr id="1" name="图片 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机械总院集团海西（福建）分院有限公司"/>
                  <pic:cNvPicPr>
                    <a:picLocks noChangeAspect="1"/>
                  </pic:cNvPicPr>
                </pic:nvPicPr>
                <pic:blipFill>
                  <a:blip r:embed="rId1"/>
                  <a:srcRect l="6195" t="36732" b="24043"/>
                  <a:stretch>
                    <a:fillRect/>
                  </a:stretch>
                </pic:blipFill>
                <pic:spPr>
                  <a:xfrm>
                    <a:off x="0" y="0"/>
                    <a:ext cx="3980815" cy="428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44283">
    <w:pPr>
      <w:spacing w:before="224" w:line="185" w:lineRule="auto"/>
      <w:rPr>
        <w:rFonts w:hint="eastAsia" w:ascii="宋体" w:hAnsi="宋体" w:eastAsia="宋体" w:cs="宋体"/>
        <w:sz w:val="28"/>
        <w:szCs w:val="28"/>
        <w:lang w:eastAsia="zh-CN"/>
      </w:rPr>
    </w:pPr>
    <w:r>
      <w:drawing>
        <wp:inline distT="0" distB="0" distL="114300" distR="114300">
          <wp:extent cx="3848100" cy="6477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812EA">
    <w:pPr>
      <w:spacing w:before="224" w:line="185" w:lineRule="auto"/>
      <w:rPr>
        <w:rFonts w:ascii="宋体" w:hAnsi="宋体" w:eastAsia="宋体" w:cs="宋体"/>
        <w:sz w:val="28"/>
        <w:szCs w:val="28"/>
      </w:rPr>
    </w:pPr>
    <w:bookmarkStart w:id="7" w:name="_bookmark18"/>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BEB22"/>
    <w:multiLevelType w:val="singleLevel"/>
    <w:tmpl w:val="8AABEB22"/>
    <w:lvl w:ilvl="0" w:tentative="0">
      <w:start w:val="3"/>
      <w:numFmt w:val="chineseCounting"/>
      <w:suff w:val="nothing"/>
      <w:lvlText w:val="%1、"/>
      <w:lvlJc w:val="left"/>
      <w:rPr>
        <w:rFonts w:hint="eastAsia"/>
      </w:rPr>
    </w:lvl>
  </w:abstractNum>
  <w:abstractNum w:abstractNumId="1">
    <w:nsid w:val="A5F09BD6"/>
    <w:multiLevelType w:val="singleLevel"/>
    <w:tmpl w:val="A5F09BD6"/>
    <w:lvl w:ilvl="0" w:tentative="0">
      <w:start w:val="1"/>
      <w:numFmt w:val="decimal"/>
      <w:suff w:val="nothing"/>
      <w:lvlText w:val="%1、"/>
      <w:lvlJc w:val="left"/>
    </w:lvl>
  </w:abstractNum>
  <w:abstractNum w:abstractNumId="2">
    <w:nsid w:val="E757BAAB"/>
    <w:multiLevelType w:val="singleLevel"/>
    <w:tmpl w:val="E757BAAB"/>
    <w:lvl w:ilvl="0" w:tentative="0">
      <w:start w:val="3"/>
      <w:numFmt w:val="decimal"/>
      <w:suff w:val="nothing"/>
      <w:lvlText w:val="%1、"/>
      <w:lvlJc w:val="left"/>
    </w:lvl>
  </w:abstractNum>
  <w:abstractNum w:abstractNumId="3">
    <w:nsid w:val="12A8B50E"/>
    <w:multiLevelType w:val="singleLevel"/>
    <w:tmpl w:val="12A8B50E"/>
    <w:lvl w:ilvl="0" w:tentative="0">
      <w:start w:val="2"/>
      <w:numFmt w:val="chineseCounting"/>
      <w:suff w:val="nothing"/>
      <w:lvlText w:val="%1、"/>
      <w:lvlJc w:val="left"/>
      <w:rPr>
        <w:rFonts w:hint="eastAsia"/>
      </w:rPr>
    </w:lvl>
  </w:abstractNum>
  <w:abstractNum w:abstractNumId="4">
    <w:nsid w:val="1A1831C9"/>
    <w:multiLevelType w:val="multilevel"/>
    <w:tmpl w:val="1A1831C9"/>
    <w:lvl w:ilvl="0" w:tentative="0">
      <w:start w:val="1"/>
      <w:numFmt w:val="decimal"/>
      <w:lvlText w:val="（%1）"/>
      <w:lvlJc w:val="left"/>
      <w:pPr>
        <w:ind w:left="720" w:hanging="360"/>
      </w:pPr>
      <w:rPr>
        <w:sz w:val="23"/>
        <w:szCs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BEE2314"/>
    <w:multiLevelType w:val="multilevel"/>
    <w:tmpl w:val="1BEE2314"/>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2E90870"/>
    <w:multiLevelType w:val="multilevel"/>
    <w:tmpl w:val="22E90870"/>
    <w:lvl w:ilvl="0" w:tentative="0">
      <w:start w:val="1"/>
      <w:numFmt w:val="decimal"/>
      <w:lvlText w:val="（%1）"/>
      <w:lvlJc w:val="left"/>
      <w:pPr>
        <w:ind w:left="900" w:hanging="360"/>
      </w:pPr>
      <w:rPr>
        <w:sz w:val="23"/>
        <w:szCs w:val="23"/>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7">
    <w:nsid w:val="460C6A6F"/>
    <w:multiLevelType w:val="singleLevel"/>
    <w:tmpl w:val="460C6A6F"/>
    <w:lvl w:ilvl="0" w:tentative="0">
      <w:start w:val="1"/>
      <w:numFmt w:val="japaneseCounting"/>
      <w:lvlText w:val="%1."/>
      <w:lvlJc w:val="left"/>
      <w:pPr>
        <w:tabs>
          <w:tab w:val="left" w:pos="420"/>
        </w:tabs>
        <w:ind w:left="420" w:hanging="420"/>
      </w:pPr>
    </w:lvl>
  </w:abstractNum>
  <w:abstractNum w:abstractNumId="8">
    <w:nsid w:val="65361B2D"/>
    <w:multiLevelType w:val="multilevel"/>
    <w:tmpl w:val="65361B2D"/>
    <w:lvl w:ilvl="0" w:tentative="0">
      <w:start w:val="1"/>
      <w:numFmt w:val="decimal"/>
      <w:lvlText w:val="（%1）"/>
      <w:lvlJc w:val="left"/>
      <w:pPr>
        <w:ind w:left="995" w:hanging="360"/>
      </w:pPr>
      <w:rPr>
        <w:sz w:val="23"/>
        <w:szCs w:val="23"/>
      </w:rPr>
    </w:lvl>
    <w:lvl w:ilvl="1" w:tentative="0">
      <w:start w:val="1"/>
      <w:numFmt w:val="lowerLetter"/>
      <w:lvlText w:val="%2."/>
      <w:lvlJc w:val="left"/>
      <w:pPr>
        <w:ind w:left="1715" w:hanging="360"/>
      </w:pPr>
    </w:lvl>
    <w:lvl w:ilvl="2" w:tentative="0">
      <w:start w:val="1"/>
      <w:numFmt w:val="lowerRoman"/>
      <w:lvlText w:val="%3."/>
      <w:lvlJc w:val="right"/>
      <w:pPr>
        <w:ind w:left="2435" w:hanging="180"/>
      </w:pPr>
    </w:lvl>
    <w:lvl w:ilvl="3" w:tentative="0">
      <w:start w:val="1"/>
      <w:numFmt w:val="decimal"/>
      <w:lvlText w:val="%4."/>
      <w:lvlJc w:val="left"/>
      <w:pPr>
        <w:ind w:left="3155" w:hanging="360"/>
      </w:pPr>
    </w:lvl>
    <w:lvl w:ilvl="4" w:tentative="0">
      <w:start w:val="1"/>
      <w:numFmt w:val="lowerLetter"/>
      <w:lvlText w:val="%5."/>
      <w:lvlJc w:val="left"/>
      <w:pPr>
        <w:ind w:left="3875" w:hanging="360"/>
      </w:pPr>
    </w:lvl>
    <w:lvl w:ilvl="5" w:tentative="0">
      <w:start w:val="1"/>
      <w:numFmt w:val="lowerRoman"/>
      <w:lvlText w:val="%6."/>
      <w:lvlJc w:val="right"/>
      <w:pPr>
        <w:ind w:left="4595" w:hanging="180"/>
      </w:pPr>
    </w:lvl>
    <w:lvl w:ilvl="6" w:tentative="0">
      <w:start w:val="1"/>
      <w:numFmt w:val="decimal"/>
      <w:lvlText w:val="%7."/>
      <w:lvlJc w:val="left"/>
      <w:pPr>
        <w:ind w:left="5315" w:hanging="360"/>
      </w:pPr>
    </w:lvl>
    <w:lvl w:ilvl="7" w:tentative="0">
      <w:start w:val="1"/>
      <w:numFmt w:val="lowerLetter"/>
      <w:lvlText w:val="%8."/>
      <w:lvlJc w:val="left"/>
      <w:pPr>
        <w:ind w:left="6035" w:hanging="360"/>
      </w:pPr>
    </w:lvl>
    <w:lvl w:ilvl="8" w:tentative="0">
      <w:start w:val="1"/>
      <w:numFmt w:val="lowerRoman"/>
      <w:lvlText w:val="%9."/>
      <w:lvlJc w:val="right"/>
      <w:pPr>
        <w:ind w:left="6755" w:hanging="180"/>
      </w:pPr>
    </w:lvl>
  </w:abstractNum>
  <w:abstractNum w:abstractNumId="9">
    <w:nsid w:val="730AF3BB"/>
    <w:multiLevelType w:val="singleLevel"/>
    <w:tmpl w:val="730AF3BB"/>
    <w:lvl w:ilvl="0" w:tentative="0">
      <w:start w:val="1"/>
      <w:numFmt w:val="chineseCounting"/>
      <w:suff w:val="nothing"/>
      <w:lvlText w:val="%1、"/>
      <w:lvlJc w:val="left"/>
      <w:rPr>
        <w:rFonts w:hint="eastAsia"/>
      </w:rPr>
    </w:lvl>
  </w:abstractNum>
  <w:num w:numId="1">
    <w:abstractNumId w:val="9"/>
  </w:num>
  <w:num w:numId="2">
    <w:abstractNumId w:val="2"/>
  </w:num>
  <w:num w:numId="3">
    <w:abstractNumId w:val="7"/>
    <w:lvlOverride w:ilvl="0">
      <w:startOverride w:val="1"/>
    </w:lvlOverride>
  </w:num>
  <w:num w:numId="4">
    <w:abstractNumId w:val="3"/>
  </w:num>
  <w:num w:numId="5">
    <w:abstractNumId w:val="0"/>
  </w:num>
  <w:num w:numId="6">
    <w:abstractNumId w:val="1"/>
  </w:num>
  <w:num w:numId="7">
    <w:abstractNumId w:val="5"/>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OTJiYmQ3YzljZTYyMTM2MjJmNmY3MDhhN2FjMWMifQ=="/>
  </w:docVars>
  <w:rsids>
    <w:rsidRoot w:val="78EE6CAC"/>
    <w:rsid w:val="00044EF2"/>
    <w:rsid w:val="001A50E8"/>
    <w:rsid w:val="001C3F19"/>
    <w:rsid w:val="00212D19"/>
    <w:rsid w:val="00254D24"/>
    <w:rsid w:val="007F65BF"/>
    <w:rsid w:val="00834647"/>
    <w:rsid w:val="009922AC"/>
    <w:rsid w:val="00AB69B7"/>
    <w:rsid w:val="00CD3536"/>
    <w:rsid w:val="00DF42CC"/>
    <w:rsid w:val="00E306D6"/>
    <w:rsid w:val="00EE42BF"/>
    <w:rsid w:val="00F639E6"/>
    <w:rsid w:val="00F84B9D"/>
    <w:rsid w:val="01DE5DA6"/>
    <w:rsid w:val="0247556A"/>
    <w:rsid w:val="032B09E8"/>
    <w:rsid w:val="04243986"/>
    <w:rsid w:val="045F783F"/>
    <w:rsid w:val="04892C2C"/>
    <w:rsid w:val="065625D5"/>
    <w:rsid w:val="066C0621"/>
    <w:rsid w:val="070315CB"/>
    <w:rsid w:val="08E31B8A"/>
    <w:rsid w:val="0AD75C84"/>
    <w:rsid w:val="0B923CFA"/>
    <w:rsid w:val="0BCD088E"/>
    <w:rsid w:val="0DB61B71"/>
    <w:rsid w:val="0F707EAE"/>
    <w:rsid w:val="0F821347"/>
    <w:rsid w:val="0F935D46"/>
    <w:rsid w:val="10400AA6"/>
    <w:rsid w:val="10685029"/>
    <w:rsid w:val="119D5615"/>
    <w:rsid w:val="11C46BCB"/>
    <w:rsid w:val="11F63442"/>
    <w:rsid w:val="1441006B"/>
    <w:rsid w:val="14725320"/>
    <w:rsid w:val="14A910E0"/>
    <w:rsid w:val="162714E3"/>
    <w:rsid w:val="165D18B7"/>
    <w:rsid w:val="169561AB"/>
    <w:rsid w:val="17910EDC"/>
    <w:rsid w:val="17F463E4"/>
    <w:rsid w:val="17F906B8"/>
    <w:rsid w:val="185365BF"/>
    <w:rsid w:val="189240B8"/>
    <w:rsid w:val="19416EE3"/>
    <w:rsid w:val="199155F1"/>
    <w:rsid w:val="19F83B84"/>
    <w:rsid w:val="1A2B2E16"/>
    <w:rsid w:val="1A3441CE"/>
    <w:rsid w:val="1CA420EE"/>
    <w:rsid w:val="1D294680"/>
    <w:rsid w:val="1D406077"/>
    <w:rsid w:val="1DB76376"/>
    <w:rsid w:val="1E885C52"/>
    <w:rsid w:val="1F9C01BD"/>
    <w:rsid w:val="209854B7"/>
    <w:rsid w:val="21091236"/>
    <w:rsid w:val="22C96EF1"/>
    <w:rsid w:val="22EB3E7F"/>
    <w:rsid w:val="22F1792F"/>
    <w:rsid w:val="24151D08"/>
    <w:rsid w:val="242E4612"/>
    <w:rsid w:val="2483647E"/>
    <w:rsid w:val="262056BE"/>
    <w:rsid w:val="268A5E9B"/>
    <w:rsid w:val="26CB4A58"/>
    <w:rsid w:val="27230389"/>
    <w:rsid w:val="28677A51"/>
    <w:rsid w:val="28872C4F"/>
    <w:rsid w:val="29211B9F"/>
    <w:rsid w:val="295E6B72"/>
    <w:rsid w:val="29864257"/>
    <w:rsid w:val="29DE5491"/>
    <w:rsid w:val="2B3838F7"/>
    <w:rsid w:val="2CD14227"/>
    <w:rsid w:val="2D42232F"/>
    <w:rsid w:val="2D823A51"/>
    <w:rsid w:val="2DFC193A"/>
    <w:rsid w:val="2F032695"/>
    <w:rsid w:val="30000983"/>
    <w:rsid w:val="303625F7"/>
    <w:rsid w:val="305A4537"/>
    <w:rsid w:val="30D2231F"/>
    <w:rsid w:val="317038E6"/>
    <w:rsid w:val="32714F51"/>
    <w:rsid w:val="32F07319"/>
    <w:rsid w:val="33227389"/>
    <w:rsid w:val="336B5443"/>
    <w:rsid w:val="33FF1058"/>
    <w:rsid w:val="36E0150E"/>
    <w:rsid w:val="37851EB2"/>
    <w:rsid w:val="37A833E7"/>
    <w:rsid w:val="37CA1AB9"/>
    <w:rsid w:val="38402D6A"/>
    <w:rsid w:val="38C22E16"/>
    <w:rsid w:val="391F2F2E"/>
    <w:rsid w:val="3A8546AF"/>
    <w:rsid w:val="3B0F23C2"/>
    <w:rsid w:val="3C005BD0"/>
    <w:rsid w:val="3C236D8A"/>
    <w:rsid w:val="3C903289"/>
    <w:rsid w:val="3CA8662A"/>
    <w:rsid w:val="3D430101"/>
    <w:rsid w:val="3D9B1CEB"/>
    <w:rsid w:val="3DE83A67"/>
    <w:rsid w:val="3E211490"/>
    <w:rsid w:val="4004001B"/>
    <w:rsid w:val="404A1D0D"/>
    <w:rsid w:val="40C529A0"/>
    <w:rsid w:val="42CD2946"/>
    <w:rsid w:val="43C244D6"/>
    <w:rsid w:val="45C049E4"/>
    <w:rsid w:val="462C44F0"/>
    <w:rsid w:val="46A75AA7"/>
    <w:rsid w:val="46B97F68"/>
    <w:rsid w:val="46D64C42"/>
    <w:rsid w:val="47100713"/>
    <w:rsid w:val="474C1085"/>
    <w:rsid w:val="49203109"/>
    <w:rsid w:val="49861AA1"/>
    <w:rsid w:val="4A3E237C"/>
    <w:rsid w:val="4A946FEA"/>
    <w:rsid w:val="4AB34057"/>
    <w:rsid w:val="4AE14A72"/>
    <w:rsid w:val="4B17213F"/>
    <w:rsid w:val="4B5E45B8"/>
    <w:rsid w:val="4BF71DFE"/>
    <w:rsid w:val="4C0E5B77"/>
    <w:rsid w:val="4DC57782"/>
    <w:rsid w:val="4DF810AC"/>
    <w:rsid w:val="50F10148"/>
    <w:rsid w:val="517645ED"/>
    <w:rsid w:val="51792D37"/>
    <w:rsid w:val="53DA462E"/>
    <w:rsid w:val="53DA53DB"/>
    <w:rsid w:val="54393EBB"/>
    <w:rsid w:val="55061CE8"/>
    <w:rsid w:val="55B013F5"/>
    <w:rsid w:val="55CA11C1"/>
    <w:rsid w:val="5621082A"/>
    <w:rsid w:val="5756111B"/>
    <w:rsid w:val="582864A7"/>
    <w:rsid w:val="5A13454B"/>
    <w:rsid w:val="5A1D7123"/>
    <w:rsid w:val="5A513A05"/>
    <w:rsid w:val="5DC2080A"/>
    <w:rsid w:val="5E4733C9"/>
    <w:rsid w:val="5E9A1B85"/>
    <w:rsid w:val="62680A1B"/>
    <w:rsid w:val="62E9512A"/>
    <w:rsid w:val="62FD1B62"/>
    <w:rsid w:val="641C7C95"/>
    <w:rsid w:val="656B5F2D"/>
    <w:rsid w:val="65B23EF2"/>
    <w:rsid w:val="661A046E"/>
    <w:rsid w:val="662F0F0F"/>
    <w:rsid w:val="66E858A7"/>
    <w:rsid w:val="670A1B0C"/>
    <w:rsid w:val="67FF3F88"/>
    <w:rsid w:val="680B0D7B"/>
    <w:rsid w:val="684828EC"/>
    <w:rsid w:val="688B7DEC"/>
    <w:rsid w:val="6A6D4009"/>
    <w:rsid w:val="6B1B44E6"/>
    <w:rsid w:val="6BB169FA"/>
    <w:rsid w:val="6BB807AA"/>
    <w:rsid w:val="6C1A00FB"/>
    <w:rsid w:val="6C4907A0"/>
    <w:rsid w:val="6C4A4810"/>
    <w:rsid w:val="6C615D2A"/>
    <w:rsid w:val="6EA4278C"/>
    <w:rsid w:val="6EB20C15"/>
    <w:rsid w:val="6F014E03"/>
    <w:rsid w:val="6FCA62DC"/>
    <w:rsid w:val="72486553"/>
    <w:rsid w:val="733C304D"/>
    <w:rsid w:val="750A0CFF"/>
    <w:rsid w:val="75832656"/>
    <w:rsid w:val="76BC0952"/>
    <w:rsid w:val="788A2AAC"/>
    <w:rsid w:val="78EE6CAC"/>
    <w:rsid w:val="79F214BE"/>
    <w:rsid w:val="7A7953A0"/>
    <w:rsid w:val="7B5405E5"/>
    <w:rsid w:val="7BFE037F"/>
    <w:rsid w:val="7C3B7E88"/>
    <w:rsid w:val="7C603C27"/>
    <w:rsid w:val="7C975798"/>
    <w:rsid w:val="7CE714EC"/>
    <w:rsid w:val="7CFB448E"/>
    <w:rsid w:val="7D3B19E1"/>
    <w:rsid w:val="7D507F04"/>
    <w:rsid w:val="7EB4439D"/>
    <w:rsid w:val="7EBD3628"/>
    <w:rsid w:val="7F03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50" w:beforeLines="50" w:line="360" w:lineRule="auto"/>
      <w:outlineLvl w:val="1"/>
    </w:pPr>
    <w:rPr>
      <w:rFonts w:eastAsia="宋体"/>
      <w:b/>
      <w:bCs/>
      <w:szCs w:val="32"/>
    </w:rPr>
  </w:style>
  <w:style w:type="paragraph" w:styleId="4">
    <w:name w:val="heading 3"/>
    <w:basedOn w:val="1"/>
    <w:next w:val="1"/>
    <w:qFormat/>
    <w:uiPriority w:val="0"/>
    <w:pPr>
      <w:keepNext/>
      <w:keepLines/>
      <w:spacing w:before="260" w:after="260" w:line="416" w:lineRule="auto"/>
      <w:jc w:val="center"/>
      <w:outlineLvl w:val="2"/>
    </w:pPr>
    <w:rPr>
      <w:bCs/>
      <w:sz w:val="28"/>
      <w:szCs w:val="32"/>
    </w:rPr>
  </w:style>
  <w:style w:type="paragraph" w:styleId="5">
    <w:name w:val="heading 4"/>
    <w:basedOn w:val="1"/>
    <w:next w:val="1"/>
    <w:qFormat/>
    <w:uiPriority w:val="0"/>
    <w:pPr>
      <w:keepNext/>
      <w:spacing w:line="300" w:lineRule="exact"/>
      <w:jc w:val="center"/>
      <w:outlineLvl w:val="3"/>
    </w:pPr>
    <w:rPr>
      <w:rFonts w:ascii="楷体_GB2312" w:eastAsia="楷体_GB2312"/>
      <w:color w:val="800080"/>
      <w:sz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sz w:val="20"/>
      <w:szCs w:val="20"/>
    </w:rPr>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qFormat/>
    <w:uiPriority w:val="1"/>
    <w:rPr>
      <w:rFonts w:ascii="宋体" w:hAnsi="宋体" w:eastAsia="宋体" w:cs="宋体"/>
      <w:sz w:val="24"/>
      <w:szCs w:val="24"/>
      <w:lang w:val="zh-CN" w:bidi="zh-CN"/>
    </w:rPr>
  </w:style>
  <w:style w:type="paragraph" w:styleId="9">
    <w:name w:val="index 4"/>
    <w:basedOn w:val="1"/>
    <w:next w:val="1"/>
    <w:unhideWhenUsed/>
    <w:qFormat/>
    <w:uiPriority w:val="99"/>
    <w:pPr>
      <w:ind w:left="600" w:leftChars="600"/>
    </w:pPr>
    <w:rPr>
      <w:rFonts w:ascii="Verdana" w:hAnsi="Verdana"/>
      <w:szCs w:val="20"/>
    </w:rPr>
  </w:style>
  <w:style w:type="paragraph" w:styleId="10">
    <w:name w:val="footer"/>
    <w:basedOn w:val="1"/>
    <w:qFormat/>
    <w:uiPriority w:val="0"/>
    <w:pPr>
      <w:tabs>
        <w:tab w:val="center" w:pos="4153"/>
        <w:tab w:val="right" w:pos="8306"/>
      </w:tabs>
    </w:pPr>
    <w:rPr>
      <w:sz w:val="18"/>
    </w:rPr>
  </w:style>
  <w:style w:type="paragraph" w:styleId="11">
    <w:name w:val="header"/>
    <w:basedOn w:val="1"/>
    <w:unhideWhenUsed/>
    <w:qFormat/>
    <w:uiPriority w:val="99"/>
    <w:pPr>
      <w:pBdr>
        <w:bottom w:val="single" w:color="auto" w:sz="6" w:space="1"/>
      </w:pBdr>
      <w:tabs>
        <w:tab w:val="center" w:pos="4153"/>
        <w:tab w:val="right" w:pos="8306"/>
      </w:tabs>
      <w:jc w:val="center"/>
    </w:pPr>
    <w:rPr>
      <w:rFonts w:ascii="宋体" w:eastAsia="宋体"/>
      <w:sz w:val="18"/>
      <w:szCs w:val="18"/>
    </w:rPr>
  </w:style>
  <w:style w:type="paragraph" w:styleId="12">
    <w:name w:val="toc 1"/>
    <w:basedOn w:val="1"/>
    <w:next w:val="1"/>
    <w:qFormat/>
    <w:uiPriority w:val="39"/>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paragraph" w:customStyle="1" w:styleId="17">
    <w:name w:val="报告正文"/>
    <w:basedOn w:val="1"/>
    <w:qFormat/>
    <w:uiPriority w:val="99"/>
    <w:pPr>
      <w:spacing w:line="360" w:lineRule="auto"/>
      <w:ind w:firstLine="560" w:firstLineChars="200"/>
    </w:pPr>
    <w:rPr>
      <w:sz w:val="28"/>
      <w:szCs w:val="28"/>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font01"/>
    <w:basedOn w:val="15"/>
    <w:qFormat/>
    <w:uiPriority w:val="0"/>
    <w:rPr>
      <w:rFonts w:hint="eastAsia" w:ascii="宋体" w:hAnsi="宋体" w:eastAsia="宋体" w:cs="宋体"/>
      <w:color w:val="000000"/>
      <w:sz w:val="24"/>
      <w:szCs w:val="24"/>
      <w:u w:val="none"/>
      <w:vertAlign w:val="superscript"/>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styleId="21">
    <w:name w:val="List Paragraph"/>
    <w:basedOn w:val="1"/>
    <w:qFormat/>
    <w:uiPriority w:val="99"/>
    <w:pPr>
      <w:ind w:firstLine="420" w:firstLineChars="200"/>
    </w:pPr>
  </w:style>
  <w:style w:type="character" w:customStyle="1" w:styleId="22">
    <w:name w:val="font31"/>
    <w:basedOn w:val="15"/>
    <w:qFormat/>
    <w:uiPriority w:val="0"/>
    <w:rPr>
      <w:rFonts w:hint="eastAsia" w:ascii="宋体" w:hAnsi="宋体" w:eastAsia="宋体" w:cs="宋体"/>
      <w:b/>
      <w:bCs/>
      <w:color w:val="000000"/>
      <w:sz w:val="20"/>
      <w:szCs w:val="20"/>
      <w:u w:val="none"/>
    </w:rPr>
  </w:style>
  <w:style w:type="character" w:customStyle="1" w:styleId="23">
    <w:name w:val="font1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4833</Words>
  <Characters>5173</Characters>
  <Lines>44</Lines>
  <Paragraphs>12</Paragraphs>
  <TotalTime>1</TotalTime>
  <ScaleCrop>false</ScaleCrop>
  <LinksUpToDate>false</LinksUpToDate>
  <CharactersWithSpaces>5363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2022-03-25T00:19:00Z</dcterms:created>
  <dc:creator> Mr.Guang</dc:creator>
  <cp:lastModifiedBy>冷</cp:lastModifiedBy>
  <cp:lastPrinted>2024-05-29T00:12:00Z</cp:lastPrinted>
  <dcterms:modified xsi:type="dcterms:W3CDTF">2024-12-13T05:59:53Z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CC4CD2F9BC7D4203BD04080432E5664F_13</vt:lpwstr>
  </property>
</Properties>
</file>