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6490"/>
      <w:bookmarkStart w:id="1" w:name="_Toc2390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三、技术协议</w:t>
      </w:r>
      <w:bookmarkEnd w:id="0"/>
    </w:p>
    <w:p>
      <w:pPr>
        <w:widowControl w:val="0"/>
        <w:numPr>
          <w:ilvl w:val="0"/>
          <w:numId w:val="0"/>
        </w:numPr>
        <w:kinsoku/>
        <w:spacing w:line="360" w:lineRule="auto"/>
        <w:ind w:leftChars="0"/>
        <w:rPr>
          <w:rFonts w:hint="eastAsia"/>
        </w:rPr>
      </w:pPr>
      <w:r>
        <w:rPr>
          <w:rFonts w:hint="eastAsia" w:ascii="宋体" w:hAnsi="宋体" w:eastAsia="宋体" w:cs="宋体"/>
          <w:snapToGrid w:val="0"/>
          <w:color w:val="000000"/>
          <w:sz w:val="24"/>
          <w:szCs w:val="24"/>
          <w:highlight w:val="none"/>
          <w:lang w:val="en-US" w:eastAsia="zh-CN" w:bidi="ar-SA"/>
        </w:rPr>
        <w:t>投标人应符合以下要求：</w:t>
      </w:r>
    </w:p>
    <w:p>
      <w:pPr>
        <w:pStyle w:val="2"/>
        <w:spacing w:line="360" w:lineRule="auto"/>
        <w:rPr>
          <w:rFonts w:hint="eastAsia"/>
          <w:b/>
          <w:bCs/>
          <w:color w:val="auto"/>
          <w:lang w:val="en-US" w:eastAsia="zh-CN"/>
        </w:rPr>
      </w:pPr>
      <w:r>
        <w:rPr>
          <w:rFonts w:hint="eastAsia"/>
          <w:lang w:val="en-US" w:eastAsia="zh-CN"/>
        </w:rPr>
        <w:t>原材料理化指标：</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both"/>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等静压石墨尺寸（mm）</w:t>
            </w:r>
          </w:p>
        </w:tc>
        <w:tc>
          <w:tcPr>
            <w:tcW w:w="2424" w:type="dxa"/>
            <w:noWrap w:val="0"/>
            <w:vAlign w:val="center"/>
          </w:tcPr>
          <w:p>
            <w:pPr>
              <w:widowControl/>
              <w:jc w:val="center"/>
              <w:rPr>
                <w:rFonts w:hint="eastAsia" w:ascii="仿宋" w:hAnsi="仿宋" w:eastAsia="仿宋"/>
                <w:kern w:val="0"/>
                <w:sz w:val="24"/>
                <w:szCs w:val="24"/>
              </w:rPr>
            </w:pPr>
            <w:r>
              <w:rPr>
                <w:rFonts w:hint="eastAsia" w:asciiTheme="minorEastAsia" w:hAnsiTheme="minorEastAsia" w:eastAsiaTheme="minorEastAsia"/>
                <w:sz w:val="24"/>
                <w:szCs w:val="24"/>
                <w:lang w:val="en-US" w:eastAsia="zh-CN"/>
              </w:rPr>
              <w:t>760*370*230mm</w:t>
            </w:r>
          </w:p>
        </w:tc>
        <w:tc>
          <w:tcPr>
            <w:tcW w:w="3101" w:type="dxa"/>
            <w:noWrap w:val="0"/>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default" w:ascii="Arial" w:hAnsi="Arial" w:eastAsia="仿宋" w:cs="Arial"/>
                <w:kern w:val="0"/>
                <w:sz w:val="24"/>
                <w:szCs w:val="24"/>
              </w:rPr>
              <w:t>≥</w:t>
            </w:r>
            <w:r>
              <w:rPr>
                <w:rFonts w:hint="eastAsia" w:ascii="仿宋" w:hAnsi="仿宋" w:eastAsia="仿宋"/>
                <w:kern w:val="0"/>
                <w:sz w:val="24"/>
                <w:szCs w:val="24"/>
                <w:lang w:val="en-US" w:eastAsia="zh-CN"/>
              </w:rPr>
              <w:t>1.80</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12</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rPr>
              <w:t>≤</w:t>
            </w:r>
            <w:r>
              <w:rPr>
                <w:rFonts w:hint="eastAsia" w:ascii="仿宋" w:hAnsi="仿宋" w:eastAsia="仿宋"/>
                <w:kern w:val="0"/>
                <w:sz w:val="24"/>
                <w:szCs w:val="24"/>
                <w:lang w:val="en-US" w:eastAsia="zh-CN"/>
              </w:rPr>
              <w:t>300</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79</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37.2</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lang w:val="en-US" w:eastAsia="zh-CN"/>
              </w:rPr>
              <w:t>58</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2"/>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p>
    <w:p>
      <w:pPr>
        <w:widowControl w:val="0"/>
        <w:numPr>
          <w:ilvl w:val="0"/>
          <w:numId w:val="0"/>
        </w:numPr>
        <w:kinsoku/>
        <w:spacing w:line="360" w:lineRule="auto"/>
        <w:ind w:leftChars="0"/>
        <w:rPr>
          <w:rFonts w:hint="default" w:ascii="宋体" w:hAnsi="宋体" w:eastAsia="宋体" w:cs="宋体"/>
          <w:b/>
          <w:bCs/>
          <w:snapToGrid w:val="0"/>
          <w:color w:val="000000"/>
          <w:sz w:val="24"/>
          <w:szCs w:val="24"/>
          <w:highlight w:val="none"/>
          <w:lang w:val="en-US" w:eastAsia="zh-CN" w:bidi="ar-SA"/>
        </w:rPr>
      </w:pPr>
    </w:p>
    <w:p>
      <w:pP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2" w:name="_Toc14879"/>
      <w:r>
        <w:rPr>
          <w:rFonts w:hint="eastAsia" w:ascii="宋体" w:hAnsi="宋体" w:eastAsia="宋体" w:cs="宋体"/>
          <w:spacing w:val="0"/>
          <w:sz w:val="24"/>
          <w:szCs w:val="24"/>
        </w:rPr>
        <w:t>2. 投标资格（包括但不限于）：</w:t>
      </w:r>
      <w:bookmarkEnd w:id="2"/>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3" w:name="_Toc4816"/>
      <w:r>
        <w:rPr>
          <w:rFonts w:hint="eastAsia" w:ascii="宋体" w:hAnsi="宋体" w:eastAsia="宋体" w:cs="宋体"/>
          <w:spacing w:val="0"/>
          <w:sz w:val="24"/>
          <w:szCs w:val="24"/>
        </w:rPr>
        <w:t>2. 所有投标均以人民币报价。</w:t>
      </w:r>
      <w:bookmarkEnd w:id="3"/>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4" w:name="_Toc30571"/>
      <w:r>
        <w:rPr>
          <w:rFonts w:hint="eastAsia" w:ascii="宋体" w:hAnsi="宋体" w:eastAsia="宋体" w:cs="宋体"/>
          <w:spacing w:val="0"/>
          <w:sz w:val="24"/>
          <w:szCs w:val="24"/>
        </w:rPr>
        <w:t>1. 投标人应填写其单位名称全称。</w:t>
      </w:r>
      <w:bookmarkEnd w:id="4"/>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5" w:name="_Toc5695"/>
      <w:r>
        <w:rPr>
          <w:rFonts w:hint="eastAsia" w:ascii="宋体" w:hAnsi="宋体" w:eastAsia="宋体" w:cs="宋体"/>
          <w:spacing w:val="0"/>
          <w:sz w:val="24"/>
          <w:szCs w:val="24"/>
        </w:rPr>
        <w:t>1. 开标时，将按照招标人有关招投标规定执行。</w:t>
      </w:r>
      <w:bookmarkEnd w:id="5"/>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6" w:name="_Toc18886"/>
      <w:r>
        <w:rPr>
          <w:rFonts w:hint="eastAsia" w:ascii="宋体" w:hAnsi="宋体" w:eastAsia="宋体" w:cs="宋体"/>
          <w:spacing w:val="0"/>
          <w:sz w:val="24"/>
          <w:szCs w:val="24"/>
        </w:rPr>
        <w:t>3. 招标人不对未中标的投标人作任何解释，不退还投标文件。</w:t>
      </w:r>
      <w:bookmarkEnd w:id="6"/>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1"/>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7"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（项目名称）</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bookmarkEnd w:id="7"/>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8" w:name="_Toc71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6"/>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cols w:space="720" w:num="1"/>
        </w:sectPr>
      </w:pPr>
    </w:p>
    <w:bookmarkEnd w:id="8"/>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2"/>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2"/>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采购项目 </w:t>
      </w:r>
      <w:r>
        <w:rPr>
          <w:rFonts w:hint="eastAsia" w:asciiTheme="majorEastAsia" w:hAnsiTheme="majorEastAsia" w:eastAsiaTheme="majorEastAsia"/>
          <w:lang w:val="en-US"/>
        </w:rPr>
        <w:t>中成功中标，将认真履行项目投标文件要求，对该项目做出如下产品质量承诺：</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
        <w:spacing w:line="360" w:lineRule="auto"/>
        <w:ind w:firstLine="660" w:firstLineChars="275"/>
        <w:rPr>
          <w:lang w:val="en-US"/>
        </w:rPr>
      </w:pPr>
    </w:p>
    <w:p>
      <w:pPr>
        <w:pStyle w:val="2"/>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2"/>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spacing w:val="0"/>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848100" cy="64770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848100" cy="647700"/>
          <wp:effectExtent l="0" t="0" r="762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848100" cy="647700"/>
          <wp:effectExtent l="0" t="0" r="7620"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bookmarkStart w:id="9" w:name="_GoBack"/>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05A62CDF"/>
    <w:rsid w:val="14EB6229"/>
    <w:rsid w:val="1B062B4F"/>
    <w:rsid w:val="1C7776E9"/>
    <w:rsid w:val="1F124808"/>
    <w:rsid w:val="1F7D5EC8"/>
    <w:rsid w:val="233A2855"/>
    <w:rsid w:val="23F0235E"/>
    <w:rsid w:val="34E13436"/>
    <w:rsid w:val="355E51BA"/>
    <w:rsid w:val="36D30B9F"/>
    <w:rsid w:val="381A25FE"/>
    <w:rsid w:val="38463F94"/>
    <w:rsid w:val="41114D97"/>
    <w:rsid w:val="4554734F"/>
    <w:rsid w:val="4A61331A"/>
    <w:rsid w:val="50F8687A"/>
    <w:rsid w:val="516E1798"/>
    <w:rsid w:val="63722885"/>
    <w:rsid w:val="63A70B3A"/>
    <w:rsid w:val="6817628E"/>
    <w:rsid w:val="767E397C"/>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 w:type="paragraph" w:customStyle="1" w:styleId="8">
    <w:name w:val="报告正文"/>
    <w:basedOn w:val="1"/>
    <w:qFormat/>
    <w:uiPriority w:val="99"/>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2115</Words>
  <Characters>2176</Characters>
  <Lines>0</Lines>
  <Paragraphs>0</Paragraphs>
  <TotalTime>0</TotalTime>
  <ScaleCrop>false</ScaleCrop>
  <LinksUpToDate>false</LinksUpToDate>
  <CharactersWithSpaces>2583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2023-06-27T03:19:29Z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084D9C357DE1492FAF4F84E2B4CE83BD</vt:lpwstr>
  </property>
</Properties>
</file>