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line="185" w:lineRule="auto"/>
        <w:ind w:firstLine="4968" w:firstLineChars="1800"/>
        <w:outlineLvl w:val="0"/>
        <w:rPr>
          <w:rFonts w:hint="default" w:ascii="黑体"/>
          <w:lang w:val="en-US"/>
        </w:rPr>
      </w:pPr>
      <w:bookmarkStart w:id="0" w:name="_Toc5886"/>
      <w:r>
        <w:rPr>
          <w:rFonts w:ascii="宋体" w:hAnsi="宋体" w:eastAsia="宋体" w:cs="宋体"/>
          <w:spacing w:val="-2"/>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28"/>
          <w:szCs w:val="28"/>
        </w:rPr>
        <w:t>：</w:t>
      </w:r>
      <w:bookmarkEnd w:id="0"/>
      <w:r>
        <w:rPr>
          <w:rFonts w:hint="eastAsia" w:ascii="宋体" w:hAnsi="宋体" w:eastAsia="宋体" w:cs="宋体"/>
          <w:spacing w:val="-2"/>
          <w:sz w:val="28"/>
          <w:szCs w:val="28"/>
          <w:lang w:val="en-US" w:eastAsia="zh-CN"/>
        </w:rPr>
        <w:t xml:space="preserve"> </w:t>
      </w:r>
      <w:r>
        <w:rPr>
          <w:rFonts w:hint="eastAsia" w:asciiTheme="minorEastAsia" w:hAnsiTheme="minorEastAsia" w:eastAsiaTheme="minorEastAsia"/>
          <w:b w:val="0"/>
          <w:bCs w:val="0"/>
          <w:sz w:val="28"/>
          <w:szCs w:val="28"/>
          <w:highlight w:val="none"/>
        </w:rPr>
        <w:t>HXZB2023</w:t>
      </w:r>
      <w:r>
        <w:rPr>
          <w:rFonts w:hint="eastAsia" w:asciiTheme="minorEastAsia" w:hAnsiTheme="minorEastAsia" w:eastAsiaTheme="minorEastAsia"/>
          <w:b w:val="0"/>
          <w:bCs w:val="0"/>
          <w:sz w:val="28"/>
          <w:szCs w:val="28"/>
          <w:highlight w:val="none"/>
          <w:lang w:val="en-US" w:eastAsia="zh-CN"/>
        </w:rPr>
        <w:t>1107</w:t>
      </w:r>
      <w:r>
        <w:rPr>
          <w:rFonts w:asciiTheme="minorEastAsia" w:hAnsiTheme="minorEastAsia" w:eastAsiaTheme="minorEastAsia"/>
          <w:b w:val="0"/>
          <w:bCs w:val="0"/>
          <w:sz w:val="28"/>
          <w:szCs w:val="28"/>
          <w:highlight w:val="none"/>
        </w:rPr>
        <w:t>0</w:t>
      </w:r>
      <w:r>
        <w:rPr>
          <w:rFonts w:hint="eastAsia" w:asciiTheme="minorEastAsia" w:hAnsiTheme="minorEastAsia" w:eastAsiaTheme="minorEastAsia"/>
          <w:b w:val="0"/>
          <w:bCs w:val="0"/>
          <w:sz w:val="28"/>
          <w:szCs w:val="28"/>
          <w:highlight w:val="none"/>
          <w:lang w:val="en-US" w:eastAsia="zh-CN"/>
        </w:rPr>
        <w:t>0</w:t>
      </w:r>
      <w:r>
        <w:rPr>
          <w:rFonts w:hint="eastAsia" w:asciiTheme="minorEastAsia" w:hAnsiTheme="minorEastAsia" w:eastAsiaTheme="minorEastAsia"/>
          <w:b w:val="0"/>
          <w:bCs w:val="0"/>
          <w:sz w:val="28"/>
          <w:szCs w:val="28"/>
          <w:highlight w:val="none"/>
        </w:rPr>
        <w:t>1</w:t>
      </w:r>
    </w:p>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r>
        <w:rPr>
          <w:rFonts w:hint="eastAsia" w:ascii="黑体" w:hAnsi="黑体" w:eastAsia="黑体" w:cs="黑体"/>
          <w:sz w:val="52"/>
          <w:szCs w:val="52"/>
        </w:rPr>
        <w:t xml:space="preserve"> </w:t>
      </w:r>
      <w:r>
        <w:rPr>
          <w:rFonts w:hint="eastAsia" w:ascii="黑体" w:hAnsi="黑体" w:eastAsia="黑体" w:cs="黑体"/>
          <w:color w:val="auto"/>
          <w:sz w:val="52"/>
          <w:szCs w:val="52"/>
          <w:u w:val="single"/>
        </w:rPr>
        <w:t xml:space="preserve"> </w:t>
      </w:r>
      <w:bookmarkStart w:id="1" w:name="_Toc16784"/>
      <w:r>
        <w:rPr>
          <w:rFonts w:hint="eastAsia" w:ascii="黑体" w:hAnsi="黑体" w:eastAsia="黑体" w:cs="黑体"/>
          <w:color w:val="auto"/>
          <w:sz w:val="52"/>
          <w:szCs w:val="52"/>
          <w:u w:val="single"/>
          <w:lang w:val="en-US" w:eastAsia="zh-CN"/>
        </w:rPr>
        <w:t xml:space="preserve">   等静压石墨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1"/>
    </w:p>
    <w:p>
      <w:pPr>
        <w:spacing w:line="248" w:lineRule="auto"/>
        <w:rPr>
          <w:rFonts w:ascii="黑体"/>
        </w:rPr>
      </w:pPr>
    </w:p>
    <w:p>
      <w:pPr>
        <w:spacing w:line="248" w:lineRule="auto"/>
        <w:rPr>
          <w:rFonts w:ascii="黑体"/>
        </w:rPr>
      </w:pP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hint="eastAsia" w:ascii="宋体" w:hAnsi="宋体" w:eastAsia="宋体" w:cs="宋体"/>
          <w:spacing w:val="-28"/>
          <w:sz w:val="84"/>
          <w:szCs w:val="84"/>
          <w:lang w:val="en-US" w:eastAsia="zh-CN"/>
          <w14:textOutline w14:w="15240" w14:cap="flat" w14:cmpd="sng" w14:algn="ctr">
            <w14:solidFill>
              <w14:srgbClr w14:val="000000"/>
            </w14:solidFill>
            <w14:prstDash w14:val="solid"/>
            <w14:miter w14:val="0"/>
          </w14:textOutline>
        </w:rPr>
        <w:t>投</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2023</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07</w:t>
      </w:r>
      <w:r>
        <w:rPr>
          <w:rFonts w:ascii="仿宋" w:hAnsi="仿宋" w:eastAsia="仿宋" w:cs="仿宋"/>
          <w:color w:val="auto"/>
          <w:sz w:val="32"/>
          <w:szCs w:val="32"/>
        </w:rPr>
        <w:t>日</w:t>
      </w:r>
      <w:bookmarkEnd w:id="4"/>
    </w:p>
    <w:p/>
    <w:p/>
    <w:p/>
    <w:p/>
    <w:p/>
    <w:p/>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3"/>
        <w:spacing w:line="360" w:lineRule="auto"/>
        <w:rPr>
          <w:rFonts w:hint="eastAsia"/>
        </w:rPr>
      </w:pPr>
      <w:r>
        <w:rPr>
          <w:rFonts w:hint="eastAsia"/>
        </w:rPr>
        <w:t>投标人应满足以下要求：</w:t>
      </w:r>
    </w:p>
    <w:p>
      <w:pPr>
        <w:pStyle w:val="3"/>
        <w:spacing w:line="360" w:lineRule="auto"/>
        <w:rPr>
          <w:rFonts w:hint="default" w:eastAsia="宋体"/>
          <w:lang w:val="en-US" w:eastAsia="zh-CN"/>
        </w:rPr>
      </w:pPr>
      <w:r>
        <w:rPr>
          <w:rFonts w:hint="eastAsia"/>
          <w:lang w:val="en-US" w:eastAsia="zh-CN"/>
        </w:rPr>
        <w:t>原材料理化指标：</w:t>
      </w:r>
    </w:p>
    <w:p>
      <w:pPr>
        <w:pStyle w:val="3"/>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序号一：</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rPr>
              <w:t>630*310*1800mm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sz w:val="21"/>
                <w:szCs w:val="21"/>
                <w:lang w:val="en-US" w:eastAsia="zh-CN"/>
              </w:rPr>
              <w:t>≥1.83g/c㎥</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13</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sz w:val="21"/>
                <w:szCs w:val="21"/>
                <w:lang w:val="en-US" w:eastAsia="zh-CN"/>
              </w:rPr>
              <w:t>≦200PPM</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85</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43</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13</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3"/>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序号二：</w:t>
      </w: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both"/>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等静压石墨尺寸（mm）</w:t>
            </w:r>
          </w:p>
        </w:tc>
        <w:tc>
          <w:tcPr>
            <w:tcW w:w="2424" w:type="dxa"/>
            <w:noWrap w:val="0"/>
            <w:vAlign w:val="center"/>
          </w:tcPr>
          <w:p>
            <w:pPr>
              <w:widowControl/>
              <w:jc w:val="center"/>
              <w:rPr>
                <w:rFonts w:hint="eastAsia" w:ascii="仿宋" w:hAnsi="仿宋" w:eastAsia="仿宋"/>
                <w:kern w:val="0"/>
                <w:sz w:val="24"/>
                <w:szCs w:val="24"/>
              </w:rPr>
            </w:pPr>
            <w:r>
              <w:rPr>
                <w:rFonts w:hint="eastAsia" w:ascii="仿宋" w:hAnsi="仿宋" w:eastAsia="仿宋"/>
                <w:kern w:val="0"/>
                <w:sz w:val="24"/>
                <w:szCs w:val="24"/>
              </w:rPr>
              <w:t>300*300*900mm</w:t>
            </w:r>
          </w:p>
        </w:tc>
        <w:tc>
          <w:tcPr>
            <w:tcW w:w="3101" w:type="dxa"/>
            <w:noWrap w:val="0"/>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sz w:val="21"/>
                <w:szCs w:val="21"/>
                <w:lang w:val="en-US" w:eastAsia="zh-CN"/>
              </w:rPr>
              <w:t>≥1.78g/c㎥</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11</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cs="Arial"/>
                <w:snapToGrid w:val="0"/>
                <w:color w:val="000000"/>
                <w:kern w:val="0"/>
                <w:sz w:val="24"/>
                <w:szCs w:val="24"/>
                <w:lang w:val="en-US" w:eastAsia="zh-CN" w:bidi="ar-SA"/>
              </w:rPr>
            </w:pPr>
            <w:r>
              <w:rPr>
                <w:rFonts w:hint="eastAsia" w:ascii="宋体" w:hAnsi="宋体" w:eastAsia="宋体" w:cs="宋体"/>
                <w:sz w:val="21"/>
                <w:szCs w:val="21"/>
                <w:lang w:val="en-US" w:eastAsia="zh-CN"/>
              </w:rPr>
              <w:t>≦200PPM</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96</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cs="Arial"/>
                <w:snapToGrid w:val="0"/>
                <w:color w:val="000000"/>
                <w:kern w:val="0"/>
                <w:sz w:val="24"/>
                <w:szCs w:val="24"/>
                <w:lang w:val="en-US" w:eastAsia="zh-CN" w:bidi="ar-SA"/>
              </w:rPr>
            </w:pPr>
            <w:r>
              <w:rPr>
                <w:rFonts w:hint="eastAsia" w:ascii="仿宋" w:hAnsi="仿宋" w:eastAsia="仿宋"/>
                <w:kern w:val="0"/>
                <w:sz w:val="24"/>
                <w:szCs w:val="24"/>
                <w:lang w:val="en-US" w:eastAsia="zh-CN"/>
              </w:rPr>
              <w:t>48</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硬度（肖氏</w:t>
            </w:r>
            <w:r>
              <w:rPr>
                <w:rFonts w:hint="eastAsia" w:ascii="仿宋" w:hAnsi="仿宋" w:eastAsia="仿宋"/>
                <w:b w:val="0"/>
                <w:color w:val="auto"/>
                <w:spacing w:val="10"/>
                <w:kern w:val="2"/>
                <w:szCs w:val="28"/>
                <w:lang w:val="en-US" w:eastAsia="zh-CN"/>
              </w:rPr>
              <w:t>HSD</w:t>
            </w:r>
            <w:r>
              <w:rPr>
                <w:rFonts w:hint="eastAsia" w:ascii="仿宋" w:hAnsi="仿宋" w:eastAsia="仿宋"/>
                <w:b w:val="0"/>
                <w:color w:val="auto"/>
                <w:spacing w:val="10"/>
                <w:kern w:val="2"/>
                <w:szCs w:val="28"/>
              </w:rPr>
              <w:t>）</w:t>
            </w:r>
          </w:p>
        </w:tc>
        <w:tc>
          <w:tcPr>
            <w:tcW w:w="2424" w:type="dxa"/>
            <w:noWrap w:val="0"/>
            <w:vAlign w:val="center"/>
          </w:tcPr>
          <w:p>
            <w:pPr>
              <w:widowControl/>
              <w:jc w:val="center"/>
              <w:rPr>
                <w:rFonts w:hint="default" w:ascii="仿宋" w:hAnsi="仿宋" w:eastAsia="仿宋" w:cs="Arial"/>
                <w:snapToGrid w:val="0"/>
                <w:color w:val="000000"/>
                <w:kern w:val="0"/>
                <w:sz w:val="24"/>
                <w:szCs w:val="24"/>
                <w:lang w:val="en-US" w:eastAsia="zh-CN" w:bidi="ar-SA"/>
              </w:rPr>
            </w:pPr>
            <w:r>
              <w:rPr>
                <w:rFonts w:hint="eastAsia" w:ascii="仿宋" w:hAnsi="仿宋" w:eastAsia="仿宋" w:cs="Arial"/>
                <w:snapToGrid w:val="0"/>
                <w:color w:val="000000"/>
                <w:kern w:val="0"/>
                <w:sz w:val="24"/>
                <w:szCs w:val="24"/>
                <w:lang w:val="en-US" w:eastAsia="zh-CN" w:bidi="ar-SA"/>
              </w:rPr>
              <w:t>63</w:t>
            </w:r>
          </w:p>
        </w:tc>
        <w:tc>
          <w:tcPr>
            <w:tcW w:w="3101" w:type="dxa"/>
            <w:noWrap w:val="0"/>
            <w:vAlign w:val="center"/>
          </w:tcPr>
          <w:p>
            <w:pPr>
              <w:widowControl/>
              <w:jc w:val="center"/>
              <w:rPr>
                <w:rFonts w:hint="default" w:ascii="仿宋" w:hAnsi="仿宋" w:eastAsia="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7"/>
        <w:numPr>
          <w:ilvl w:val="0"/>
          <w:numId w:val="1"/>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7"/>
        <w:numPr>
          <w:ilvl w:val="0"/>
          <w:numId w:val="1"/>
        </w:numPr>
        <w:kinsoku/>
        <w:spacing w:line="360" w:lineRule="auto"/>
        <w:ind w:left="0" w:firstLine="424" w:firstLineChars="177"/>
        <w:outlineLvl w:val="0"/>
        <w:rPr>
          <w:rFonts w:cs="宋体" w:asciiTheme="majorEastAsia" w:hAnsiTheme="majorEastAsia" w:eastAsiaTheme="majorEastAsia"/>
          <w:sz w:val="24"/>
          <w:szCs w:val="24"/>
        </w:rPr>
      </w:pPr>
      <w:bookmarkStart w:id="5"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5"/>
    </w:p>
    <w:p>
      <w:pPr>
        <w:numPr>
          <w:ilvl w:val="0"/>
          <w:numId w:val="2"/>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2"/>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7"/>
        <w:numPr>
          <w:ilvl w:val="0"/>
          <w:numId w:val="3"/>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6" w:name="_Toc4816"/>
    </w:p>
    <w:p>
      <w:pPr>
        <w:pStyle w:val="7"/>
        <w:numPr>
          <w:ilvl w:val="0"/>
          <w:numId w:val="3"/>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6"/>
    </w:p>
    <w:p>
      <w:pPr>
        <w:pStyle w:val="7"/>
        <w:numPr>
          <w:ilvl w:val="0"/>
          <w:numId w:val="3"/>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7"/>
        <w:numPr>
          <w:ilvl w:val="0"/>
          <w:numId w:val="3"/>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7"/>
        <w:numPr>
          <w:ilvl w:val="0"/>
          <w:numId w:val="3"/>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7"/>
        <w:numPr>
          <w:ilvl w:val="0"/>
          <w:numId w:val="4"/>
        </w:numPr>
        <w:kinsoku/>
        <w:spacing w:line="360" w:lineRule="auto"/>
        <w:ind w:left="0" w:firstLine="480"/>
        <w:outlineLvl w:val="0"/>
        <w:rPr>
          <w:rFonts w:cs="宋体" w:asciiTheme="majorEastAsia" w:hAnsiTheme="majorEastAsia" w:eastAsiaTheme="majorEastAsia"/>
          <w:sz w:val="24"/>
          <w:szCs w:val="24"/>
        </w:rPr>
      </w:pPr>
      <w:bookmarkStart w:id="7" w:name="_Toc30571"/>
      <w:r>
        <w:rPr>
          <w:rFonts w:cs="宋体" w:asciiTheme="majorEastAsia" w:hAnsiTheme="majorEastAsia" w:eastAsiaTheme="majorEastAsia"/>
          <w:sz w:val="24"/>
          <w:szCs w:val="24"/>
        </w:rPr>
        <w:t>投标人应填写其单位名称全称。</w:t>
      </w:r>
      <w:bookmarkEnd w:id="7"/>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7"/>
        <w:widowControl w:val="0"/>
        <w:numPr>
          <w:ilvl w:val="0"/>
          <w:numId w:val="4"/>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7"/>
        <w:widowControl w:val="0"/>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7"/>
        <w:numPr>
          <w:ilvl w:val="0"/>
          <w:numId w:val="5"/>
        </w:numPr>
        <w:kinsoku/>
        <w:spacing w:line="360" w:lineRule="auto"/>
        <w:ind w:left="0" w:firstLine="480"/>
        <w:outlineLvl w:val="0"/>
        <w:rPr>
          <w:rFonts w:cs="宋体" w:asciiTheme="majorEastAsia" w:hAnsiTheme="majorEastAsia" w:eastAsiaTheme="majorEastAsia"/>
          <w:sz w:val="24"/>
          <w:szCs w:val="24"/>
        </w:rPr>
      </w:pPr>
      <w:bookmarkStart w:id="8" w:name="_Toc5695"/>
      <w:r>
        <w:rPr>
          <w:rFonts w:cs="宋体" w:asciiTheme="majorEastAsia" w:hAnsiTheme="majorEastAsia" w:eastAsiaTheme="majorEastAsia"/>
          <w:sz w:val="24"/>
          <w:szCs w:val="24"/>
        </w:rPr>
        <w:t>开标时，将按照招标人有关招投标规定执行。</w:t>
      </w:r>
      <w:bookmarkEnd w:id="8"/>
    </w:p>
    <w:p>
      <w:pPr>
        <w:pStyle w:val="7"/>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7"/>
        <w:numPr>
          <w:ilvl w:val="0"/>
          <w:numId w:val="5"/>
        </w:numPr>
        <w:kinsoku/>
        <w:spacing w:line="360" w:lineRule="auto"/>
        <w:ind w:left="0" w:firstLine="480"/>
        <w:outlineLvl w:val="0"/>
        <w:rPr>
          <w:rFonts w:cs="宋体" w:asciiTheme="majorEastAsia" w:hAnsiTheme="majorEastAsia" w:eastAsiaTheme="majorEastAsia"/>
          <w:sz w:val="24"/>
          <w:szCs w:val="24"/>
        </w:rPr>
      </w:pPr>
      <w:bookmarkStart w:id="9" w:name="_Toc18886"/>
      <w:r>
        <w:rPr>
          <w:rFonts w:cs="宋体" w:asciiTheme="majorEastAsia" w:hAnsiTheme="majorEastAsia" w:eastAsiaTheme="majorEastAsia"/>
          <w:sz w:val="24"/>
          <w:szCs w:val="24"/>
        </w:rPr>
        <w:t>招标人不对未中标的投标人作任何解释，不退还投标文件。</w:t>
      </w:r>
      <w:bookmarkEnd w:id="9"/>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7"/>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7"/>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7"/>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7"/>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3" w:type="default"/>
          <w:footerReference r:id="rId4" w:type="default"/>
          <w:pgSz w:w="11907" w:h="16839"/>
          <w:pgMar w:top="1432" w:right="1335"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0" w:name="_Toc23900"/>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bookmarkEnd w:id="10"/>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9"/>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
    <w:p/>
    <w:p/>
    <w:p>
      <w:pPr>
        <w:pStyle w:val="2"/>
        <w:ind w:firstLine="280" w:firstLineChars="100"/>
        <w:rPr>
          <w:rFonts w:hint="eastAsia" w:cs="Arial"/>
          <w:bCs w:val="0"/>
        </w:rPr>
      </w:pPr>
      <w:bookmarkStart w:id="11" w:name="_Toc21018"/>
      <w:bookmarkStart w:id="12" w:name="_Toc21209"/>
      <w:bookmarkStart w:id="13" w:name="_Toc428651605"/>
      <w:bookmarkStart w:id="14" w:name="_Toc25357"/>
      <w:bookmarkStart w:id="15" w:name="_Toc459908546"/>
      <w:bookmarkStart w:id="16" w:name="_Toc8887"/>
      <w:r>
        <w:rPr>
          <w:rFonts w:hint="eastAsia" w:cs="Arial"/>
          <w:bCs w:val="0"/>
        </w:rPr>
        <w:t>法定代表人身份证明</w:t>
      </w:r>
      <w:bookmarkEnd w:id="11"/>
      <w:bookmarkEnd w:id="12"/>
      <w:bookmarkEnd w:id="13"/>
      <w:bookmarkEnd w:id="14"/>
      <w:bookmarkEnd w:id="15"/>
      <w:bookmarkEnd w:id="16"/>
      <w:r>
        <w:rPr>
          <w:rFonts w:hint="eastAsia" w:cs="Arial"/>
          <w:bCs w:val="0"/>
        </w:rPr>
        <w:t xml:space="preserve"> </w:t>
      </w:r>
    </w:p>
    <w:p>
      <w:pPr>
        <w:widowControl/>
        <w:spacing w:line="360" w:lineRule="auto"/>
        <w:rPr>
          <w:rFonts w:hint="eastAsia" w:ascii="宋体" w:hAnsi="宋体"/>
          <w:color w:val="000000"/>
        </w:rPr>
      </w:pPr>
    </w:p>
    <w:p>
      <w:pPr>
        <w:widowControl/>
        <w:spacing w:line="360" w:lineRule="auto"/>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u w:val="single"/>
        </w:rPr>
      </w:pPr>
      <w:r>
        <w:rPr>
          <w:rFonts w:hint="eastAsia" w:ascii="宋体" w:hAnsi="宋体" w:eastAsia="宋体" w:cs="宋体"/>
          <w:color w:val="000000"/>
          <w:lang w:val="en-US" w:eastAsia="zh-CN"/>
        </w:rPr>
        <w:t>统一社会代码</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月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pPr>
        <w:widowControl/>
        <w:spacing w:line="360" w:lineRule="auto"/>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性别：</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身份证号</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系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（投标人名称）的法定代表人。 </w:t>
      </w:r>
    </w:p>
    <w:p>
      <w:pPr>
        <w:widowControl/>
        <w:spacing w:line="360" w:lineRule="auto"/>
        <w:rPr>
          <w:rFonts w:hint="eastAsia" w:ascii="宋体" w:hAnsi="宋体" w:eastAsia="宋体" w:cs="宋体"/>
          <w:color w:val="000000"/>
        </w:rPr>
      </w:pPr>
      <w:r>
        <w:rPr>
          <w:rFonts w:hint="eastAsia" w:ascii="宋体" w:hAnsi="宋体" w:eastAsia="宋体" w:cs="宋体"/>
          <w:color w:val="000000"/>
        </w:rPr>
        <w:t xml:space="preserve">特此证明。 </w:t>
      </w:r>
    </w:p>
    <w:p>
      <w:pPr>
        <w:widowControl/>
        <w:spacing w:line="360" w:lineRule="auto"/>
        <w:rPr>
          <w:rFonts w:hint="eastAsia" w:ascii="宋体" w:hAnsi="宋体" w:eastAsia="宋体" w:cs="宋体"/>
          <w:color w:val="000000"/>
        </w:rPr>
      </w:pPr>
    </w:p>
    <w:p>
      <w:pPr>
        <w:widowControl/>
        <w:spacing w:line="360" w:lineRule="auto"/>
        <w:rPr>
          <w:rFonts w:hint="eastAsia" w:ascii="宋体" w:hAnsi="宋体" w:eastAsia="宋体" w:cs="宋体"/>
          <w:color w:val="000000"/>
        </w:rPr>
      </w:pP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（盖单位章） </w:t>
      </w: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 日 </w:t>
      </w:r>
    </w:p>
    <w:p>
      <w:pPr>
        <w:spacing w:line="360" w:lineRule="auto"/>
        <w:jc w:val="left"/>
        <w:rPr>
          <w:rFonts w:ascii="Arial" w:hAnsi="Arial" w:cs="Arial"/>
        </w:rPr>
      </w:pPr>
    </w:p>
    <w:p>
      <w:pPr>
        <w:pStyle w:val="2"/>
        <w:ind w:firstLine="280" w:firstLineChars="100"/>
        <w:rPr>
          <w:rFonts w:cs="Arial"/>
          <w:bCs w:val="0"/>
        </w:rPr>
      </w:pPr>
      <w:bookmarkStart w:id="17" w:name="_Toc415646543"/>
      <w:bookmarkStart w:id="18" w:name="_Toc260903000"/>
      <w:bookmarkStart w:id="19" w:name="_Toc428651606"/>
      <w:bookmarkStart w:id="20" w:name="_Toc459908547"/>
      <w:bookmarkStart w:id="21" w:name="_Toc138838474"/>
      <w:r>
        <w:rPr>
          <w:rFonts w:cs="Arial"/>
          <w:bCs w:val="0"/>
        </w:rPr>
        <w:t>法定代表人授权书</w:t>
      </w:r>
      <w:bookmarkEnd w:id="17"/>
      <w:bookmarkEnd w:id="18"/>
      <w:bookmarkEnd w:id="19"/>
      <w:bookmarkEnd w:id="20"/>
      <w:bookmarkEnd w:id="21"/>
    </w:p>
    <w:p>
      <w:pPr>
        <w:spacing w:line="360" w:lineRule="auto"/>
        <w:rPr>
          <w:rFonts w:ascii="Arial" w:hAnsi="Arial" w:cs="Arial"/>
        </w:rPr>
      </w:pPr>
    </w:p>
    <w:p>
      <w:pPr>
        <w:pStyle w:val="8"/>
        <w:spacing w:line="300" w:lineRule="auto"/>
        <w:ind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lang w:val="en-US" w:eastAsia="zh-CN"/>
        </w:rPr>
        <w:t>投标编号：</w:t>
      </w:r>
      <w:r>
        <w:rPr>
          <w:rFonts w:hint="eastAsia" w:ascii="宋体" w:hAnsi="宋体" w:eastAsia="宋体" w:cs="宋体"/>
          <w:u w:val="single"/>
        </w:rPr>
        <w:t xml:space="preserve"> </w:t>
      </w:r>
      <w:r>
        <w:rPr>
          <w:rFonts w:hint="eastAsia" w:ascii="宋体" w:hAnsi="宋体" w:eastAsia="宋体" w:cs="宋体"/>
          <w:i w:val="0"/>
          <w:iCs w:val="0"/>
          <w:caps w:val="0"/>
          <w:color w:val="333333"/>
          <w:spacing w:val="15"/>
          <w:sz w:val="24"/>
          <w:szCs w:val="24"/>
          <w:u w:val="single"/>
          <w:shd w:val="clear" w:fill="FFFFFF"/>
          <w:lang w:val="en-US" w:eastAsia="zh-CN"/>
        </w:rPr>
        <w:t xml:space="preserve">              </w:t>
      </w:r>
      <w:r>
        <w:rPr>
          <w:rFonts w:hint="eastAsia" w:ascii="宋体" w:hAnsi="宋体" w:eastAsia="宋体" w:cs="宋体"/>
          <w:u w:val="single"/>
        </w:rPr>
        <w:t xml:space="preserve"> </w:t>
      </w:r>
      <w:r>
        <w:rPr>
          <w:rFonts w:hint="eastAsia" w:ascii="宋体" w:hAnsi="宋体" w:eastAsia="宋体" w:cs="宋体"/>
          <w:lang w:val="en-US" w:eastAsia="zh-CN"/>
        </w:rPr>
        <w:t>项目</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rPr>
        <w:t>投标文件、签订合同和处理有关事宜，其法律后果由我方承担。</w:t>
      </w:r>
    </w:p>
    <w:p>
      <w:pPr>
        <w:pStyle w:val="8"/>
        <w:spacing w:line="300" w:lineRule="auto"/>
        <w:ind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pPr>
        <w:pStyle w:val="8"/>
        <w:spacing w:line="300" w:lineRule="auto"/>
        <w:ind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pPr>
        <w:pStyle w:val="8"/>
        <w:spacing w:line="300" w:lineRule="auto"/>
        <w:rPr>
          <w:rFonts w:ascii="Arial" w:hAnsi="Arial" w:cs="Arial"/>
          <w:color w:val="auto"/>
        </w:rPr>
      </w:pPr>
    </w:p>
    <w:p>
      <w:pPr>
        <w:pStyle w:val="8"/>
        <w:spacing w:line="300" w:lineRule="auto"/>
        <w:ind w:right="480" w:firstLine="480" w:firstLineChars="200"/>
        <w:jc w:val="center"/>
        <w:rPr>
          <w:rFonts w:ascii="Arial" w:hAnsi="Arial" w:cs="Arial"/>
          <w:color w:val="auto"/>
        </w:rPr>
      </w:pPr>
      <w:r>
        <w:rPr>
          <w:rFonts w:ascii="Arial" w:hAnsi="Arial" w:cs="Arial"/>
          <w:color w:val="auto"/>
        </w:rPr>
        <w:t xml:space="preserve">   </w:t>
      </w:r>
      <w:r>
        <w:rPr>
          <w:rFonts w:hint="eastAsia" w:ascii="Arial" w:hAnsi="Arial" w:cs="Arial"/>
          <w:color w:val="auto"/>
        </w:rPr>
        <w:t xml:space="preserve">       投 标 </w:t>
      </w:r>
      <w:r>
        <w:rPr>
          <w:rFonts w:ascii="Arial" w:hAnsi="Arial" w:cs="Arial"/>
          <w:color w:val="auto"/>
        </w:rPr>
        <w:t>人：</w:t>
      </w:r>
      <w:r>
        <w:rPr>
          <w:rFonts w:hint="eastAsia" w:hAnsi="宋体"/>
          <w:color w:val="000000"/>
          <w:u w:val="single"/>
          <w:lang w:val="en-US" w:eastAsia="zh-CN"/>
        </w:rPr>
        <w:t xml:space="preserve">                    </w:t>
      </w:r>
      <w:r>
        <w:rPr>
          <w:rFonts w:ascii="Arial" w:hAnsi="Arial" w:cs="Arial"/>
          <w:color w:val="auto"/>
          <w:u w:val="single"/>
        </w:rPr>
        <w:t xml:space="preserve"> </w:t>
      </w:r>
      <w:r>
        <w:rPr>
          <w:rFonts w:ascii="Arial" w:hAnsi="Arial" w:cs="Arial"/>
          <w:color w:val="auto"/>
        </w:rPr>
        <w:t>（盖单位章）</w:t>
      </w:r>
    </w:p>
    <w:p>
      <w:pPr>
        <w:pStyle w:val="8"/>
        <w:spacing w:line="300" w:lineRule="auto"/>
        <w:ind w:right="480" w:firstLine="2160" w:firstLineChars="9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rPr>
        <w:t>（签字）</w:t>
      </w:r>
    </w:p>
    <w:p>
      <w:pPr>
        <w:pStyle w:val="8"/>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hint="eastAsia" w:ascii="Arial" w:hAnsi="Arial" w:cs="Arial"/>
          <w:color w:val="auto"/>
          <w:u w:val="single"/>
          <w:lang w:val="en-US" w:eastAsia="zh-CN"/>
        </w:rPr>
        <w:t xml:space="preserve">                         </w:t>
      </w:r>
      <w:r>
        <w:rPr>
          <w:rFonts w:ascii="Arial" w:hAnsi="Arial" w:cs="Arial"/>
          <w:color w:val="auto"/>
          <w:u w:val="single"/>
        </w:rPr>
        <w:t xml:space="preserve"> </w:t>
      </w:r>
      <w:r>
        <w:rPr>
          <w:rFonts w:ascii="Arial" w:hAnsi="Arial" w:cs="Arial"/>
          <w:color w:val="auto"/>
        </w:rPr>
        <w:t xml:space="preserve">    </w:t>
      </w:r>
    </w:p>
    <w:p>
      <w:pPr>
        <w:pStyle w:val="8"/>
        <w:spacing w:line="300" w:lineRule="auto"/>
        <w:ind w:right="480" w:firstLine="2160" w:firstLineChars="900"/>
        <w:rPr>
          <w:rFonts w:ascii="Arial" w:hAnsi="Arial" w:cs="Arial"/>
          <w:color w:val="auto"/>
        </w:rPr>
      </w:pPr>
      <w:r>
        <w:t>委托代理人</w:t>
      </w:r>
      <w:r>
        <w:rPr>
          <w:rFonts w:ascii="Arial" w:hAnsi="Arial" w:cs="Arial"/>
          <w:color w:val="auto"/>
        </w:rPr>
        <w:t>：</w:t>
      </w:r>
      <w:r>
        <w:rPr>
          <w:rFonts w:ascii="Arial" w:hAnsi="Arial" w:cs="Arial"/>
          <w:color w:val="auto"/>
          <w:u w:val="single"/>
        </w:rPr>
        <w:t xml:space="preserve">                           </w:t>
      </w:r>
      <w:r>
        <w:rPr>
          <w:rFonts w:ascii="Arial" w:hAnsi="Arial" w:cs="Arial"/>
          <w:color w:val="auto"/>
        </w:rPr>
        <w:t>（签字）</w:t>
      </w:r>
    </w:p>
    <w:p>
      <w:pPr>
        <w:pStyle w:val="8"/>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8"/>
        <w:spacing w:line="300" w:lineRule="auto"/>
        <w:ind w:right="48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pStyle w:val="8"/>
        <w:spacing w:line="300" w:lineRule="auto"/>
        <w:ind w:right="480" w:firstLine="3990" w:firstLineChars="1900"/>
        <w:rPr>
          <w:rFonts w:ascii="Arial" w:hAnsi="Arial" w:cs="Arial"/>
          <w:color w:val="auto"/>
          <w:sz w:val="21"/>
          <w:szCs w:val="21"/>
        </w:rPr>
      </w:pPr>
    </w:p>
    <w:p>
      <w:pPr>
        <w:ind w:firstLine="480"/>
        <w:rPr>
          <w:rFonts w:hAnsi="宋体" w:cs="宋体"/>
          <w:szCs w:val="21"/>
        </w:rPr>
      </w:pPr>
    </w:p>
    <w:p>
      <w:pPr>
        <w:ind w:firstLine="480"/>
        <w:rPr>
          <w:rFonts w:hAnsi="宋体" w:cs="宋体"/>
          <w:szCs w:val="21"/>
        </w:rPr>
      </w:pPr>
    </w:p>
    <w:p>
      <w:pPr>
        <w:rPr>
          <w:rFonts w:hint="eastAsia"/>
          <w:lang w:eastAsia="zh-CN"/>
        </w:rPr>
      </w:pPr>
    </w:p>
    <w:p>
      <w:pPr>
        <w:rPr>
          <w:rFonts w:hint="default" w:eastAsia="宋体"/>
          <w:highlight w:val="yellow"/>
          <w:lang w:val="en-US" w:eastAsia="zh-CN"/>
        </w:rPr>
        <w:sectPr>
          <w:headerReference r:id="rId5" w:type="default"/>
          <w:footerReference r:id="rId6" w:type="default"/>
          <w:pgSz w:w="11907" w:h="16839"/>
          <w:pgMar w:top="1432" w:right="1389" w:bottom="1201" w:left="1389" w:header="852" w:footer="1021" w:gutter="0"/>
          <w:cols w:space="720" w:num="1"/>
        </w:sectPr>
      </w:pPr>
      <w:r>
        <w:rPr>
          <w:rFonts w:hint="eastAsia" w:eastAsia="宋体"/>
          <w:highlight w:val="yellow"/>
          <w:lang w:val="en-US" w:eastAsia="zh-CN"/>
        </w:rPr>
        <w:t>注：如无授权，只需提供法人代表身份证明。</w:t>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22"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22"/>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hint="eastAsia" w:ascii="宋体" w:hAnsi="宋体" w:eastAsia="宋体" w:cs="宋体"/>
          <w:sz w:val="24"/>
          <w:szCs w:val="24"/>
        </w:rPr>
        <w:t>招标编号：</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9"/>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p>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360" w:lineRule="auto"/>
        <w:ind w:firstLine="480" w:firstLineChars="200"/>
        <w:jc w:val="both"/>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line="240" w:lineRule="auto"/>
        <w:jc w:val="both"/>
        <w:sectPr>
          <w:headerReference r:id="rId7" w:type="default"/>
          <w:footerReference r:id="rId8" w:type="default"/>
          <w:pgSz w:w="16839" w:h="11907"/>
          <w:pgMar w:top="1432" w:right="1389" w:bottom="1201" w:left="1389" w:header="851" w:footer="1021" w:gutter="0"/>
          <w:cols w:space="720" w:num="1"/>
        </w:sectPr>
      </w:pPr>
    </w:p>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23" w:name="_Toc7134"/>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bookmarkEnd w:id="23"/>
    </w:p>
    <w:p>
      <w:pPr>
        <w:pStyle w:val="3"/>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3"/>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若我单位在贵公司组织的招标编号：</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项目名称：</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中成功中标，将认真履行项目投标文件要求，对该项目做出如下产品质量承诺：</w:t>
      </w:r>
    </w:p>
    <w:p>
      <w:pPr>
        <w:pStyle w:val="3"/>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3"/>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3"/>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7"/>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cs="宋体" w:asciiTheme="majorEastAsia" w:hAnsiTheme="majorEastAsia" w:eastAsiaTheme="majorEastAsia"/>
          <w:sz w:val="24"/>
          <w:szCs w:val="24"/>
        </w:rPr>
        <w:t>本</w:t>
      </w:r>
      <w:r>
        <w:rPr>
          <w:rFonts w:hint="eastAsia" w:cs="宋体" w:asciiTheme="majorEastAsia" w:hAnsiTheme="majorEastAsia" w:eastAsiaTheme="majorEastAsia"/>
          <w:sz w:val="24"/>
          <w:szCs w:val="24"/>
          <w:lang w:val="en-US" w:eastAsia="zh-CN"/>
        </w:rPr>
        <w:t>承诺函</w:t>
      </w:r>
      <w:r>
        <w:rPr>
          <w:rFonts w:cs="宋体" w:asciiTheme="majorEastAsia" w:hAnsiTheme="majorEastAsia" w:eastAsiaTheme="majorEastAsia"/>
          <w:sz w:val="24"/>
          <w:szCs w:val="24"/>
        </w:rPr>
        <w:t>将成为买卖合同不可分割的组成部分，与买卖合同具有同等的法律效力。</w:t>
      </w:r>
    </w:p>
    <w:p>
      <w:pPr>
        <w:pStyle w:val="3"/>
        <w:spacing w:line="360" w:lineRule="auto"/>
        <w:ind w:firstLine="480" w:firstLineChars="200"/>
        <w:jc w:val="both"/>
        <w:rPr>
          <w:rFonts w:hint="eastAsia" w:asciiTheme="majorEastAsia" w:hAnsiTheme="majorEastAsia" w:eastAsiaTheme="majorEastAsia"/>
          <w:lang w:val="en-US"/>
        </w:rPr>
      </w:pPr>
    </w:p>
    <w:p>
      <w:pPr>
        <w:pStyle w:val="3"/>
        <w:spacing w:line="360" w:lineRule="auto"/>
        <w:ind w:firstLine="660" w:firstLineChars="275"/>
        <w:rPr>
          <w:lang w:val="en-US"/>
        </w:rPr>
      </w:pPr>
    </w:p>
    <w:p>
      <w:pPr>
        <w:pStyle w:val="3"/>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3"/>
        <w:spacing w:before="227" w:line="657" w:lineRule="auto"/>
        <w:ind w:right="386" w:firstLine="3079" w:firstLineChars="1283"/>
      </w:pPr>
      <w:bookmarkStart w:id="24" w:name="_GoBack"/>
      <w:bookmarkEnd w:id="24"/>
      <w:r>
        <w:t>法定代表人或委托代理人：</w:t>
      </w:r>
      <w:r>
        <w:rPr>
          <w:rFonts w:hint="eastAsia"/>
          <w:u w:val="single"/>
          <w:lang w:val="en-US"/>
        </w:rPr>
        <w:t xml:space="preserve">      </w:t>
      </w:r>
      <w:r>
        <w:t>（</w:t>
      </w:r>
      <w:r>
        <w:rPr>
          <w:rFonts w:hint="eastAsia"/>
          <w:lang w:val="en-US"/>
        </w:rPr>
        <w:t>签字</w:t>
      </w:r>
      <w:r>
        <w:rPr>
          <w:spacing w:val="-17"/>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7">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2"/>
  </w:num>
  <w:num w:numId="4">
    <w:abstractNumId w:val="5"/>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6DA8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footer"/>
    <w:basedOn w:val="1"/>
    <w:qFormat/>
    <w:uiPriority w:val="0"/>
    <w:pPr>
      <w:tabs>
        <w:tab w:val="center" w:pos="4153"/>
        <w:tab w:val="right" w:pos="8306"/>
      </w:tabs>
    </w:pPr>
    <w:rPr>
      <w:sz w:val="18"/>
    </w:rPr>
  </w:style>
  <w:style w:type="paragraph" w:styleId="7">
    <w:name w:val="List Paragraph"/>
    <w:basedOn w:val="1"/>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2023-11-08T09:56:47Z</dcterms:created>
  <dc:creator>81419</dc:creator>
  <cp:lastModifiedBy>李东</cp:lastModifiedBy>
  <dcterms:modified xsi:type="dcterms:W3CDTF">2023-11-08T10:01:34Z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1C434A71DA874FE9A13A9AE31B93C6D9_13</vt:lpwstr>
  </property>
</Properties>
</file>